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55880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83185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6" w:lineRule="exact"/>
        <w:rPr>
          <w:sz w:val="24"/>
          <w:szCs w:val="24"/>
          <w:color w:val="auto"/>
        </w:rPr>
      </w:pPr>
    </w:p>
    <w:p>
      <w:pPr>
        <w:ind w:left="460" w:right="220" w:hanging="450"/>
        <w:spacing w:after="0" w:line="267" w:lineRule="auto"/>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64" w:lineRule="exact"/>
        <w:rPr>
          <w:sz w:val="24"/>
          <w:szCs w:val="24"/>
          <w:color w:val="auto"/>
        </w:rPr>
      </w:pPr>
    </w:p>
    <w:p>
      <w:pPr>
        <w:ind w:left="20"/>
        <w:spacing w:after="0"/>
        <w:rPr>
          <w:sz w:val="20"/>
          <w:szCs w:val="20"/>
          <w:color w:val="auto"/>
        </w:rPr>
      </w:pPr>
      <w:r>
        <w:rPr>
          <w:rFonts w:ascii="Arial" w:cs="Arial" w:eastAsia="Arial" w:hAnsi="Arial"/>
          <w:sz w:val="20"/>
          <w:szCs w:val="20"/>
          <w:b w:val="1"/>
          <w:bCs w:val="1"/>
          <w:color w:val="auto"/>
        </w:rPr>
        <w:t>OR</w:t>
      </w:r>
    </w:p>
    <w:p>
      <w:pPr>
        <w:spacing w:after="0" w:line="54" w:lineRule="exact"/>
        <w:rPr>
          <w:sz w:val="24"/>
          <w:szCs w:val="24"/>
          <w:color w:val="auto"/>
        </w:rPr>
      </w:pPr>
    </w:p>
    <w:p>
      <w:pPr>
        <w:ind w:left="460" w:right="200" w:hanging="450"/>
        <w:spacing w:after="0" w:line="267" w:lineRule="auto"/>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 w:lineRule="exact"/>
        <w:rPr>
          <w:sz w:val="24"/>
          <w:szCs w:val="24"/>
          <w:color w:val="auto"/>
        </w:rPr>
      </w:pPr>
    </w:p>
    <w:p>
      <w:pPr>
        <w:ind w:left="3160"/>
        <w:spacing w:after="0"/>
        <w:tabs>
          <w:tab w:leader="none" w:pos="61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3360420</wp:posOffset>
            </wp:positionH>
            <wp:positionV relativeFrom="paragraph">
              <wp:posOffset>-4445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93345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ALPINE INCOME PROPERTY TRUST,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3" w:lineRule="exact"/>
        <w:rPr>
          <w:sz w:val="24"/>
          <w:szCs w:val="24"/>
          <w:color w:val="auto"/>
        </w:rPr>
      </w:pPr>
    </w:p>
    <w:tbl>
      <w:tblPr>
        <w:tblLayout w:type="fixed"/>
        <w:tblInd w:w="1200" w:type="dxa"/>
        <w:tblCellMar>
          <w:top w:w="0" w:type="dxa"/>
          <w:left w:w="0" w:type="dxa"/>
          <w:bottom w:w="0" w:type="dxa"/>
          <w:right w:w="0" w:type="dxa"/>
        </w:tblCellMar>
      </w:tblPr>
      <w:tr>
        <w:trPr>
          <w:trHeight w:val="203"/>
        </w:trPr>
        <w:tc>
          <w:tcPr>
            <w:tcW w:w="5860" w:type="dxa"/>
            <w:vAlign w:val="bottom"/>
          </w:tcPr>
          <w:p>
            <w:pPr>
              <w:jc w:val="center"/>
              <w:ind w:right="3079"/>
              <w:spacing w:after="0"/>
              <w:rPr>
                <w:sz w:val="20"/>
                <w:szCs w:val="20"/>
                <w:color w:val="auto"/>
              </w:rPr>
            </w:pPr>
            <w:r>
              <w:rPr>
                <w:rFonts w:ascii="Arial" w:cs="Arial" w:eastAsia="Arial" w:hAnsi="Arial"/>
                <w:sz w:val="16"/>
                <w:szCs w:val="16"/>
                <w:b w:val="1"/>
                <w:bCs w:val="1"/>
                <w:color w:val="auto"/>
                <w:w w:val="99"/>
              </w:rPr>
              <w:t>Maryland</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84-2769895</w:t>
            </w:r>
          </w:p>
        </w:tc>
      </w:tr>
      <w:tr>
        <w:trPr>
          <w:trHeight w:val="203"/>
        </w:trPr>
        <w:tc>
          <w:tcPr>
            <w:tcW w:w="5860" w:type="dxa"/>
            <w:vAlign w:val="bottom"/>
          </w:tcPr>
          <w:p>
            <w:pPr>
              <w:jc w:val="center"/>
              <w:ind w:right="3079"/>
              <w:spacing w:after="0"/>
              <w:rPr>
                <w:sz w:val="20"/>
                <w:szCs w:val="20"/>
                <w:color w:val="auto"/>
              </w:rPr>
            </w:pPr>
            <w:r>
              <w:rPr>
                <w:rFonts w:ascii="Arial" w:cs="Arial" w:eastAsia="Arial" w:hAnsi="Arial"/>
                <w:sz w:val="16"/>
                <w:szCs w:val="16"/>
                <w:b w:val="1"/>
                <w:bCs w:val="1"/>
                <w:color w:val="auto"/>
                <w:w w:val="91"/>
              </w:rPr>
              <w:t>(State or other jurisdiction of</w:t>
            </w:r>
          </w:p>
        </w:tc>
        <w:tc>
          <w:tcPr>
            <w:tcW w:w="136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860" w:type="dxa"/>
            <w:vAlign w:val="bottom"/>
          </w:tcPr>
          <w:p>
            <w:pPr>
              <w:jc w:val="center"/>
              <w:ind w:right="3079"/>
              <w:spacing w:after="0"/>
              <w:rPr>
                <w:sz w:val="20"/>
                <w:szCs w:val="20"/>
                <w:color w:val="auto"/>
              </w:rPr>
            </w:pPr>
            <w:r>
              <w:rPr>
                <w:rFonts w:ascii="Arial" w:cs="Arial" w:eastAsia="Arial" w:hAnsi="Arial"/>
                <w:sz w:val="16"/>
                <w:szCs w:val="16"/>
                <w:b w:val="1"/>
                <w:bCs w:val="1"/>
                <w:color w:val="auto"/>
                <w:w w:val="91"/>
              </w:rPr>
              <w:t>incorporation or organization)</w:t>
            </w:r>
          </w:p>
        </w:tc>
        <w:tc>
          <w:tcPr>
            <w:tcW w:w="136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Identification No.)</w:t>
            </w:r>
          </w:p>
        </w:tc>
      </w:tr>
      <w:tr>
        <w:trPr>
          <w:trHeight w:val="289"/>
        </w:trPr>
        <w:tc>
          <w:tcPr>
            <w:tcW w:w="5860" w:type="dxa"/>
            <w:vAlign w:val="bottom"/>
          </w:tcPr>
          <w:p>
            <w:pPr>
              <w:jc w:val="center"/>
              <w:ind w:right="3079"/>
              <w:spacing w:after="0"/>
              <w:rPr>
                <w:sz w:val="20"/>
                <w:szCs w:val="20"/>
                <w:color w:val="auto"/>
              </w:rPr>
            </w:pPr>
            <w:r>
              <w:rPr>
                <w:rFonts w:ascii="Arial" w:cs="Arial" w:eastAsia="Arial" w:hAnsi="Arial"/>
                <w:sz w:val="16"/>
                <w:szCs w:val="16"/>
                <w:b w:val="1"/>
                <w:bCs w:val="1"/>
                <w:color w:val="auto"/>
                <w:w w:val="90"/>
              </w:rPr>
              <w:t>369 N. New York Avenue, Suite 201</w:t>
            </w:r>
          </w:p>
        </w:tc>
        <w:tc>
          <w:tcPr>
            <w:tcW w:w="1360" w:type="dxa"/>
            <w:vAlign w:val="bottom"/>
          </w:tcPr>
          <w:p>
            <w:pPr>
              <w:spacing w:after="0"/>
              <w:rPr>
                <w:sz w:val="24"/>
                <w:szCs w:val="24"/>
                <w:color w:val="auto"/>
              </w:rPr>
            </w:pPr>
          </w:p>
        </w:tc>
      </w:tr>
      <w:tr>
        <w:trPr>
          <w:trHeight w:val="203"/>
        </w:trPr>
        <w:tc>
          <w:tcPr>
            <w:tcW w:w="5860" w:type="dxa"/>
            <w:vAlign w:val="bottom"/>
          </w:tcPr>
          <w:p>
            <w:pPr>
              <w:jc w:val="center"/>
              <w:ind w:right="3079"/>
              <w:spacing w:after="0"/>
              <w:rPr>
                <w:sz w:val="20"/>
                <w:szCs w:val="20"/>
                <w:color w:val="auto"/>
              </w:rPr>
            </w:pPr>
            <w:r>
              <w:rPr>
                <w:rFonts w:ascii="Arial" w:cs="Arial" w:eastAsia="Arial" w:hAnsi="Arial"/>
                <w:sz w:val="16"/>
                <w:szCs w:val="16"/>
                <w:b w:val="1"/>
                <w:bCs w:val="1"/>
                <w:color w:val="auto"/>
                <w:w w:val="96"/>
              </w:rPr>
              <w:t>Winter Park, Florida</w:t>
            </w: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auto"/>
              </w:rPr>
              <w:t>32789</w:t>
            </w:r>
          </w:p>
        </w:tc>
      </w:tr>
      <w:tr>
        <w:trPr>
          <w:trHeight w:val="210"/>
        </w:trPr>
        <w:tc>
          <w:tcPr>
            <w:tcW w:w="5860" w:type="dxa"/>
            <w:vAlign w:val="bottom"/>
          </w:tcPr>
          <w:p>
            <w:pPr>
              <w:jc w:val="center"/>
              <w:ind w:right="309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6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(Zip Code)</w:t>
            </w:r>
          </w:p>
        </w:tc>
      </w:tr>
      <w:tr>
        <w:trPr>
          <w:trHeight w:val="262"/>
        </w:trPr>
        <w:tc>
          <w:tcPr>
            <w:tcW w:w="5860" w:type="dxa"/>
            <w:vAlign w:val="bottom"/>
          </w:tcPr>
          <w:p>
            <w:pPr>
              <w:jc w:val="right"/>
              <w:ind w:right="1339"/>
              <w:spacing w:after="0"/>
              <w:rPr>
                <w:sz w:val="20"/>
                <w:szCs w:val="20"/>
                <w:color w:val="auto"/>
              </w:rPr>
            </w:pPr>
            <w:r>
              <w:rPr>
                <w:rFonts w:ascii="Arial" w:cs="Arial" w:eastAsia="Arial" w:hAnsi="Arial"/>
                <w:sz w:val="16"/>
                <w:szCs w:val="16"/>
                <w:b w:val="1"/>
                <w:bCs w:val="1"/>
                <w:color w:val="auto"/>
              </w:rPr>
              <w:t>(407) 904-3324</w:t>
            </w:r>
          </w:p>
        </w:tc>
        <w:tc>
          <w:tcPr>
            <w:tcW w:w="1360" w:type="dxa"/>
            <w:vAlign w:val="bottom"/>
          </w:tcPr>
          <w:p>
            <w:pPr>
              <w:spacing w:after="0"/>
              <w:rPr>
                <w:sz w:val="22"/>
                <w:szCs w:val="22"/>
                <w:color w:val="auto"/>
              </w:rPr>
            </w:pPr>
          </w:p>
        </w:tc>
      </w:tr>
      <w:tr>
        <w:trPr>
          <w:trHeight w:val="210"/>
        </w:trPr>
        <w:tc>
          <w:tcPr>
            <w:tcW w:w="5860" w:type="dxa"/>
            <w:vAlign w:val="bottom"/>
          </w:tcPr>
          <w:p>
            <w:pPr>
              <w:jc w:val="center"/>
              <w:ind w:left="191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60" w:type="dxa"/>
            <w:vAlign w:val="bottom"/>
          </w:tcPr>
          <w:p>
            <w:pPr>
              <w:spacing w:after="0"/>
              <w:rPr>
                <w:sz w:val="18"/>
                <w:szCs w:val="18"/>
                <w:color w:val="auto"/>
              </w:rPr>
            </w:pPr>
          </w:p>
        </w:tc>
      </w:tr>
    </w:tbl>
    <w:p>
      <w:pPr>
        <w:spacing w:after="0" w:line="3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80645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65"/>
        </w:trPr>
        <w:tc>
          <w:tcPr>
            <w:tcW w:w="416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89"/>
              </w:rPr>
              <w:t>Title of each class:</w:t>
            </w:r>
          </w:p>
        </w:tc>
        <w:tc>
          <w:tcPr>
            <w:tcW w:w="2500" w:type="dxa"/>
            <w:vAlign w:val="bottom"/>
          </w:tcPr>
          <w:p>
            <w:pPr>
              <w:jc w:val="center"/>
              <w:ind w:right="504"/>
              <w:spacing w:after="0"/>
              <w:rPr>
                <w:sz w:val="20"/>
                <w:szCs w:val="20"/>
                <w:color w:val="auto"/>
              </w:rPr>
            </w:pPr>
            <w:r>
              <w:rPr>
                <w:rFonts w:ascii="Arial" w:cs="Arial" w:eastAsia="Arial" w:hAnsi="Arial"/>
                <w:sz w:val="16"/>
                <w:szCs w:val="16"/>
                <w:b w:val="1"/>
                <w:bCs w:val="1"/>
                <w:color w:val="auto"/>
                <w:w w:val="92"/>
              </w:rPr>
              <w:t>Trading Symbol</w:t>
            </w:r>
          </w:p>
        </w:tc>
        <w:tc>
          <w:tcPr>
            <w:tcW w:w="2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6"/>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jc w:val="center"/>
              <w:ind w:right="484"/>
              <w:spacing w:after="0"/>
              <w:rPr>
                <w:sz w:val="20"/>
                <w:szCs w:val="20"/>
                <w:color w:val="auto"/>
              </w:rPr>
            </w:pPr>
            <w:r>
              <w:rPr>
                <w:rFonts w:ascii="Arial" w:cs="Arial" w:eastAsia="Arial" w:hAnsi="Arial"/>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NYSE</w:t>
            </w:r>
          </w:p>
        </w:tc>
      </w:tr>
    </w:tbl>
    <w:p>
      <w:pPr>
        <w:spacing w:after="0" w:line="222" w:lineRule="exact"/>
        <w:rPr>
          <w:sz w:val="24"/>
          <w:szCs w:val="24"/>
          <w:color w:val="auto"/>
        </w:rPr>
      </w:pPr>
    </w:p>
    <w:p>
      <w:pPr>
        <w:jc w:val="both"/>
        <w:ind w:left="20" w:firstLine="441"/>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jc w:val="both"/>
        <w:ind w:left="20" w:firstLine="441"/>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jc w:val="both"/>
        <w:ind w:left="20" w:firstLine="441"/>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firstLine="441"/>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60" w:right="1260"/>
        <w:spacing w:after="0" w:line="24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on July 13, 2023 was 14,049,941.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441325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64135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8060" w:type="dxa"/>
            <w:vAlign w:val="bottom"/>
            <w:gridSpan w:val="25"/>
          </w:tcPr>
          <w:p>
            <w:pPr>
              <w:spacing w:after="0"/>
              <w:rPr>
                <w:sz w:val="20"/>
                <w:szCs w:val="20"/>
                <w:color w:val="auto"/>
              </w:rPr>
            </w:pPr>
            <w:r>
              <w:rPr>
                <w:rFonts w:ascii="Arial" w:cs="Arial" w:eastAsia="Arial" w:hAnsi="Arial"/>
                <w:sz w:val="18"/>
                <w:szCs w:val="18"/>
                <w:color w:val="0000EE"/>
              </w:rPr>
              <w:t>Table of Contents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20" w:type="dxa"/>
            <w:vAlign w:val="bottom"/>
            <w:gridSpan w:val="10"/>
          </w:tcPr>
          <w:p>
            <w:pPr>
              <w:ind w:left="1120"/>
              <w:spacing w:after="0"/>
              <w:rPr>
                <w:sz w:val="20"/>
                <w:szCs w:val="20"/>
                <w:color w:val="auto"/>
              </w:rPr>
            </w:pPr>
            <w:r>
              <w:rPr>
                <w:rFonts w:ascii="Arial" w:cs="Arial" w:eastAsia="Arial" w:hAnsi="Arial"/>
                <w:sz w:val="18"/>
                <w:szCs w:val="18"/>
                <w:color w:val="auto"/>
              </w:rPr>
              <w:t>INDEX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2960" w:type="dxa"/>
            <w:vAlign w:val="bottom"/>
            <w:gridSpan w:val="14"/>
            <w:vMerge w:val="restart"/>
          </w:tcPr>
          <w:p>
            <w:pPr>
              <w:spacing w:after="0"/>
              <w:rPr>
                <w:sz w:val="20"/>
                <w:szCs w:val="20"/>
                <w:color w:val="auto"/>
              </w:rPr>
            </w:pPr>
            <w:r>
              <w:rPr>
                <w:rFonts w:ascii="Arial" w:cs="Arial" w:eastAsia="Arial" w:hAnsi="Arial"/>
                <w:sz w:val="18"/>
                <w:szCs w:val="18"/>
                <w:color w:val="0000EE"/>
                <w:w w:val="97"/>
              </w:rPr>
              <w:t>PART I—FINANCIAL INFORMATION</w:t>
            </w:r>
          </w:p>
        </w:tc>
        <w:tc>
          <w:tcPr>
            <w:tcW w:w="5100" w:type="dxa"/>
            <w:vAlign w:val="bottom"/>
            <w:gridSpan w:val="11"/>
            <w:vMerge w:val="restart"/>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0000EE"/>
            </w:tcBorders>
            <w:gridSpan w:val="14"/>
            <w:vMerge w:val="continue"/>
          </w:tcPr>
          <w:p>
            <w:pPr>
              <w:spacing w:after="0"/>
              <w:rPr>
                <w:sz w:val="13"/>
                <w:szCs w:val="13"/>
                <w:color w:val="auto"/>
              </w:rPr>
            </w:pPr>
          </w:p>
        </w:tc>
        <w:tc>
          <w:tcPr>
            <w:tcW w:w="5100" w:type="dxa"/>
            <w:vAlign w:val="bottom"/>
            <w:gridSpan w:val="11"/>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80" w:type="dxa"/>
            <w:vAlign w:val="bottom"/>
            <w:gridSpan w:val="2"/>
          </w:tcPr>
          <w:p>
            <w:pPr>
              <w:spacing w:after="0"/>
              <w:rPr>
                <w:sz w:val="20"/>
                <w:szCs w:val="20"/>
                <w:color w:val="auto"/>
              </w:rPr>
            </w:pPr>
            <w:r>
              <w:rPr>
                <w:rFonts w:ascii="Arial" w:cs="Arial" w:eastAsia="Arial" w:hAnsi="Arial"/>
                <w:sz w:val="18"/>
                <w:szCs w:val="18"/>
                <w:color w:val="0000EE"/>
              </w:rPr>
              <w:t>Item 1.</w:t>
            </w:r>
          </w:p>
        </w:tc>
        <w:tc>
          <w:tcPr>
            <w:tcW w:w="7380" w:type="dxa"/>
            <w:vAlign w:val="bottom"/>
            <w:gridSpan w:val="23"/>
          </w:tcPr>
          <w:p>
            <w:pPr>
              <w:ind w:left="40"/>
              <w:spacing w:after="0"/>
              <w:rPr>
                <w:sz w:val="20"/>
                <w:szCs w:val="20"/>
                <w:color w:val="auto"/>
              </w:rPr>
            </w:pPr>
            <w:r>
              <w:rPr>
                <w:rFonts w:ascii="Arial" w:cs="Arial" w:eastAsia="Arial" w:hAnsi="Arial"/>
                <w:sz w:val="18"/>
                <w:szCs w:val="18"/>
                <w:color w:val="0000EE"/>
              </w:rPr>
              <w:t>Financial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40" w:type="dxa"/>
            <w:vAlign w:val="bottom"/>
            <w:gridSpan w:val="24"/>
          </w:tcPr>
          <w:p>
            <w:pPr>
              <w:spacing w:after="0"/>
              <w:rPr>
                <w:sz w:val="20"/>
                <w:szCs w:val="20"/>
                <w:color w:val="auto"/>
              </w:rPr>
            </w:pPr>
            <w:r>
              <w:rPr>
                <w:rFonts w:ascii="Arial" w:cs="Arial" w:eastAsia="Arial" w:hAnsi="Arial"/>
                <w:sz w:val="18"/>
                <w:szCs w:val="18"/>
                <w:color w:val="0000EE"/>
              </w:rPr>
              <w:t>Consolidated Balance Sheets – June 30, 2023 (Unaudited) and December 31, 2022</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67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8"/>
              </w:rPr>
              <w:t>Consolidated Statements of Operations – Three and six months ended June 30, 2023 and 2022</w:t>
            </w:r>
          </w:p>
        </w:tc>
        <w:tc>
          <w:tcPr>
            <w:tcW w:w="96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40" w:type="dxa"/>
            <w:vAlign w:val="bottom"/>
            <w:gridSpan w:val="24"/>
          </w:tcPr>
          <w:p>
            <w:pPr>
              <w:spacing w:after="0" w:line="196" w:lineRule="exact"/>
              <w:rPr>
                <w:sz w:val="20"/>
                <w:szCs w:val="20"/>
                <w:color w:val="auto"/>
              </w:rPr>
            </w:pPr>
            <w:r>
              <w:rPr>
                <w:rFonts w:ascii="Arial" w:cs="Arial" w:eastAsia="Arial" w:hAnsi="Arial"/>
                <w:sz w:val="18"/>
                <w:szCs w:val="18"/>
                <w:color w:val="0000EE"/>
              </w:rPr>
              <w:t>(Unaudited)</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3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8"/>
              </w:rPr>
              <w:t>Consolidated Statements of Comprehensive Income – Three and six months ended June 30, 2023 and</w:t>
            </w:r>
          </w:p>
        </w:tc>
        <w:tc>
          <w:tcPr>
            <w:tcW w:w="4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40" w:type="dxa"/>
            <w:vAlign w:val="bottom"/>
            <w:gridSpan w:val="24"/>
          </w:tcPr>
          <w:p>
            <w:pPr>
              <w:spacing w:after="0" w:line="196" w:lineRule="exact"/>
              <w:rPr>
                <w:sz w:val="20"/>
                <w:szCs w:val="20"/>
                <w:color w:val="auto"/>
              </w:rPr>
            </w:pPr>
            <w:r>
              <w:rPr>
                <w:rFonts w:ascii="Arial" w:cs="Arial" w:eastAsia="Arial" w:hAnsi="Arial"/>
                <w:sz w:val="18"/>
                <w:szCs w:val="18"/>
                <w:color w:val="0000EE"/>
              </w:rPr>
              <w:t>2022 (Unaudited)</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5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89"/>
              </w:rPr>
              <w:t>Consolidated Statements of Stockholders’ Equity – Three and six months ended June 30, 2023 and 2022</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40" w:type="dxa"/>
            <w:vAlign w:val="bottom"/>
            <w:gridSpan w:val="24"/>
          </w:tcPr>
          <w:p>
            <w:pPr>
              <w:spacing w:after="0" w:line="196" w:lineRule="exact"/>
              <w:rPr>
                <w:sz w:val="20"/>
                <w:szCs w:val="20"/>
                <w:color w:val="auto"/>
              </w:rPr>
            </w:pPr>
            <w:r>
              <w:rPr>
                <w:rFonts w:ascii="Arial" w:cs="Arial" w:eastAsia="Arial" w:hAnsi="Arial"/>
                <w:sz w:val="18"/>
                <w:szCs w:val="18"/>
                <w:color w:val="0000EE"/>
              </w:rPr>
              <w:t>(Unaudited)</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40" w:type="dxa"/>
            <w:vAlign w:val="bottom"/>
            <w:gridSpan w:val="24"/>
          </w:tcPr>
          <w:p>
            <w:pPr>
              <w:spacing w:after="0"/>
              <w:rPr>
                <w:sz w:val="20"/>
                <w:szCs w:val="20"/>
                <w:color w:val="auto"/>
              </w:rPr>
            </w:pPr>
            <w:r>
              <w:rPr>
                <w:rFonts w:ascii="Arial" w:cs="Arial" w:eastAsia="Arial" w:hAnsi="Arial"/>
                <w:sz w:val="18"/>
                <w:szCs w:val="18"/>
                <w:color w:val="0000EE"/>
                <w:w w:val="98"/>
              </w:rPr>
              <w:t>Consolidated Statements of Cash Flows – Six months ended June 30, 2023 and 2022 (Unaudited)</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89"/>
              </w:rPr>
              <w:t>Notes to Consolidated Financial Statements (Unaudited)</w:t>
            </w:r>
          </w:p>
        </w:tc>
        <w:tc>
          <w:tcPr>
            <w:tcW w:w="2940" w:type="dxa"/>
            <w:vAlign w:val="bottom"/>
            <w:tcBorders>
              <w:top w:val="single" w:sz="8" w:color="0000EE"/>
            </w:tcBorders>
            <w:gridSpan w:val="6"/>
          </w:tcPr>
          <w:p>
            <w:pPr>
              <w:spacing w:after="0"/>
              <w:rPr>
                <w:sz w:val="24"/>
                <w:szCs w:val="24"/>
                <w:color w:val="auto"/>
              </w:rPr>
            </w:pPr>
          </w:p>
        </w:tc>
        <w:tc>
          <w:tcPr>
            <w:tcW w:w="74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71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88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51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3"/>
              </w:rPr>
              <w:t>Item 3.   Quantitative and Qualitative Disclosures About Market Risk</w:t>
            </w:r>
          </w:p>
        </w:tc>
        <w:tc>
          <w:tcPr>
            <w:tcW w:w="296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5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2"/>
              </w:rPr>
              <w:t>Item 4.   Controls and Procedures</w:t>
            </w:r>
          </w:p>
        </w:tc>
        <w:tc>
          <w:tcPr>
            <w:tcW w:w="556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5"/>
              </w:rPr>
              <w:t>PART II—OTHER INFORMATION</w:t>
            </w:r>
          </w:p>
        </w:tc>
        <w:tc>
          <w:tcPr>
            <w:tcW w:w="540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rPr>
              <w:t>Item 1.</w:t>
            </w:r>
          </w:p>
        </w:tc>
        <w:tc>
          <w:tcPr>
            <w:tcW w:w="1380" w:type="dxa"/>
            <w:vAlign w:val="bottom"/>
            <w:tcBorders>
              <w:bottom w:val="single" w:sz="8" w:color="0000EE"/>
            </w:tcBorders>
            <w:gridSpan w:val="8"/>
          </w:tcPr>
          <w:p>
            <w:pPr>
              <w:ind w:left="40"/>
              <w:spacing w:after="0"/>
              <w:rPr>
                <w:sz w:val="20"/>
                <w:szCs w:val="20"/>
                <w:color w:val="auto"/>
              </w:rPr>
            </w:pPr>
            <w:r>
              <w:rPr>
                <w:rFonts w:ascii="Arial" w:cs="Arial" w:eastAsia="Arial" w:hAnsi="Arial"/>
                <w:sz w:val="18"/>
                <w:szCs w:val="18"/>
                <w:color w:val="0000EE"/>
                <w:w w:val="88"/>
              </w:rPr>
              <w:t>Legal Proceedings</w:t>
            </w:r>
          </w:p>
        </w:tc>
        <w:tc>
          <w:tcPr>
            <w:tcW w:w="600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Arial" w:cs="Arial" w:eastAsia="Arial" w:hAnsi="Arial"/>
                <w:sz w:val="18"/>
                <w:szCs w:val="18"/>
                <w:color w:val="0000EE"/>
                <w:w w:val="98"/>
              </w:rPr>
              <w:t>Item 1A.</w:t>
            </w:r>
          </w:p>
        </w:tc>
        <w:tc>
          <w:tcPr>
            <w:tcW w:w="7380" w:type="dxa"/>
            <w:vAlign w:val="bottom"/>
            <w:gridSpan w:val="23"/>
          </w:tcPr>
          <w:p>
            <w:pPr>
              <w:ind w:left="40"/>
              <w:spacing w:after="0"/>
              <w:rPr>
                <w:sz w:val="20"/>
                <w:szCs w:val="20"/>
                <w:color w:val="auto"/>
              </w:rPr>
            </w:pPr>
            <w:r>
              <w:rPr>
                <w:rFonts w:ascii="Arial" w:cs="Arial" w:eastAsia="Arial" w:hAnsi="Arial"/>
                <w:sz w:val="18"/>
                <w:szCs w:val="18"/>
                <w:color w:val="0000EE"/>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1"/>
              </w:rPr>
              <w:t>Item 2.   Unregistered Sales of Equity Securities and Use of Proceeds</w:t>
            </w:r>
          </w:p>
        </w:tc>
        <w:tc>
          <w:tcPr>
            <w:tcW w:w="298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8060" w:type="dxa"/>
            <w:vAlign w:val="bottom"/>
            <w:gridSpan w:val="25"/>
          </w:tcPr>
          <w:p>
            <w:pPr>
              <w:spacing w:after="0"/>
              <w:rPr>
                <w:sz w:val="20"/>
                <w:szCs w:val="20"/>
                <w:color w:val="auto"/>
              </w:rPr>
            </w:pPr>
            <w:r>
              <w:rPr>
                <w:rFonts w:ascii="Arial" w:cs="Arial" w:eastAsia="Arial" w:hAnsi="Arial"/>
                <w:sz w:val="18"/>
                <w:szCs w:val="18"/>
                <w:color w:val="0000EE"/>
              </w:rPr>
              <w:t>Item 3.   Defaults Upon Senior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4"/>
              </w:rPr>
              <w:t>Item 4.   Mine Safety Disclosures</w:t>
            </w:r>
          </w:p>
        </w:tc>
        <w:tc>
          <w:tcPr>
            <w:tcW w:w="540" w:type="dxa"/>
            <w:vAlign w:val="bottom"/>
            <w:tcBorders>
              <w:top w:val="single" w:sz="8" w:color="0000EE"/>
            </w:tcBorders>
            <w:gridSpan w:val="3"/>
          </w:tcPr>
          <w:p>
            <w:pPr>
              <w:spacing w:after="0"/>
              <w:rPr>
                <w:sz w:val="24"/>
                <w:szCs w:val="24"/>
                <w:color w:val="auto"/>
              </w:rPr>
            </w:pPr>
          </w:p>
        </w:tc>
        <w:tc>
          <w:tcPr>
            <w:tcW w:w="502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rPr>
              <w:t>Item 5.</w:t>
            </w:r>
          </w:p>
        </w:tc>
        <w:tc>
          <w:tcPr>
            <w:tcW w:w="1360" w:type="dxa"/>
            <w:vAlign w:val="bottom"/>
            <w:tcBorders>
              <w:bottom w:val="single" w:sz="8" w:color="0000EE"/>
            </w:tcBorders>
            <w:gridSpan w:val="7"/>
          </w:tcPr>
          <w:p>
            <w:pPr>
              <w:ind w:left="40"/>
              <w:spacing w:after="0"/>
              <w:rPr>
                <w:sz w:val="20"/>
                <w:szCs w:val="20"/>
                <w:color w:val="auto"/>
              </w:rPr>
            </w:pPr>
            <w:r>
              <w:rPr>
                <w:rFonts w:ascii="Arial" w:cs="Arial" w:eastAsia="Arial" w:hAnsi="Arial"/>
                <w:sz w:val="18"/>
                <w:szCs w:val="18"/>
                <w:color w:val="0000EE"/>
                <w:w w:val="92"/>
              </w:rPr>
              <w:t>Other Information</w:t>
            </w:r>
          </w:p>
        </w:tc>
        <w:tc>
          <w:tcPr>
            <w:tcW w:w="602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Arial" w:cs="Arial" w:eastAsia="Arial" w:hAnsi="Arial"/>
                <w:sz w:val="18"/>
                <w:szCs w:val="18"/>
                <w:color w:val="0000EE"/>
              </w:rPr>
              <w:t>Item 6.</w:t>
            </w:r>
          </w:p>
        </w:tc>
        <w:tc>
          <w:tcPr>
            <w:tcW w:w="7380" w:type="dxa"/>
            <w:vAlign w:val="bottom"/>
            <w:gridSpan w:val="23"/>
          </w:tcPr>
          <w:p>
            <w:pPr>
              <w:ind w:left="40"/>
              <w:spacing w:after="0"/>
              <w:rPr>
                <w:sz w:val="20"/>
                <w:szCs w:val="20"/>
                <w:color w:val="auto"/>
              </w:rPr>
            </w:pPr>
            <w:r>
              <w:rPr>
                <w:rFonts w:ascii="Arial" w:cs="Arial" w:eastAsia="Arial" w:hAnsi="Arial"/>
                <w:sz w:val="18"/>
                <w:szCs w:val="18"/>
                <w:color w:val="0000EE"/>
              </w:rPr>
              <w:t>Exhibits</w:t>
            </w: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SIGNATURES</w:t>
            </w:r>
          </w:p>
        </w:tc>
        <w:tc>
          <w:tcPr>
            <w:tcW w:w="220" w:type="dxa"/>
            <w:vAlign w:val="bottom"/>
            <w:tcBorders>
              <w:top w:val="single" w:sz="8" w:color="0000EE"/>
            </w:tcBorders>
            <w:gridSpan w:val="3"/>
          </w:tcPr>
          <w:p>
            <w:pPr>
              <w:spacing w:after="0"/>
              <w:rPr>
                <w:sz w:val="24"/>
                <w:szCs w:val="24"/>
                <w:color w:val="auto"/>
              </w:rPr>
            </w:pPr>
          </w:p>
        </w:tc>
        <w:tc>
          <w:tcPr>
            <w:tcW w:w="6740" w:type="dxa"/>
            <w:vAlign w:val="bottom"/>
            <w:gridSpan w:val="1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r>
      <w:tr>
        <w:trPr>
          <w:trHeight w:val="191"/>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97"/>
              </w:rPr>
              <w:t>(Unaudited)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7"/>
              </w:rPr>
              <w:t>December 31,</w:t>
            </w:r>
          </w:p>
        </w:tc>
      </w:tr>
      <w:tr>
        <w:trPr>
          <w:trHeight w:val="234"/>
        </w:trPr>
        <w:tc>
          <w:tcPr>
            <w:tcW w:w="6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June 30, 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10"/>
        </w:trPr>
        <w:tc>
          <w:tcPr>
            <w:tcW w:w="6200" w:type="dxa"/>
            <w:vAlign w:val="bottom"/>
            <w:tcBorders>
              <w:top w:val="single" w:sz="8" w:color="CCEEFF"/>
            </w:tcBorders>
            <w:shd w:val="clear" w:color="auto" w:fill="CCEEFF"/>
          </w:tcPr>
          <w:p>
            <w:pPr>
              <w:ind w:left="27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at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151,703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176,857</w:t>
            </w: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Building and Improvements, at Cost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322,510</w:t>
            </w:r>
          </w:p>
        </w:tc>
      </w:tr>
      <w:tr>
        <w:trPr>
          <w:trHeight w:val="210"/>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Real Estate, at Cost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499,367</w:t>
            </w: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(28,569)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(22,313)</w:t>
            </w:r>
          </w:p>
        </w:tc>
      </w:tr>
      <w:tr>
        <w:trPr>
          <w:trHeight w:val="20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Estate—Net</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477,054</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4,026</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60,432</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Straight-Line Rent Adjustment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1,668</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21,233</w:t>
            </w:r>
          </w:p>
        </w:tc>
      </w:tr>
      <w:tr>
        <w:trPr>
          <w:trHeight w:val="249"/>
        </w:trPr>
        <w:tc>
          <w:tcPr>
            <w:tcW w:w="6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566,685</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573,431</w:t>
            </w:r>
          </w:p>
        </w:tc>
      </w:tr>
      <w:tr>
        <w:trPr>
          <w:trHeight w:val="197"/>
        </w:trPr>
        <w:tc>
          <w:tcPr>
            <w:tcW w:w="6200" w:type="dxa"/>
            <w:vAlign w:val="bottom"/>
            <w:shd w:val="clear" w:color="auto" w:fill="CCEEFF"/>
          </w:tcPr>
          <w:p>
            <w:pPr>
              <w:ind w:left="1960"/>
              <w:spacing w:after="0" w:line="195" w:lineRule="exact"/>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Prepaid Rent and Deferred Revenue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1,479</w:t>
            </w: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Lease Liabilities—Net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267,116</w:t>
            </w:r>
          </w:p>
        </w:tc>
      </w:tr>
      <w:tr>
        <w:trPr>
          <w:trHeight w:val="210"/>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262,405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278,056</w:t>
            </w:r>
          </w:p>
        </w:tc>
      </w:tr>
      <w:tr>
        <w:trPr>
          <w:trHeight w:val="209"/>
        </w:trPr>
        <w:tc>
          <w:tcPr>
            <w:tcW w:w="6200" w:type="dxa"/>
            <w:vAlign w:val="bottom"/>
          </w:tcPr>
          <w:p>
            <w:pPr>
              <w:ind w:left="20"/>
              <w:spacing w:after="0"/>
              <w:rPr>
                <w:sz w:val="20"/>
                <w:szCs w:val="20"/>
                <w:color w:val="auto"/>
              </w:rPr>
            </w:pPr>
            <w:r>
              <w:rPr>
                <w:rFonts w:ascii="Arial" w:cs="Arial" w:eastAsia="Arial" w:hAnsi="Arial"/>
                <w:sz w:val="18"/>
                <w:szCs w:val="18"/>
                <w:color w:val="auto"/>
              </w:rPr>
              <w:t>Commitments and Contingencies—See Note 16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2"/>
        </w:trPr>
        <w:tc>
          <w:tcPr>
            <w:tcW w:w="6200" w:type="dxa"/>
            <w:vAlign w:val="bottom"/>
          </w:tcPr>
          <w:p>
            <w:pPr>
              <w:ind w:left="120"/>
              <w:spacing w:after="0" w:line="201" w:lineRule="exact"/>
              <w:rPr>
                <w:sz w:val="20"/>
                <w:szCs w:val="20"/>
                <w:color w:val="auto"/>
              </w:rPr>
            </w:pPr>
            <w:r>
              <w:rPr>
                <w:rFonts w:ascii="Arial" w:cs="Arial" w:eastAsia="Arial" w:hAnsi="Arial"/>
                <w:sz w:val="18"/>
                <w:szCs w:val="18"/>
                <w:color w:val="auto"/>
                <w:w w:val="89"/>
              </w:rPr>
              <w:t>Preferred Stock, $0.01 par value per share, 100 million shares authorized, no shares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200" w:type="dxa"/>
            <w:vAlign w:val="bottom"/>
          </w:tcPr>
          <w:p>
            <w:pPr>
              <w:ind w:left="120"/>
              <w:spacing w:after="0"/>
              <w:rPr>
                <w:sz w:val="20"/>
                <w:szCs w:val="20"/>
                <w:color w:val="auto"/>
              </w:rPr>
            </w:pPr>
            <w:r>
              <w:rPr>
                <w:rFonts w:ascii="Arial" w:cs="Arial" w:eastAsia="Arial" w:hAnsi="Arial"/>
                <w:sz w:val="18"/>
                <w:szCs w:val="18"/>
                <w:color w:val="auto"/>
              </w:rPr>
              <w:t>issued and outstanding as of June 30, 2023 and December 31, 2022</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2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$0.01 par value per share, 500 million shares authorized,</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14,045,001 shares issued and outstanding as of June 30, 2023 and 13,394,677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as of December 31, 2022</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62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248,958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236,841</w:t>
            </w: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w:t>
            </w:r>
          </w:p>
        </w:tc>
      </w:tr>
      <w:tr>
        <w:trPr>
          <w:trHeight w:val="216"/>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14,601</w:t>
            </w:r>
          </w:p>
        </w:tc>
      </w:tr>
      <w:tr>
        <w:trPr>
          <w:trHeight w:val="210"/>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261,618</w:t>
            </w:r>
          </w:p>
        </w:tc>
      </w:tr>
      <w:tr>
        <w:trPr>
          <w:trHeight w:val="216"/>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33,757</w:t>
            </w:r>
          </w:p>
        </w:tc>
      </w:tr>
      <w:tr>
        <w:trPr>
          <w:trHeight w:val="210"/>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295,375</w:t>
            </w:r>
          </w:p>
        </w:tc>
      </w:tr>
      <w:tr>
        <w:trPr>
          <w:trHeight w:val="210"/>
        </w:trPr>
        <w:tc>
          <w:tcPr>
            <w:tcW w:w="62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573,431</w:t>
            </w: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07"/>
        </w:trPr>
        <w:tc>
          <w:tcPr>
            <w:tcW w:w="404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40" w:type="dxa"/>
            <w:vAlign w:val="bottom"/>
            <w:gridSpan w:val="8"/>
          </w:tcPr>
          <w:p>
            <w:pPr>
              <w:jc w:val="center"/>
              <w:ind w:left="1050"/>
              <w:spacing w:after="0"/>
              <w:rPr>
                <w:sz w:val="20"/>
                <w:szCs w:val="20"/>
                <w:color w:val="auto"/>
              </w:rPr>
            </w:pPr>
            <w:r>
              <w:rPr>
                <w:rFonts w:ascii="Arial" w:cs="Arial" w:eastAsia="Arial" w:hAnsi="Arial"/>
                <w:sz w:val="18"/>
                <w:szCs w:val="18"/>
                <w:color w:val="auto"/>
                <w:w w:val="94"/>
              </w:rPr>
              <w:t>ALPINE INCOME PROPERTY TRUST,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40" w:type="dxa"/>
            <w:vAlign w:val="bottom"/>
            <w:gridSpan w:val="8"/>
          </w:tcPr>
          <w:p>
            <w:pPr>
              <w:jc w:val="center"/>
              <w:ind w:left="1030"/>
              <w:spacing w:after="0"/>
              <w:rPr>
                <w:sz w:val="20"/>
                <w:szCs w:val="20"/>
                <w:color w:val="auto"/>
              </w:rPr>
            </w:pPr>
            <w:r>
              <w:rPr>
                <w:rFonts w:ascii="Arial" w:cs="Arial" w:eastAsia="Arial" w:hAnsi="Arial"/>
                <w:sz w:val="18"/>
                <w:szCs w:val="18"/>
                <w:color w:val="auto"/>
                <w:w w:val="94"/>
              </w:rPr>
              <w:t>CONSOLIDATED STATEMENTS OF OPERATIONS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40" w:type="dxa"/>
            <w:vAlign w:val="bottom"/>
            <w:gridSpan w:val="9"/>
          </w:tcPr>
          <w:p>
            <w:pPr>
              <w:jc w:val="center"/>
              <w:ind w:left="830"/>
              <w:spacing w:after="0"/>
              <w:rPr>
                <w:sz w:val="20"/>
                <w:szCs w:val="20"/>
                <w:color w:val="auto"/>
              </w:rPr>
            </w:pPr>
            <w:r>
              <w:rPr>
                <w:rFonts w:ascii="Arial" w:cs="Arial" w:eastAsia="Arial" w:hAnsi="Arial"/>
                <w:sz w:val="18"/>
                <w:szCs w:val="18"/>
                <w:color w:val="auto"/>
                <w:w w:val="88"/>
              </w:rPr>
              <w:t>(Unaudited, in thousands, except share and per share data)</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0"/>
              </w:rPr>
              <w:t>June 30, 2023</w:t>
            </w:r>
          </w:p>
        </w:tc>
        <w:tc>
          <w:tcPr>
            <w:tcW w:w="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Pr>
          <w:p>
            <w:pPr>
              <w:spacing w:after="0"/>
              <w:rPr>
                <w:sz w:val="18"/>
                <w:szCs w:val="18"/>
                <w:color w:val="auto"/>
              </w:rPr>
            </w:pPr>
          </w:p>
        </w:tc>
        <w:tc>
          <w:tcPr>
            <w:tcW w:w="12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2"/>
              </w:rPr>
              <w:t>June 30, 2023</w:t>
            </w:r>
          </w:p>
        </w:tc>
        <w:tc>
          <w:tcPr>
            <w:tcW w:w="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2022</w:t>
            </w:r>
          </w:p>
        </w:tc>
        <w:tc>
          <w:tcPr>
            <w:tcW w:w="0" w:type="dxa"/>
            <w:vAlign w:val="bottom"/>
          </w:tcPr>
          <w:p>
            <w:pPr>
              <w:spacing w:after="0"/>
              <w:rPr>
                <w:sz w:val="1"/>
                <w:szCs w:val="1"/>
                <w:color w:val="auto"/>
              </w:rPr>
            </w:pPr>
          </w:p>
        </w:tc>
      </w:tr>
      <w:tr>
        <w:trPr>
          <w:trHeight w:val="209"/>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Lease Income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11,439</w:t>
            </w:r>
          </w:p>
        </w:tc>
        <w:tc>
          <w:tcPr>
            <w:tcW w:w="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22,605</w:t>
            </w:r>
          </w:p>
        </w:tc>
        <w:tc>
          <w:tcPr>
            <w:tcW w:w="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22,079</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22,079</w:t>
            </w:r>
          </w:p>
        </w:tc>
        <w:tc>
          <w:tcPr>
            <w:tcW w:w="0" w:type="dxa"/>
            <w:vAlign w:val="bottom"/>
          </w:tcPr>
          <w:p>
            <w:pPr>
              <w:spacing w:after="0"/>
              <w:rPr>
                <w:sz w:val="1"/>
                <w:szCs w:val="1"/>
                <w:color w:val="auto"/>
              </w:rPr>
            </w:pPr>
          </w:p>
        </w:tc>
      </w:tr>
      <w:tr>
        <w:trPr>
          <w:trHeight w:val="209"/>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9,654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16,653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 on Disposition of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Gain on Extinguishment of Debt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10"/>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182"/>
        </w:trPr>
        <w:tc>
          <w:tcPr>
            <w:tcW w:w="4040" w:type="dxa"/>
            <w:vAlign w:val="bottom"/>
            <w:tcBorders>
              <w:top w:val="single" w:sz="8" w:color="CCEEFF"/>
            </w:tcBorders>
            <w:gridSpan w:val="3"/>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Net Income Attributable to Alpine Income Property</w:t>
            </w:r>
          </w:p>
        </w:tc>
        <w:tc>
          <w:tcPr>
            <w:tcW w:w="18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vMerge w:val="restart"/>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14,282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vMerge w:val="restart"/>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Trust, Inc.</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9"/>
              </w:rPr>
              <w:t>Net Income Attributable to Alpine Income Property</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Trust, Inc.</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14,059,173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11,844,108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14,030,025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11,753,904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15,762,667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13,547,602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15,733,519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13,457,398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left="3380"/>
        <w:spacing w:after="0" w:line="263" w:lineRule="auto"/>
        <w:rPr>
          <w:sz w:val="20"/>
          <w:szCs w:val="20"/>
          <w:color w:val="auto"/>
        </w:rPr>
      </w:pPr>
      <w:r>
        <w:rPr>
          <w:rFonts w:ascii="Arial" w:cs="Arial" w:eastAsia="Arial" w:hAnsi="Arial"/>
          <w:sz w:val="18"/>
          <w:szCs w:val="18"/>
          <w:color w:val="auto"/>
        </w:rPr>
        <w:t>ALPINE INCOME PROPERTY TRUST, INC. CONSOLIDATED STATEMENTS OF COMPREHENSIVE INCOME (Unaudited,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line="258" w:lineRule="auto"/>
        <w:rPr>
          <w:sz w:val="20"/>
          <w:szCs w:val="20"/>
          <w:color w:val="auto"/>
        </w:rPr>
      </w:pPr>
      <w:r>
        <w:rPr>
          <w:rFonts w:ascii="Arial" w:cs="Arial" w:eastAsia="Arial" w:hAnsi="Arial"/>
          <w:sz w:val="18"/>
          <w:szCs w:val="18"/>
          <w:color w:val="auto"/>
        </w:rPr>
        <w:t>Net Income Attributable to Alpine Income Property Trust, Inc.</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Comprehensive Income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2023</w:t>
            </w:r>
          </w:p>
        </w:tc>
        <w:tc>
          <w:tcPr>
            <w:tcW w:w="200" w:type="dxa"/>
            <w:vAlign w:val="bottom"/>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2022</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June 30, 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6"/>
              </w:rPr>
              <w:t>June 30, 2022</w:t>
            </w:r>
          </w:p>
        </w:tc>
      </w:tr>
      <w:tr>
        <w:trPr>
          <w:trHeight w:val="412"/>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14,282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3,419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15,088</w:t>
            </w:r>
          </w:p>
        </w:tc>
      </w:tr>
      <w:tr>
        <w:trPr>
          <w:trHeight w:val="20"/>
        </w:trPr>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-273685</wp:posOffset>
            </wp:positionV>
            <wp:extent cx="565785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100" w:space="680"/>
            <w:col w:w="523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Cash Flow Hedging Derivative - Interest Rate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9,077</w:t>
            </w:r>
          </w:p>
        </w:tc>
        <w:tc>
          <w:tcPr>
            <w:tcW w:w="0" w:type="dxa"/>
            <w:vAlign w:val="bottom"/>
          </w:tcPr>
          <w:p>
            <w:pPr>
              <w:spacing w:after="0"/>
              <w:rPr>
                <w:sz w:val="1"/>
                <w:szCs w:val="1"/>
                <w:color w:val="auto"/>
              </w:rPr>
            </w:pPr>
          </w:p>
        </w:tc>
      </w:tr>
      <w:tr>
        <w:trPr>
          <w:trHeight w:val="217"/>
        </w:trPr>
        <w:tc>
          <w:tcPr>
            <w:tcW w:w="3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Swaps</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8"/>
                <w:szCs w:val="18"/>
                <w:color w:val="auto"/>
              </w:rPr>
              <w:t>Total Other Comprehensive Income</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1,613</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9,077</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5,032</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40" w:right="59"/>
        <w:spacing w:after="0" w:line="261" w:lineRule="auto"/>
        <w:rPr>
          <w:sz w:val="20"/>
          <w:szCs w:val="20"/>
          <w:color w:val="auto"/>
        </w:rPr>
      </w:pPr>
      <w:r>
        <w:rPr>
          <w:rFonts w:ascii="Arial" w:cs="Arial" w:eastAsia="Arial" w:hAnsi="Arial"/>
          <w:sz w:val="17"/>
          <w:szCs w:val="17"/>
          <w:color w:val="auto"/>
        </w:rPr>
        <w:t>ALPINE INCOME PROPERTY TRUST, INC. CONSOLIDATED STATEMENTS OF STOCKHOLDERS’ EQUITY (Unaudited, in thousands, except per share data)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three months ended June 30, 2023:</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Arial" w:cs="Arial" w:eastAsia="Arial" w:hAnsi="Arial"/>
                <w:sz w:val="16"/>
                <w:szCs w:val="16"/>
                <w:b w:val="1"/>
                <w:bCs w:val="1"/>
                <w:color w:val="auto"/>
                <w:w w:val="99"/>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Stock at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7"/>
              </w:rPr>
              <w:t>Paid-in</w:t>
            </w:r>
          </w:p>
        </w:tc>
        <w:tc>
          <w:tcPr>
            <w:tcW w:w="8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Arial" w:cs="Arial" w:eastAsia="Arial" w:hAnsi="Arial"/>
                <w:sz w:val="16"/>
                <w:szCs w:val="16"/>
                <w:b w:val="1"/>
                <w:bCs w:val="1"/>
                <w:color w:val="auto"/>
              </w:rPr>
              <w:t>Retained</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Stockholders'</w:t>
            </w: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Noncontrolling</w:t>
            </w:r>
          </w:p>
        </w:tc>
        <w:tc>
          <w:tcPr>
            <w:tcW w:w="12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w:t>
            </w:r>
          </w:p>
        </w:tc>
      </w:tr>
      <w:tr>
        <w:trPr>
          <w:trHeight w:val="213"/>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Par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7"/>
              </w:rPr>
              <w:t>Capital</w:t>
            </w:r>
          </w:p>
        </w:tc>
        <w:tc>
          <w:tcPr>
            <w:tcW w:w="8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Equity</w:t>
            </w:r>
          </w:p>
        </w:tc>
        <w:tc>
          <w:tcPr>
            <w:tcW w:w="18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Equity</w:t>
            </w:r>
          </w:p>
        </w:tc>
      </w:tr>
      <w:tr>
        <w:trPr>
          <w:trHeight w:val="199"/>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April 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249,288</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270,778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33,694</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$ 304,472</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90</w:t>
            </w:r>
          </w:p>
        </w:tc>
      </w:tr>
      <w:tr>
        <w:trPr>
          <w:trHeight w:val="203"/>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Repurchases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Stock Issuance to Directors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79</w:t>
            </w:r>
          </w:p>
        </w:tc>
      </w:tr>
      <w:tr>
        <w:trPr>
          <w:trHeight w:val="193"/>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Equity Issuance</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2"/>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193"/>
        </w:trPr>
        <w:tc>
          <w:tcPr>
            <w:tcW w:w="2200" w:type="dxa"/>
            <w:vAlign w:val="bottom"/>
          </w:tcPr>
          <w:p>
            <w:pPr>
              <w:ind w:left="20"/>
              <w:spacing w:after="0"/>
              <w:rPr>
                <w:sz w:val="20"/>
                <w:szCs w:val="20"/>
                <w:color w:val="auto"/>
              </w:rPr>
            </w:pPr>
            <w:r>
              <w:rPr>
                <w:rFonts w:ascii="Arial" w:cs="Arial" w:eastAsia="Arial" w:hAnsi="Arial"/>
                <w:sz w:val="16"/>
                <w:szCs w:val="16"/>
                <w:color w:val="auto"/>
              </w:rPr>
              <w:t>Cash Dividends ($0.275 per</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share)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(3,863)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(3,863)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(467)</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(4,330)</w:t>
            </w:r>
          </w:p>
        </w:tc>
      </w:tr>
      <w:tr>
        <w:trPr>
          <w:trHeight w:val="205"/>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4,379</w:t>
            </w:r>
          </w:p>
        </w:tc>
      </w:tr>
      <w:tr>
        <w:trPr>
          <w:trHeight w:val="196"/>
        </w:trPr>
        <w:tc>
          <w:tcPr>
            <w:tcW w:w="2200" w:type="dxa"/>
            <w:vAlign w:val="bottom"/>
          </w:tcPr>
          <w:p>
            <w:pPr>
              <w:ind w:left="20"/>
              <w:spacing w:after="0"/>
              <w:rPr>
                <w:sz w:val="20"/>
                <w:szCs w:val="20"/>
                <w:color w:val="auto"/>
              </w:rPr>
            </w:pPr>
            <w:r>
              <w:rPr>
                <w:rFonts w:ascii="Arial" w:cs="Arial" w:eastAsia="Arial" w:hAnsi="Arial"/>
                <w:sz w:val="16"/>
                <w:szCs w:val="16"/>
                <w:color w:val="auto"/>
              </w:rPr>
              <w:t>Balance June 30,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248,958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5,731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16,214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271,043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33,237</w:t>
            </w: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$ 304,280</w:t>
            </w:r>
          </w:p>
        </w:tc>
      </w:tr>
      <w:tr>
        <w:trPr>
          <w:trHeight w:val="20"/>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three months ended June 30, 2022:</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Retained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Earnings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(Dividends</w:t>
            </w: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w w:val="91"/>
              </w:rPr>
              <w:t>Additional</w:t>
            </w:r>
          </w:p>
        </w:tc>
        <w:tc>
          <w:tcPr>
            <w:tcW w:w="12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in Excess</w:t>
            </w: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of Net</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Stockholders'</w:t>
            </w: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Noncontrolling</w:t>
            </w:r>
          </w:p>
        </w:tc>
        <w:tc>
          <w:tcPr>
            <w:tcW w:w="12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w:t>
            </w:r>
          </w:p>
        </w:tc>
      </w:tr>
      <w:tr>
        <w:trPr>
          <w:trHeight w:val="213"/>
        </w:trPr>
        <w:tc>
          <w:tcPr>
            <w:tcW w:w="2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Par</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Income)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Equity</w:t>
            </w:r>
          </w:p>
        </w:tc>
      </w:tr>
      <w:tr>
        <w:trPr>
          <w:trHeight w:val="199"/>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April 1, 2022</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$ 238,165</w:t>
            </w:r>
          </w:p>
        </w:tc>
      </w:tr>
      <w:tr>
        <w:trPr>
          <w:trHeight w:val="203"/>
        </w:trPr>
        <w:tc>
          <w:tcPr>
            <w:tcW w:w="2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16,336</w:t>
            </w:r>
          </w:p>
        </w:tc>
      </w:tr>
      <w:tr>
        <w:trPr>
          <w:trHeight w:val="203"/>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Issuance to Directors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193"/>
        </w:trPr>
        <w:tc>
          <w:tcPr>
            <w:tcW w:w="2100" w:type="dxa"/>
            <w:vAlign w:val="bottom"/>
          </w:tcPr>
          <w:p>
            <w:pPr>
              <w:ind w:left="20"/>
              <w:spacing w:after="0"/>
              <w:rPr>
                <w:sz w:val="20"/>
                <w:szCs w:val="20"/>
                <w:color w:val="auto"/>
              </w:rPr>
            </w:pPr>
            <w:r>
              <w:rPr>
                <w:rFonts w:ascii="Arial" w:cs="Arial" w:eastAsia="Arial" w:hAnsi="Arial"/>
                <w:sz w:val="16"/>
                <w:szCs w:val="16"/>
                <w:color w:val="auto"/>
              </w:rPr>
              <w:t>Stock Issuance, Net of</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9"/>
        </w:trPr>
        <w:tc>
          <w:tcPr>
            <w:tcW w:w="2100" w:type="dxa"/>
            <w:vAlign w:val="bottom"/>
          </w:tcPr>
          <w:p>
            <w:pPr>
              <w:ind w:left="20"/>
              <w:spacing w:after="0"/>
              <w:rPr>
                <w:sz w:val="20"/>
                <w:szCs w:val="20"/>
                <w:color w:val="auto"/>
              </w:rPr>
            </w:pPr>
            <w:r>
              <w:rPr>
                <w:rFonts w:ascii="Arial" w:cs="Arial" w:eastAsia="Arial" w:hAnsi="Arial"/>
                <w:sz w:val="16"/>
                <w:szCs w:val="16"/>
                <w:color w:val="auto"/>
              </w:rPr>
              <w:t>Equity Issuance Costs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1,593</w:t>
            </w:r>
          </w:p>
        </w:tc>
      </w:tr>
      <w:tr>
        <w:trPr>
          <w:trHeight w:val="196"/>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($0.270 per</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2"/>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(3,662)</w:t>
            </w:r>
          </w:p>
        </w:tc>
      </w:tr>
      <w:tr>
        <w:trPr>
          <w:trHeight w:val="193"/>
        </w:trPr>
        <w:tc>
          <w:tcPr>
            <w:tcW w:w="2100" w:type="dxa"/>
            <w:vAlign w:val="bottom"/>
          </w:tcPr>
          <w:p>
            <w:pPr>
              <w:ind w:left="20"/>
              <w:spacing w:after="0"/>
              <w:rPr>
                <w:sz w:val="20"/>
                <w:szCs w:val="20"/>
                <w:color w:val="auto"/>
              </w:rPr>
            </w:pPr>
            <w:r>
              <w:rPr>
                <w:rFonts w:ascii="Arial" w:cs="Arial" w:eastAsia="Arial" w:hAnsi="Arial"/>
                <w:sz w:val="16"/>
                <w:szCs w:val="16"/>
                <w:color w:val="auto"/>
              </w:rPr>
              <w:t>Other Comprehensive</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9"/>
        </w:trPr>
        <w:tc>
          <w:tcPr>
            <w:tcW w:w="210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2,245</w:t>
            </w:r>
          </w:p>
        </w:tc>
      </w:tr>
      <w:tr>
        <w:trPr>
          <w:trHeight w:val="199"/>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$ 254,756</w:t>
            </w:r>
          </w:p>
        </w:tc>
      </w:tr>
      <w:tr>
        <w:trPr>
          <w:trHeight w:val="20"/>
        </w:trPr>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1500" w:right="1620"/>
        <w:spacing w:after="0" w:line="261" w:lineRule="auto"/>
        <w:rPr>
          <w:sz w:val="20"/>
          <w:szCs w:val="20"/>
          <w:color w:val="auto"/>
        </w:rPr>
      </w:pPr>
      <w:r>
        <w:rPr>
          <w:rFonts w:ascii="Arial" w:cs="Arial" w:eastAsia="Arial" w:hAnsi="Arial"/>
          <w:sz w:val="17"/>
          <w:szCs w:val="17"/>
          <w:color w:val="auto"/>
        </w:rPr>
        <w:t>ALPINE INCOME PROPERTY TRUST, INC. CONSOLIDATED STATEMENTS OF STOCKHOLDERS’ EQUITY (Continued) (Unaudited, in thousands, except per share data)</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six months ended June 30, 2023:</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Stock at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8"/>
              </w:rPr>
              <w:t>Retained</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Stockholders'</w:t>
            </w: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Noncontrolling</w:t>
            </w:r>
          </w:p>
        </w:tc>
        <w:tc>
          <w:tcPr>
            <w:tcW w:w="12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w:t>
            </w:r>
          </w:p>
        </w:tc>
      </w:tr>
      <w:tr>
        <w:trPr>
          <w:trHeight w:val="213"/>
        </w:trPr>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Par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Capital</w:t>
            </w:r>
          </w:p>
        </w:tc>
        <w:tc>
          <w:tcPr>
            <w:tcW w:w="14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7"/>
              </w:rPr>
              <w:t>Earnings</w:t>
            </w:r>
          </w:p>
        </w:tc>
        <w:tc>
          <w:tcPr>
            <w:tcW w:w="10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Equity</w:t>
            </w:r>
          </w:p>
        </w:tc>
        <w:tc>
          <w:tcPr>
            <w:tcW w:w="18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Equity</w:t>
            </w:r>
          </w:p>
        </w:tc>
      </w:tr>
      <w:tr>
        <w:trPr>
          <w:trHeight w:val="199"/>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January 1, 2023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236,841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10,042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261,618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33,757</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$ 295,375</w:t>
            </w:r>
          </w:p>
        </w:tc>
      </w:tr>
      <w:tr>
        <w:trPr>
          <w:trHeight w:val="202"/>
        </w:trPr>
        <w:tc>
          <w:tcPr>
            <w:tcW w:w="2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3,835</w:t>
            </w: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Repurchases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03"/>
        </w:trPr>
        <w:tc>
          <w:tcPr>
            <w:tcW w:w="2220" w:type="dxa"/>
            <w:vAlign w:val="bottom"/>
          </w:tcPr>
          <w:p>
            <w:pPr>
              <w:ind w:left="20"/>
              <w:spacing w:after="0"/>
              <w:rPr>
                <w:sz w:val="20"/>
                <w:szCs w:val="20"/>
                <w:color w:val="auto"/>
              </w:rPr>
            </w:pPr>
            <w:r>
              <w:rPr>
                <w:rFonts w:ascii="Arial" w:cs="Arial" w:eastAsia="Arial" w:hAnsi="Arial"/>
                <w:sz w:val="16"/>
                <w:szCs w:val="16"/>
                <w:color w:val="auto"/>
              </w:rPr>
              <w:t>Stock Issuance to Directors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145</w:t>
            </w:r>
          </w:p>
        </w:tc>
      </w:tr>
      <w:tr>
        <w:trPr>
          <w:trHeight w:val="19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Issuance, Net of Equity</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12,343</w:t>
            </w:r>
          </w:p>
        </w:tc>
      </w:tr>
      <w:tr>
        <w:trPr>
          <w:trHeight w:val="193"/>
        </w:trPr>
        <w:tc>
          <w:tcPr>
            <w:tcW w:w="2220" w:type="dxa"/>
            <w:vAlign w:val="bottom"/>
          </w:tcPr>
          <w:p>
            <w:pPr>
              <w:ind w:left="20"/>
              <w:spacing w:after="0"/>
              <w:rPr>
                <w:sz w:val="20"/>
                <w:szCs w:val="20"/>
                <w:color w:val="auto"/>
              </w:rPr>
            </w:pPr>
            <w:r>
              <w:rPr>
                <w:rFonts w:ascii="Arial" w:cs="Arial" w:eastAsia="Arial" w:hAnsi="Arial"/>
                <w:sz w:val="16"/>
                <w:szCs w:val="16"/>
                <w:color w:val="auto"/>
              </w:rPr>
              <w:t>Cash Dividends ($0.550 per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(7,730)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(7,730)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(936)</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(8,666)</w:t>
            </w:r>
          </w:p>
        </w:tc>
      </w:tr>
      <w:tr>
        <w:trPr>
          <w:trHeight w:val="205"/>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w:t>
            </w:r>
          </w:p>
        </w:tc>
      </w:tr>
      <w:tr>
        <w:trPr>
          <w:trHeight w:val="196"/>
        </w:trPr>
        <w:tc>
          <w:tcPr>
            <w:tcW w:w="2220" w:type="dxa"/>
            <w:vAlign w:val="bottom"/>
          </w:tcPr>
          <w:p>
            <w:pPr>
              <w:ind w:left="20"/>
              <w:spacing w:after="0"/>
              <w:rPr>
                <w:sz w:val="20"/>
                <w:szCs w:val="20"/>
                <w:color w:val="auto"/>
              </w:rPr>
            </w:pPr>
            <w:r>
              <w:rPr>
                <w:rFonts w:ascii="Arial" w:cs="Arial" w:eastAsia="Arial" w:hAnsi="Arial"/>
                <w:sz w:val="16"/>
                <w:szCs w:val="16"/>
                <w:color w:val="auto"/>
              </w:rPr>
              <w:t>Balance June 30, 2023</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248,958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5,731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16,214</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271,043</w:t>
            </w:r>
          </w:p>
        </w:tc>
        <w:tc>
          <w:tcPr>
            <w:tcW w:w="1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33,237</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$ 304,280</w:t>
            </w:r>
          </w:p>
        </w:tc>
      </w:tr>
      <w:tr>
        <w:trPr>
          <w:trHeight w:val="20"/>
        </w:trPr>
        <w:tc>
          <w:tcPr>
            <w:tcW w:w="2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six months ended June 30, 2022:</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Retained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Earnings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(Dividends</w:t>
            </w: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w w:val="91"/>
              </w:rPr>
              <w:t>Additional</w:t>
            </w:r>
          </w:p>
        </w:tc>
        <w:tc>
          <w:tcPr>
            <w:tcW w:w="12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in Excess</w:t>
            </w: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of Net</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Stockholders'</w:t>
            </w: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Noncontrolling</w:t>
            </w:r>
          </w:p>
        </w:tc>
        <w:tc>
          <w:tcPr>
            <w:tcW w:w="12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center"/>
              <w:ind w:right="59"/>
              <w:spacing w:after="0"/>
              <w:rPr>
                <w:sz w:val="20"/>
                <w:szCs w:val="20"/>
                <w:color w:val="auto"/>
              </w:rPr>
            </w:pPr>
            <w:r>
              <w:rPr>
                <w:rFonts w:ascii="Arial" w:cs="Arial" w:eastAsia="Arial" w:hAnsi="Arial"/>
                <w:sz w:val="16"/>
                <w:szCs w:val="16"/>
                <w:b w:val="1"/>
                <w:bCs w:val="1"/>
                <w:color w:val="auto"/>
              </w:rPr>
              <w:t>Par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Income)</w:t>
            </w:r>
          </w:p>
        </w:tc>
        <w:tc>
          <w:tcPr>
            <w:tcW w:w="10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Equity</w:t>
            </w:r>
          </w:p>
        </w:tc>
        <w:tc>
          <w:tcPr>
            <w:tcW w:w="18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9"/>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January 1, 2022</w:t>
            </w: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200,906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196,523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31,379</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$ 227,902</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2,172</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17,260</w:t>
            </w: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Issuance to Directors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93"/>
        </w:trPr>
        <w:tc>
          <w:tcPr>
            <w:tcW w:w="2100" w:type="dxa"/>
            <w:vAlign w:val="bottom"/>
          </w:tcPr>
          <w:p>
            <w:pPr>
              <w:ind w:left="20"/>
              <w:spacing w:after="0"/>
              <w:rPr>
                <w:sz w:val="20"/>
                <w:szCs w:val="20"/>
                <w:color w:val="auto"/>
              </w:rPr>
            </w:pPr>
            <w:r>
              <w:rPr>
                <w:rFonts w:ascii="Arial" w:cs="Arial" w:eastAsia="Arial" w:hAnsi="Arial"/>
                <w:sz w:val="16"/>
                <w:szCs w:val="16"/>
                <w:color w:val="auto"/>
              </w:rPr>
              <w:t>Stock Issuance, Net of</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
              <w:spacing w:after="0"/>
              <w:rPr>
                <w:sz w:val="20"/>
                <w:szCs w:val="20"/>
                <w:color w:val="auto"/>
              </w:rPr>
            </w:pPr>
            <w:r>
              <w:rPr>
                <w:rFonts w:ascii="Arial" w:cs="Arial" w:eastAsia="Arial" w:hAnsi="Arial"/>
                <w:sz w:val="16"/>
                <w:szCs w:val="16"/>
                <w:color w:val="auto"/>
              </w:rPr>
              <w:t>Equity Issuance Costs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7,647</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($0.540 per</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(6,368)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(6,368)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(7,288)</w:t>
            </w:r>
          </w:p>
        </w:tc>
        <w:tc>
          <w:tcPr>
            <w:tcW w:w="0" w:type="dxa"/>
            <w:vAlign w:val="bottom"/>
          </w:tcPr>
          <w:p>
            <w:pPr>
              <w:spacing w:after="0"/>
              <w:rPr>
                <w:sz w:val="1"/>
                <w:szCs w:val="1"/>
                <w:color w:val="auto"/>
              </w:rPr>
            </w:pPr>
          </w:p>
        </w:tc>
      </w:tr>
      <w:tr>
        <w:trPr>
          <w:trHeight w:val="193"/>
        </w:trPr>
        <w:tc>
          <w:tcPr>
            <w:tcW w:w="2100" w:type="dxa"/>
            <w:vAlign w:val="bottom"/>
          </w:tcPr>
          <w:p>
            <w:pPr>
              <w:ind w:left="20"/>
              <w:spacing w:after="0"/>
              <w:rPr>
                <w:sz w:val="20"/>
                <w:szCs w:val="20"/>
                <w:color w:val="auto"/>
              </w:rPr>
            </w:pPr>
            <w:r>
              <w:rPr>
                <w:rFonts w:ascii="Arial" w:cs="Arial" w:eastAsia="Arial" w:hAnsi="Arial"/>
                <w:sz w:val="16"/>
                <w:szCs w:val="16"/>
                <w:color w:val="auto"/>
              </w:rPr>
              <w:t>Other Comprehensive</w:t>
            </w:r>
          </w:p>
        </w:tc>
        <w:tc>
          <w:tcPr>
            <w:tcW w:w="1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9,077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9,077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9,077</w:t>
            </w:r>
          </w:p>
        </w:tc>
        <w:tc>
          <w:tcPr>
            <w:tcW w:w="0" w:type="dxa"/>
            <w:vAlign w:val="bottom"/>
          </w:tcPr>
          <w:p>
            <w:pPr>
              <w:spacing w:after="0"/>
              <w:rPr>
                <w:sz w:val="1"/>
                <w:szCs w:val="1"/>
                <w:color w:val="auto"/>
              </w:rPr>
            </w:pPr>
          </w:p>
        </w:tc>
      </w:tr>
      <w:tr>
        <w:trPr>
          <w:trHeight w:val="199"/>
        </w:trPr>
        <w:tc>
          <w:tcPr>
            <w:tcW w:w="210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$ 254,756</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35" w:lineRule="exact"/>
        <w:rPr>
          <w:sz w:val="20"/>
          <w:szCs w:val="20"/>
          <w:color w:val="auto"/>
        </w:rPr>
      </w:pPr>
    </w:p>
    <w:p>
      <w:pPr>
        <w:ind w:left="6740"/>
        <w:spacing w:after="0"/>
        <w:rPr>
          <w:sz w:val="20"/>
          <w:szCs w:val="20"/>
          <w:color w:val="auto"/>
        </w:rPr>
      </w:pPr>
      <w:r>
        <w:rPr>
          <w:rFonts w:ascii="Arial" w:cs="Arial" w:eastAsia="Arial" w:hAnsi="Arial"/>
          <w:sz w:val="15"/>
          <w:szCs w:val="15"/>
          <w:b w:val="1"/>
          <w:bCs w:val="1"/>
          <w:color w:val="auto"/>
        </w:rPr>
        <w:t>Six Months Ended</w:t>
      </w:r>
    </w:p>
    <w:p>
      <w:pPr>
        <w:spacing w:after="0" w:line="7" w:lineRule="exact"/>
        <w:rPr>
          <w:sz w:val="20"/>
          <w:szCs w:val="20"/>
          <w:color w:val="auto"/>
        </w:rPr>
      </w:pPr>
    </w:p>
    <w:tbl>
      <w:tblPr>
        <w:tblLayout w:type="fixed"/>
        <w:tblInd w:w="50" w:type="dxa"/>
        <w:tblCellMar>
          <w:top w:w="0" w:type="dxa"/>
          <w:left w:w="0" w:type="dxa"/>
          <w:bottom w:w="0" w:type="dxa"/>
          <w:right w:w="0" w:type="dxa"/>
        </w:tblCellMar>
      </w:tblPr>
      <w:tr>
        <w:trPr>
          <w:trHeight w:val="142"/>
        </w:trPr>
        <w:tc>
          <w:tcPr>
            <w:tcW w:w="3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June 30, 2023</w:t>
            </w: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June 30, 2022</w:t>
            </w:r>
          </w:p>
        </w:tc>
      </w:tr>
      <w:tr>
        <w:trPr>
          <w:trHeight w:val="142"/>
        </w:trPr>
        <w:tc>
          <w:tcPr>
            <w:tcW w:w="568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Operating Activities:</w:t>
            </w:r>
          </w:p>
        </w:tc>
        <w:tc>
          <w:tcPr>
            <w:tcW w:w="2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r>
      <w:tr>
        <w:trPr>
          <w:trHeight w:val="148"/>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Income</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3,835</w:t>
            </w:r>
          </w:p>
        </w:tc>
        <w:tc>
          <w:tcPr>
            <w:tcW w:w="16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17,260</w:t>
            </w:r>
          </w:p>
        </w:tc>
      </w:tr>
      <w:tr>
        <w:trPr>
          <w:trHeight w:val="148"/>
        </w:trPr>
        <w:tc>
          <w:tcPr>
            <w:tcW w:w="568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9"/>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12,758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11,366</w:t>
            </w:r>
          </w:p>
        </w:tc>
      </w:tr>
      <w:tr>
        <w:trPr>
          <w:trHeight w:val="148"/>
        </w:trPr>
        <w:tc>
          <w:tcPr>
            <w:tcW w:w="56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 Lease Assets and Liabilities to Lease Income</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(189)</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r>
      <w:tr>
        <w:trPr>
          <w:trHeight w:val="148"/>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257</w:t>
            </w:r>
          </w:p>
        </w:tc>
      </w:tr>
      <w:tr>
        <w:trPr>
          <w:trHeight w:val="148"/>
        </w:trPr>
        <w:tc>
          <w:tcPr>
            <w:tcW w:w="56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Gain on Disposition of Assets</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(5,196)</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(15,637)</w:t>
            </w:r>
          </w:p>
        </w:tc>
      </w:tr>
      <w:tr>
        <w:trPr>
          <w:trHeight w:val="148"/>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Non-Cash Compensation</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r>
      <w:tr>
        <w:trPr>
          <w:trHeight w:val="148"/>
        </w:trPr>
        <w:tc>
          <w:tcPr>
            <w:tcW w:w="56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(Increase) in Assets: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9"/>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Straight-Line Rent Adjustment</w:t>
            </w:r>
          </w:p>
        </w:tc>
        <w:tc>
          <w:tcPr>
            <w:tcW w:w="22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(274)</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(528)</w:t>
            </w:r>
          </w:p>
        </w:tc>
      </w:tr>
      <w:tr>
        <w:trPr>
          <w:trHeight w:val="148"/>
        </w:trPr>
        <w:tc>
          <w:tcPr>
            <w:tcW w:w="56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COVID-19 Rent Repayments</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8"/>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(221)</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r>
      <w:tr>
        <w:trPr>
          <w:trHeight w:val="148"/>
        </w:trPr>
        <w:tc>
          <w:tcPr>
            <w:tcW w:w="56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(Decrease) in Liabilities: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Accounts Payable, Accrued Expenses, and Other Liabilities</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2,156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595</w:t>
            </w:r>
          </w:p>
        </w:tc>
      </w:tr>
      <w:tr>
        <w:trPr>
          <w:trHeight w:val="149"/>
        </w:trPr>
        <w:tc>
          <w:tcPr>
            <w:tcW w:w="56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Rent and Deferred Revenue</w:t>
            </w: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w:t>
            </w:r>
          </w:p>
        </w:tc>
      </w:tr>
      <w:tr>
        <w:trPr>
          <w:trHeight w:val="142"/>
        </w:trPr>
        <w:tc>
          <w:tcPr>
            <w:tcW w:w="568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13,676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13,252</w:t>
            </w:r>
          </w:p>
        </w:tc>
      </w:tr>
      <w:tr>
        <w:trPr>
          <w:trHeight w:val="142"/>
        </w:trPr>
        <w:tc>
          <w:tcPr>
            <w:tcW w:w="568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Investing Activities: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9"/>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Acquisition of Real Estate, Including Capitalized Expenditures</w:t>
            </w:r>
          </w:p>
        </w:tc>
        <w:tc>
          <w:tcPr>
            <w:tcW w:w="22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(61,672)</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(110,062)</w:t>
            </w:r>
          </w:p>
        </w:tc>
      </w:tr>
      <w:tr>
        <w:trPr>
          <w:trHeight w:val="148"/>
        </w:trPr>
        <w:tc>
          <w:tcPr>
            <w:tcW w:w="56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Disposition of Assets</w:t>
            </w: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77,775</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71,446</w:t>
            </w:r>
          </w:p>
        </w:tc>
      </w:tr>
      <w:tr>
        <w:trPr>
          <w:trHeight w:val="142"/>
        </w:trPr>
        <w:tc>
          <w:tcPr>
            <w:tcW w:w="568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16,103</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(38,616)</w:t>
            </w:r>
          </w:p>
        </w:tc>
      </w:tr>
      <w:tr>
        <w:trPr>
          <w:trHeight w:val="142"/>
        </w:trPr>
        <w:tc>
          <w:tcPr>
            <w:tcW w:w="568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Financing Activities: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Long-Term Debt</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162,500</w:t>
            </w:r>
          </w:p>
        </w:tc>
      </w:tr>
      <w:tr>
        <w:trPr>
          <w:trHeight w:val="148"/>
        </w:trPr>
        <w:tc>
          <w:tcPr>
            <w:tcW w:w="56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on Long-Term Debt</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(19,500)</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(129,000)</w:t>
            </w:r>
          </w:p>
        </w:tc>
      </w:tr>
      <w:tr>
        <w:trPr>
          <w:trHeight w:val="148"/>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Loan Fees</w:t>
            </w:r>
          </w:p>
        </w:tc>
        <w:tc>
          <w:tcPr>
            <w:tcW w:w="22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(434)</w:t>
            </w:r>
          </w:p>
        </w:tc>
      </w:tr>
      <w:tr>
        <w:trPr>
          <w:trHeight w:val="148"/>
        </w:trPr>
        <w:tc>
          <w:tcPr>
            <w:tcW w:w="56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Common Stock</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(365)</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Stock Issuance, Net</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12,343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7,647</w:t>
            </w:r>
          </w:p>
        </w:tc>
      </w:tr>
      <w:tr>
        <w:trPr>
          <w:trHeight w:val="148"/>
        </w:trPr>
        <w:tc>
          <w:tcPr>
            <w:tcW w:w="56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(8,666)</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(7,288)</w:t>
            </w:r>
          </w:p>
        </w:tc>
      </w:tr>
      <w:tr>
        <w:trPr>
          <w:trHeight w:val="142"/>
        </w:trPr>
        <w:tc>
          <w:tcPr>
            <w:tcW w:w="568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(14,968)</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33,425</w:t>
            </w:r>
          </w:p>
        </w:tc>
      </w:tr>
      <w:tr>
        <w:trPr>
          <w:trHeight w:val="142"/>
        </w:trPr>
        <w:tc>
          <w:tcPr>
            <w:tcW w:w="568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14,811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8,061</w:t>
            </w:r>
          </w:p>
        </w:tc>
      </w:tr>
      <w:tr>
        <w:trPr>
          <w:trHeight w:val="149"/>
        </w:trPr>
        <w:tc>
          <w:tcPr>
            <w:tcW w:w="568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Cash and Cash Equivalents and Restricted Cash, Beginning of Period</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13,044</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9,497</w:t>
            </w:r>
          </w:p>
        </w:tc>
      </w:tr>
      <w:tr>
        <w:trPr>
          <w:trHeight w:val="142"/>
        </w:trPr>
        <w:tc>
          <w:tcPr>
            <w:tcW w:w="568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and Cash Equivalents and Restricted Cash, End of Period</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27,855</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17,558</w:t>
            </w:r>
          </w:p>
        </w:tc>
      </w:tr>
      <w:tr>
        <w:trPr>
          <w:trHeight w:val="20"/>
        </w:trPr>
        <w:tc>
          <w:tcPr>
            <w:tcW w:w="3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35"/>
        </w:trPr>
        <w:tc>
          <w:tcPr>
            <w:tcW w:w="568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Reconciliation of Cash to the Consolidated Balance Sheets:</w:t>
            </w: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r>
      <w:tr>
        <w:trPr>
          <w:trHeight w:val="142"/>
        </w:trPr>
        <w:tc>
          <w:tcPr>
            <w:tcW w:w="568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2" w:lineRule="exact"/>
              <w:rPr>
                <w:sz w:val="20"/>
                <w:szCs w:val="20"/>
                <w:color w:val="auto"/>
              </w:rPr>
            </w:pPr>
            <w:r>
              <w:rPr>
                <w:rFonts w:ascii="Arial" w:cs="Arial" w:eastAsia="Arial" w:hAnsi="Arial"/>
                <w:sz w:val="14"/>
                <w:szCs w:val="14"/>
                <w:color w:val="auto"/>
              </w:rPr>
              <w:t>7,755</w:t>
            </w:r>
          </w:p>
        </w:tc>
        <w:tc>
          <w:tcPr>
            <w:tcW w:w="160" w:type="dxa"/>
            <w:vAlign w:val="bottom"/>
          </w:tcPr>
          <w:p>
            <w:pPr>
              <w:spacing w:after="0"/>
              <w:rPr>
                <w:sz w:val="12"/>
                <w:szCs w:val="12"/>
                <w:color w:val="auto"/>
              </w:rPr>
            </w:pPr>
          </w:p>
        </w:tc>
        <w:tc>
          <w:tcPr>
            <w:tcW w:w="22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2" w:lineRule="exact"/>
              <w:rPr>
                <w:sz w:val="20"/>
                <w:szCs w:val="20"/>
                <w:color w:val="auto"/>
              </w:rPr>
            </w:pPr>
            <w:r>
              <w:rPr>
                <w:rFonts w:ascii="Arial" w:cs="Arial" w:eastAsia="Arial" w:hAnsi="Arial"/>
                <w:sz w:val="14"/>
                <w:szCs w:val="14"/>
                <w:color w:val="auto"/>
              </w:rPr>
              <w:t>2,427</w:t>
            </w:r>
          </w:p>
        </w:tc>
      </w:tr>
      <w:tr>
        <w:trPr>
          <w:trHeight w:val="148"/>
        </w:trPr>
        <w:tc>
          <w:tcPr>
            <w:tcW w:w="568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20,100</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15,131</w:t>
            </w:r>
          </w:p>
        </w:tc>
      </w:tr>
      <w:tr>
        <w:trPr>
          <w:trHeight w:val="142"/>
        </w:trPr>
        <w:tc>
          <w:tcPr>
            <w:tcW w:w="568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Total Cash</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27,855</w:t>
            </w:r>
          </w:p>
        </w:tc>
        <w:tc>
          <w:tcPr>
            <w:tcW w:w="16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17,558</w:t>
            </w:r>
          </w:p>
        </w:tc>
      </w:tr>
      <w:tr>
        <w:trPr>
          <w:trHeight w:val="20"/>
        </w:trPr>
        <w:tc>
          <w:tcPr>
            <w:tcW w:w="3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left="40" w:right="59"/>
        <w:spacing w:after="0" w:line="263" w:lineRule="auto"/>
        <w:rPr>
          <w:sz w:val="20"/>
          <w:szCs w:val="20"/>
          <w:color w:val="auto"/>
        </w:rPr>
      </w:pPr>
      <w:r>
        <w:rPr>
          <w:rFonts w:ascii="Arial" w:cs="Arial" w:eastAsia="Arial" w:hAnsi="Arial"/>
          <w:sz w:val="18"/>
          <w:szCs w:val="18"/>
          <w:color w:val="auto"/>
        </w:rPr>
        <w:t>ALPINE INCOME PROPERTY TRUST, INC. CONSOLIDATED STATEMENTS OF CASH FLOWS (Continued) (Unaudited, in thousands)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6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June 30, 2023</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w w:val="98"/>
              </w:rPr>
              <w:t>June 30, 2022</w:t>
            </w:r>
          </w:p>
        </w:tc>
      </w:tr>
      <w:tr>
        <w:trPr>
          <w:trHeight w:val="142"/>
        </w:trPr>
        <w:tc>
          <w:tcPr>
            <w:tcW w:w="56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9"/>
        </w:trPr>
        <w:tc>
          <w:tcPr>
            <w:tcW w:w="5680" w:type="dxa"/>
            <w:vAlign w:val="bottom"/>
          </w:tcPr>
          <w:p>
            <w:pPr>
              <w:ind w:left="120"/>
              <w:spacing w:after="0" w:line="149" w:lineRule="exact"/>
              <w:rPr>
                <w:sz w:val="20"/>
                <w:szCs w:val="20"/>
                <w:color w:val="auto"/>
              </w:rPr>
            </w:pPr>
            <w:r>
              <w:rPr>
                <w:rFonts w:ascii="Arial" w:cs="Arial" w:eastAsia="Arial" w:hAnsi="Arial"/>
                <w:sz w:val="14"/>
                <w:szCs w:val="14"/>
                <w:color w:val="auto"/>
              </w:rPr>
              <w:t>Cash Paid for Interest</w:t>
            </w:r>
          </w:p>
        </w:tc>
        <w:tc>
          <w:tcPr>
            <w:tcW w:w="2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4,681</w:t>
            </w: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3,352</w:t>
            </w:r>
          </w:p>
        </w:tc>
      </w:tr>
      <w:tr>
        <w:trPr>
          <w:trHeight w:val="148"/>
        </w:trPr>
        <w:tc>
          <w:tcPr>
            <w:tcW w:w="5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8"/>
        </w:trPr>
        <w:tc>
          <w:tcPr>
            <w:tcW w:w="5680" w:type="dxa"/>
            <w:vAlign w:val="bottom"/>
          </w:tcPr>
          <w:p>
            <w:pPr>
              <w:ind w:left="20"/>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5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Unrealized Gain on Cash Flow Hedge</w:t>
            </w:r>
          </w:p>
        </w:tc>
        <w:tc>
          <w:tcPr>
            <w:tcW w:w="2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1,613</w:t>
            </w: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9,077</w:t>
            </w:r>
          </w:p>
        </w:tc>
      </w:tr>
      <w:tr>
        <w:trPr>
          <w:trHeight w:val="182"/>
        </w:trPr>
        <w:tc>
          <w:tcPr>
            <w:tcW w:w="5680" w:type="dxa"/>
            <w:vAlign w:val="bottom"/>
          </w:tcPr>
          <w:p>
            <w:pPr>
              <w:ind w:left="120"/>
              <w:spacing w:after="0"/>
              <w:rPr>
                <w:sz w:val="20"/>
                <w:szCs w:val="20"/>
                <w:color w:val="auto"/>
              </w:rPr>
            </w:pPr>
            <w:r>
              <w:rPr>
                <w:rFonts w:ascii="Arial" w:cs="Arial" w:eastAsia="Arial" w:hAnsi="Arial"/>
                <w:sz w:val="14"/>
                <w:szCs w:val="14"/>
                <w:color w:val="auto"/>
              </w:rPr>
              <w:t>Right-of-Use Assets and Operating Lease Liability</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1,831</w:t>
            </w:r>
          </w:p>
        </w:tc>
      </w:tr>
    </w:tbl>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 BUSINESS AND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portfolio consists of 143 net leased properties located in 107 markets in 34 states. The properties in our portfolio are primarily subject to long-term, net leases, which generally require the tenant to pay or reimburse us for property operating expenses such as real estate taxes, insurance, assessments and other governmental fees, utilities, repairs and maintenance and certain capital expenditures.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real estate investment trust (“REIT”) and the sole member of our Manager (“CTO”).</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is a Maryland corporation that was formed on August 19, 2019. On November 26, 2019, the Company closed its initial public offering (“IPO”). 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June 30, 2023, we have a total ownership interest in the Operating Partnership of 89.2%, with CTO holding, directly and indirectly, a 7.8% ownership interest in the Operating Partnership. The remaining 3.0% ownership interest is held by an unrelated third party in connection with the issuance of units of the Operating Partnership (“OP Units”) as consideration for a portfolio of net lease properties acquired during the year ended December 31, 2021.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or provides oversight of our business and affairs.</w:t>
      </w:r>
    </w:p>
    <w:p>
      <w:pPr>
        <w:spacing w:after="0" w:line="174" w:lineRule="exact"/>
        <w:rPr>
          <w:sz w:val="20"/>
          <w:szCs w:val="20"/>
          <w:color w:val="auto"/>
        </w:rPr>
      </w:pPr>
    </w:p>
    <w:p>
      <w:pPr>
        <w:jc w:val="both"/>
        <w:ind w:left="60" w:right="59" w:firstLine="389"/>
        <w:spacing w:after="0" w:line="287" w:lineRule="auto"/>
        <w:rPr>
          <w:sz w:val="20"/>
          <w:szCs w:val="20"/>
          <w:color w:val="auto"/>
        </w:rPr>
      </w:pPr>
      <w:r>
        <w:rPr>
          <w:rFonts w:ascii="Arial" w:cs="Arial" w:eastAsia="Arial" w:hAnsi="Arial"/>
          <w:sz w:val="16"/>
          <w:szCs w:val="16"/>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 xml:space="preserve">The Company follows Financial Accounting Standards Board (“FASB”) Accounting Standards Codification (“ASC”) Topic 360-10,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555"/>
        <w:spacing w:after="0" w:line="287" w:lineRule="auto"/>
        <w:rPr>
          <w:sz w:val="20"/>
          <w:szCs w:val="20"/>
          <w:color w:val="auto"/>
        </w:rPr>
      </w:pPr>
      <w:r>
        <w:rPr>
          <w:rFonts w:ascii="Arial" w:cs="Arial" w:eastAsia="Arial" w:hAnsi="Arial"/>
          <w:sz w:val="16"/>
          <w:szCs w:val="16"/>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72" w:lineRule="exact"/>
        <w:rPr>
          <w:sz w:val="20"/>
          <w:szCs w:val="20"/>
          <w:color w:val="auto"/>
        </w:rPr>
      </w:pPr>
    </w:p>
    <w:p>
      <w:pPr>
        <w:jc w:val="both"/>
        <w:ind w:left="60" w:right="59" w:firstLine="500"/>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HELD FOR SALE</w:t>
      </w:r>
    </w:p>
    <w:p>
      <w:pPr>
        <w:spacing w:after="0" w:line="225" w:lineRule="exact"/>
        <w:rPr>
          <w:sz w:val="20"/>
          <w:szCs w:val="20"/>
          <w:color w:val="auto"/>
        </w:rPr>
      </w:pPr>
    </w:p>
    <w:p>
      <w:pPr>
        <w:jc w:val="both"/>
        <w:ind w:left="60" w:right="59" w:firstLine="500"/>
        <w:spacing w:after="0" w:line="286" w:lineRule="auto"/>
        <w:rPr>
          <w:sz w:val="20"/>
          <w:szCs w:val="20"/>
          <w:color w:val="auto"/>
        </w:rPr>
      </w:pPr>
      <w:r>
        <w:rPr>
          <w:rFonts w:ascii="Arial" w:cs="Arial" w:eastAsia="Arial" w:hAnsi="Arial"/>
          <w:sz w:val="17"/>
          <w:szCs w:val="17"/>
          <w:color w:val="auto"/>
        </w:rPr>
        <w:t xml:space="preserve">Investments in real estate which are determined to be “held for sale” pursuant to FASB Topic 360-10, </w:t>
      </w:r>
      <w:r>
        <w:rPr>
          <w:rFonts w:ascii="Arial" w:cs="Arial" w:eastAsia="Arial" w:hAnsi="Arial"/>
          <w:sz w:val="17"/>
          <w:szCs w:val="17"/>
          <w:i w:val="1"/>
          <w:iCs w:val="1"/>
          <w:color w:val="auto"/>
        </w:rPr>
        <w:t>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Plant, and Equipment </w:t>
      </w:r>
      <w:r>
        <w:rPr>
          <w:rFonts w:ascii="Arial" w:cs="Arial" w:eastAsia="Arial" w:hAnsi="Arial"/>
          <w:sz w:val="17"/>
          <w:szCs w:val="17"/>
          <w:color w:val="auto"/>
        </w:rPr>
        <w:t>are reported separately on the consolidated balance sheets at the lesser of carrying value 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less costs to sell. Real estate investments classified as held for sale are not depreciated.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OF REAL ESTATE</w:t>
      </w:r>
    </w:p>
    <w:p>
      <w:pPr>
        <w:spacing w:after="0" w:line="225" w:lineRule="exact"/>
        <w:rPr>
          <w:sz w:val="20"/>
          <w:szCs w:val="20"/>
          <w:color w:val="auto"/>
        </w:rPr>
      </w:pPr>
    </w:p>
    <w:p>
      <w:pPr>
        <w:jc w:val="both"/>
        <w:ind w:left="60" w:right="59" w:firstLine="500"/>
        <w:spacing w:after="0" w:line="257" w:lineRule="auto"/>
        <w:rPr>
          <w:sz w:val="20"/>
          <w:szCs w:val="20"/>
          <w:color w:val="auto"/>
        </w:rPr>
      </w:pPr>
      <w:r>
        <w:rPr>
          <w:rFonts w:ascii="Arial" w:cs="Arial" w:eastAsia="Arial" w:hAnsi="Arial"/>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on dispositions of assets. In accordance with the FASB guidance, gains or losses on sales of real estate are generally recognized using the full accrual method.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LEASE REVENUE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June 30, 2023 and December 31, 2022, the Company’s allowance for doubtful accounts totaled $0.4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LAND LEASE EXPENSE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The Company is the lessee under operating land leases for certain of its properties, which leases are classified as operating leases pursuant to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The corresponding lease expense is recognized on a straight-line basis over the term of the lease and is included in real estate expenses in the accompanying consolidated statements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Cash and cash equivalents include cash on hand, bank demand accounts, and money market accounts having original maturities of 90 days or less. The Company’s bank balances as of June 30, 2023 and December 31, 2022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Restricted cash totaled $20.1 million as of June 30, 2023 due to property dispositions that occurred during the three months ended June 30, 2023 (See Note 3, “Property Portfolio”), which is held in various escrow accounts to be reinvested through the like-kind exchange structure into other income properties.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 xml:space="preserve">The Company accounts for its cash flow hedging derivatives in accordance with FASB ASC Topic 815-20,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w:t>
      </w:r>
      <w:r>
        <w:rPr>
          <w:rFonts w:ascii="Arial" w:cs="Arial" w:eastAsia="Arial" w:hAnsi="Arial"/>
          <w:sz w:val="17"/>
          <w:szCs w:val="17"/>
          <w:color w:val="auto"/>
        </w:rPr>
        <w:t>. Depending upon the hedge’s value at each balance sheet date, the derivatives are included in either other</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10, “Interest Rate Swaps”).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restricted cash, accounts receivable included in other assets, accounts payable, accrued expenses and other liabilities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mortgage note payable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MEASUREMENTS</w:t>
      </w:r>
    </w:p>
    <w:p>
      <w:pPr>
        <w:spacing w:after="0" w:line="21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63"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211" w:lineRule="exact"/>
        <w:rPr>
          <w:rFonts w:ascii="Arial" w:cs="Arial" w:eastAsia="Arial" w:hAnsi="Arial"/>
          <w:sz w:val="18"/>
          <w:szCs w:val="18"/>
          <w:color w:val="auto"/>
        </w:rPr>
      </w:pPr>
    </w:p>
    <w:p>
      <w:pPr>
        <w:jc w:val="both"/>
        <w:ind w:left="720" w:right="59" w:hanging="319"/>
        <w:spacing w:after="0" w:line="24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0" w:lineRule="exact"/>
        <w:rPr>
          <w:rFonts w:ascii="Arial" w:cs="Arial" w:eastAsia="Arial" w:hAnsi="Arial"/>
          <w:sz w:val="18"/>
          <w:szCs w:val="18"/>
          <w:color w:val="auto"/>
        </w:rPr>
      </w:pPr>
    </w:p>
    <w:p>
      <w:pPr>
        <w:jc w:val="both"/>
        <w:ind w:left="720" w:right="59" w:hanging="319"/>
        <w:spacing w:after="0" w:line="24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w:t>
      </w:r>
    </w:p>
    <w:p>
      <w:pPr>
        <w:spacing w:after="0" w:line="212"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During the six months ended June 30, 2023, Walgreens accounted for 12% of total revenues. There were no tenants who accounted for more than 10% of total revenues during the six months ended June 30,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June 30, 2023, 13%, 11%, and 11% of the Company’s real estate portfolio, based on square footage, was located in the states of Texas, New Jersey, and Michigan, respectively. As of December 31, 2022, 19% of the Company’s real estate portfolio, based on square footage, was located in the state of Texas.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3. PROPERTY PORTFOLIO</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June 30, 2023, the Company’s property portfolio consisted of 143 properties with total square footage of 3.9 million.</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2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2022</w:t>
            </w: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Income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66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20,138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19,891</w:t>
            </w:r>
          </w:p>
        </w:tc>
      </w:tr>
      <w:tr>
        <w:trPr>
          <w:trHeight w:val="216"/>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09"/>
        </w:trPr>
        <w:tc>
          <w:tcPr>
            <w:tcW w:w="2660" w:type="dxa"/>
            <w:vAlign w:val="bottom"/>
          </w:tcPr>
          <w:p>
            <w:pPr>
              <w:ind w:left="20"/>
              <w:spacing w:after="0"/>
              <w:rPr>
                <w:sz w:val="20"/>
                <w:szCs w:val="20"/>
                <w:color w:val="auto"/>
              </w:rPr>
            </w:pPr>
            <w:r>
              <w:rPr>
                <w:rFonts w:ascii="Arial" w:cs="Arial" w:eastAsia="Arial" w:hAnsi="Arial"/>
                <w:sz w:val="18"/>
                <w:szCs w:val="18"/>
                <w:color w:val="auto"/>
              </w:rPr>
              <w:t>Total Lease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22,079</w:t>
            </w: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Minimum Future Rental Receipts. </w:t>
      </w:r>
      <w:r>
        <w:rPr>
          <w:rFonts w:ascii="Arial" w:cs="Arial" w:eastAsia="Arial" w:hAnsi="Arial"/>
          <w:sz w:val="18"/>
          <w:szCs w:val="18"/>
          <w:color w:val="auto"/>
        </w:rPr>
        <w:t>Minimum future rental receipts under non-cancelable operating leases,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rent and other lease payments that are not fixed and determinable, having remaining terms in excess of one year subsequent to June 30, 2023, are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19,720</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38,648</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36,917</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35,994</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28,734</w:t>
            </w:r>
          </w:p>
        </w:tc>
      </w:tr>
      <w:tr>
        <w:trPr>
          <w:trHeight w:val="21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 and Thereafter (Cumulative)</w:t>
            </w: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101,338</w:t>
            </w: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293,968</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2023 Activity. </w:t>
      </w:r>
      <w:r>
        <w:rPr>
          <w:rFonts w:ascii="Arial" w:cs="Arial" w:eastAsia="Arial" w:hAnsi="Arial"/>
          <w:sz w:val="16"/>
          <w:szCs w:val="16"/>
          <w:color w:val="auto"/>
        </w:rPr>
        <w:t>During the six months ended June 30, 2023, the Company acquired 9 properties for a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$60.5 million, or a cost of $61.6 million including capitalized acquisition costs. The properties are located in four different states, leased to 14 different tenants, and had a weighted average remaining lease term of 7.5 years at the time of acquisition. Of the total acquisition cost, $16.4 million was allocated to land, $40.2 million was allocated to buildings and improvements, $5.5 million was allocated to intangible assets pertaining to the in-place lease value, leasing fees, and above market lease value, and $0.5 million was allocated to intangible liabilities for the below market lease value. The weighted average amortization period for the intangible assets and liabilities was 8.8 years at acquisition.</w:t>
      </w:r>
    </w:p>
    <w:p>
      <w:pPr>
        <w:spacing w:after="0" w:line="1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six months ended June 30, 2023, the Company sold 14 properties for an aggregate sales price of $79.1 million, generating aggregate gains on sale of $5.2 million. Five properties were classified as held for sale as of June 30, 2023.</w:t>
      </w:r>
    </w:p>
    <w:p>
      <w:pPr>
        <w:spacing w:after="0" w:line="11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2022 Activity. </w:t>
      </w:r>
      <w:r>
        <w:rPr>
          <w:rFonts w:ascii="Arial" w:cs="Arial" w:eastAsia="Arial" w:hAnsi="Arial"/>
          <w:sz w:val="16"/>
          <w:szCs w:val="16"/>
          <w:color w:val="auto"/>
        </w:rPr>
        <w:t>During the six months ended June 30, 2022, the Company acquired 35 properties for a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$109.1 million, or a total cost of $110.0 million including capitalized acquisition costs. The properties are located in 17 states, leased to 12 different tenants, and had a weighted average remaining lease term of 9.4 years at the time of acquisition. Of the total acquisition cost, $31.1 million was allocated to land, $67.0 million was allocated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buildings and improvements, $13.1 million was allocated to intangible assets pertaining to the in-place lease value, leasing fees, and above market lease value, and $1.2 million was allocated to intangible liabilities for the below market lease value. The weighted average amortization period for the intangible assets and liabilities was 9.7 years at acquisition.</w:t>
      </w:r>
    </w:p>
    <w:p>
      <w:pPr>
        <w:spacing w:after="0" w:line="14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six months ended June 30, 2022, the Company sold five properties for an aggregate sales price of $72.8 million, generating aggregate gains on sale of $15.6 million. One property was classified as held for sale as of June 30,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FAIR VALUE OF FINANCIAL INSTRUMENTS</w:t>
      </w:r>
    </w:p>
    <w:p>
      <w:pPr>
        <w:spacing w:after="0" w:line="21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7"/>
          <w:szCs w:val="17"/>
          <w:color w:val="auto"/>
        </w:rPr>
        <w:t>The following table presents the carrying value and estimated fair value of the Company’s financial instruments not carried at fair value on the consolidated balance sheets at June 30, 2023 and December 31, 2022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June 30, 2023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Carrying</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7"/>
              </w:rPr>
              <w:t>Estimated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Carrying</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7"/>
              </w:rPr>
              <w:t>Estimated</w:t>
            </w:r>
          </w:p>
        </w:tc>
      </w:t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Cash and Cash Equivalents - Level 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Restricted Cash - Level 1</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20,100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4,026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4,026</w:t>
            </w: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 Level 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230,904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250,568</w:t>
            </w:r>
          </w:p>
        </w:tc>
      </w:tr>
    </w:tbl>
    <w:p>
      <w:pPr>
        <w:spacing w:after="0" w:line="188" w:lineRule="exact"/>
        <w:rPr>
          <w:sz w:val="20"/>
          <w:szCs w:val="20"/>
          <w:color w:val="auto"/>
        </w:rPr>
      </w:pPr>
    </w:p>
    <w:p>
      <w:pPr>
        <w:jc w:val="both"/>
        <w:ind w:left="60" w:right="59" w:firstLine="324"/>
        <w:spacing w:after="0"/>
        <w:rPr>
          <w:sz w:val="20"/>
          <w:szCs w:val="20"/>
          <w:color w:val="auto"/>
        </w:rPr>
      </w:pPr>
      <w:r>
        <w:rPr>
          <w:rFonts w:ascii="Arial" w:cs="Arial" w:eastAsia="Arial" w:hAnsi="Arial"/>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76" w:lineRule="exact"/>
        <w:rPr>
          <w:sz w:val="20"/>
          <w:szCs w:val="20"/>
          <w:color w:val="auto"/>
        </w:rPr>
      </w:pPr>
    </w:p>
    <w:p>
      <w:pPr>
        <w:jc w:val="both"/>
        <w:ind w:left="60" w:right="59" w:firstLine="324"/>
        <w:spacing w:after="0"/>
        <w:rPr>
          <w:sz w:val="20"/>
          <w:szCs w:val="20"/>
          <w:color w:val="auto"/>
        </w:rPr>
      </w:pPr>
      <w:r>
        <w:rPr>
          <w:rFonts w:ascii="Arial" w:cs="Arial" w:eastAsia="Arial" w:hAnsi="Arial"/>
          <w:sz w:val="18"/>
          <w:szCs w:val="18"/>
          <w:color w:val="auto"/>
        </w:rPr>
        <w:t>The following tables present the fair value of assets measured on a recurring basis by level as of June 30, 2023 and December 31, 2022 (in thousands). See Note 10, “Interest Rate Swaps” for further disclosure related to the Company’s interest rate swaps.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b w:val="1"/>
                <w:bCs w:val="1"/>
                <w:color w:val="auto"/>
                <w:w w:val="91"/>
              </w:rPr>
              <w:t>Fair Value at Reporting Date Using</w:t>
            </w:r>
          </w:p>
        </w:tc>
      </w:tr>
      <w:tr>
        <w:trPr>
          <w:trHeight w:val="191"/>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Active Markets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for Identical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Observable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Assets (Level 1)</w:t>
            </w:r>
          </w:p>
        </w:tc>
        <w:tc>
          <w:tcPr>
            <w:tcW w:w="180" w:type="dxa"/>
            <w:vAlign w:val="bottom"/>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Inputs (Level 2)</w:t>
            </w:r>
          </w:p>
        </w:tc>
        <w:tc>
          <w:tcPr>
            <w:tcW w:w="18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Inputs (Level 3)</w:t>
            </w:r>
          </w:p>
        </w:tc>
      </w:tr>
      <w:tr>
        <w:trPr>
          <w:trHeight w:val="20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380" w:type="dxa"/>
            <w:vAlign w:val="bottom"/>
            <w:gridSpan w:val="2"/>
          </w:tcPr>
          <w:p>
            <w:pPr>
              <w:ind w:left="340"/>
              <w:spacing w:after="0" w:line="216" w:lineRule="exact"/>
              <w:rPr>
                <w:sz w:val="20"/>
                <w:szCs w:val="20"/>
                <w:color w:val="auto"/>
              </w:rPr>
            </w:pPr>
            <w:r>
              <w:rPr>
                <w:rFonts w:ascii="Arial" w:cs="Arial" w:eastAsia="Arial" w:hAnsi="Arial"/>
                <w:sz w:val="17"/>
                <w:szCs w:val="17"/>
                <w:color w:val="auto"/>
              </w:rPr>
              <w:t xml:space="preserve">2026 Term Loan Interest Rate Swap </w:t>
            </w:r>
            <w:r>
              <w:rPr>
                <w:rFonts w:ascii="Arial" w:cs="Arial" w:eastAsia="Arial" w:hAnsi="Arial"/>
                <w:sz w:val="25"/>
                <w:szCs w:val="25"/>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6,374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7"/>
                <w:szCs w:val="17"/>
                <w:color w:val="auto"/>
              </w:rPr>
              <w:t xml:space="preserve">2027 Term Loan Interest Rate Swap </w:t>
            </w:r>
            <w:r>
              <w:rPr>
                <w:rFonts w:ascii="Arial" w:cs="Arial" w:eastAsia="Arial" w:hAnsi="Arial"/>
                <w:sz w:val="25"/>
                <w:szCs w:val="25"/>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tcPr>
          <w:p>
            <w:pPr>
              <w:ind w:left="340"/>
              <w:spacing w:after="0" w:line="216" w:lineRule="exact"/>
              <w:rPr>
                <w:sz w:val="20"/>
                <w:szCs w:val="20"/>
                <w:color w:val="auto"/>
              </w:rPr>
            </w:pPr>
            <w:r>
              <w:rPr>
                <w:rFonts w:ascii="Arial" w:cs="Arial" w:eastAsia="Arial" w:hAnsi="Arial"/>
                <w:sz w:val="17"/>
                <w:szCs w:val="17"/>
                <w:color w:val="auto"/>
              </w:rPr>
              <w:t xml:space="preserve">Credit Facility Interest Rate Swap </w:t>
            </w:r>
            <w:r>
              <w:rPr>
                <w:rFonts w:ascii="Arial" w:cs="Arial" w:eastAsia="Arial" w:hAnsi="Arial"/>
                <w:sz w:val="25"/>
                <w:szCs w:val="25"/>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380" w:type="dxa"/>
            <w:vAlign w:val="bottom"/>
            <w:gridSpan w:val="2"/>
          </w:tcPr>
          <w:p>
            <w:pPr>
              <w:ind w:left="340"/>
              <w:spacing w:after="0" w:line="216" w:lineRule="exact"/>
              <w:rPr>
                <w:sz w:val="20"/>
                <w:szCs w:val="20"/>
                <w:color w:val="auto"/>
              </w:rPr>
            </w:pPr>
            <w:r>
              <w:rPr>
                <w:rFonts w:ascii="Arial" w:cs="Arial" w:eastAsia="Arial" w:hAnsi="Arial"/>
                <w:sz w:val="17"/>
                <w:szCs w:val="17"/>
                <w:color w:val="auto"/>
              </w:rPr>
              <w:t xml:space="preserve">2026 Term Loan Interest Rate Swap </w:t>
            </w:r>
            <w:r>
              <w:rPr>
                <w:rFonts w:ascii="Arial" w:cs="Arial" w:eastAsia="Arial" w:hAnsi="Arial"/>
                <w:sz w:val="25"/>
                <w:szCs w:val="25"/>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6,125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7"/>
                <w:szCs w:val="17"/>
                <w:color w:val="auto"/>
              </w:rPr>
              <w:t xml:space="preserve">2027 Term Loan Interest Rate Swap </w:t>
            </w:r>
            <w:r>
              <w:rPr>
                <w:rFonts w:ascii="Arial" w:cs="Arial" w:eastAsia="Arial" w:hAnsi="Arial"/>
                <w:sz w:val="25"/>
                <w:szCs w:val="25"/>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1"/>
        </w:trPr>
        <w:tc>
          <w:tcPr>
            <w:tcW w:w="22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r>
    </w:tbl>
    <w:p>
      <w:pPr>
        <w:spacing w:after="0" w:line="49" w:lineRule="exact"/>
        <w:rPr>
          <w:sz w:val="20"/>
          <w:szCs w:val="20"/>
          <w:color w:val="auto"/>
        </w:rPr>
      </w:pPr>
    </w:p>
    <w:p>
      <w:pPr>
        <w:jc w:val="both"/>
        <w:ind w:left="380" w:right="59" w:hanging="330"/>
        <w:spacing w:after="0" w:line="227"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4"/>
          <w:szCs w:val="14"/>
          <w:color w:val="auto"/>
        </w:rPr>
        <w:t>As of June 30, 2023, the Company has utilized interest rate swaps to fix SOFR and achieve a weighted average fixed interest rate of 2.05% plus 0.10% and the applicable spread on the $100 million 2026 Term Loan (hereinafter defined) balance. See Note 10, “Interest Rate Swaps” for further disclosure related to the Company’s interest rate swaps.</w:t>
      </w:r>
    </w:p>
    <w:p>
      <w:pPr>
        <w:jc w:val="both"/>
        <w:ind w:left="380" w:right="59" w:hanging="330"/>
        <w:spacing w:after="0" w:line="221"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4"/>
          <w:szCs w:val="14"/>
          <w:color w:val="auto"/>
        </w:rPr>
        <w:t>As of June 30, 2023, the Company has utilized interest rate swaps to fix SOFR and achieve a weighted average fixed interest rate of 1.18% plus 0.10% and the applicable spread on the $100 million 2027 Term Loan (hereinafter defined) balance. See Note 10, “Interest Rate Swaps” for further disclosure related to the Company’s interest rate swaps.</w:t>
      </w:r>
    </w:p>
    <w:p>
      <w:pPr>
        <w:jc w:val="both"/>
        <w:ind w:left="380" w:right="59" w:hanging="330"/>
        <w:spacing w:after="0" w:line="232"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4"/>
          <w:szCs w:val="14"/>
          <w:color w:val="auto"/>
        </w:rPr>
        <w:t>As of June 30, 2023, the Company has utilized an interest rate swap to fix SOFR and achieve a fixed interest rate of 3.21% plus 0.10% and the applicable spread on $50 million of the outstanding balance on the Credit Facility (hereinafter defined). See Note 10, “Interest Rate Swaps” for further disclosure related to the Company’s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5. INTANGIBLE ASSETS AND LIABILITIES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June 30, 2023 and December 31, 2022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8"/>
                <w:szCs w:val="18"/>
                <w:b w:val="1"/>
                <w:bCs w:val="1"/>
                <w:color w:val="auto"/>
              </w:rPr>
              <w:t>As of</w:t>
            </w:r>
          </w:p>
        </w:tc>
        <w:tc>
          <w:tcPr>
            <w:tcW w:w="1060" w:type="dxa"/>
            <w:vAlign w:val="bottom"/>
            <w:tcBorders>
              <w:bottom w:val="single" w:sz="8" w:color="auto"/>
            </w:tcBorders>
          </w:tcPr>
          <w:p>
            <w:pPr>
              <w:spacing w:after="0"/>
              <w:rPr>
                <w:sz w:val="20"/>
                <w:szCs w:val="20"/>
                <w:color w:val="auto"/>
              </w:rPr>
            </w:pPr>
          </w:p>
        </w:tc>
      </w:tr>
      <w:tr>
        <w:trPr>
          <w:trHeight w:val="209"/>
        </w:trPr>
        <w:tc>
          <w:tcPr>
            <w:tcW w:w="4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June 30, 2023</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2022</w:t>
            </w:r>
          </w:p>
        </w:tc>
      </w:tr>
      <w:tr>
        <w:trPr>
          <w:trHeight w:val="21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1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48,037</w:t>
            </w:r>
          </w:p>
        </w:tc>
        <w:tc>
          <w:tcPr>
            <w:tcW w:w="200" w:type="dxa"/>
            <w:vAlign w:val="bottom"/>
          </w:tcPr>
          <w:p>
            <w:pPr>
              <w:spacing w:after="0"/>
              <w:rPr>
                <w:sz w:val="18"/>
                <w:szCs w:val="18"/>
                <w:color w:val="auto"/>
              </w:rPr>
            </w:pPr>
          </w:p>
        </w:tc>
        <w:tc>
          <w:tcPr>
            <w:tcW w:w="540" w:type="dxa"/>
            <w:vAlign w:val="bottom"/>
          </w:tcPr>
          <w:p>
            <w:pPr>
              <w:jc w:val="right"/>
              <w:ind w:right="381"/>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49,974</w:t>
            </w: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r>
      <w:tr>
        <w:trPr>
          <w:trHeight w:val="216"/>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19,275</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20,579</w:t>
            </w:r>
          </w:p>
        </w:tc>
      </w:tr>
      <w:tr>
        <w:trPr>
          <w:trHeight w:val="21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74,450</w:t>
            </w: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(17,026)</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(14,018)</w:t>
            </w:r>
          </w:p>
        </w:tc>
      </w:tr>
      <w:tr>
        <w:trPr>
          <w:trHeight w:val="209"/>
        </w:trPr>
        <w:tc>
          <w:tcPr>
            <w:tcW w:w="4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53,402</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60,432</w:t>
            </w:r>
          </w:p>
        </w:tc>
      </w:tr>
      <w:tr>
        <w:trPr>
          <w:trHeight w:val="210"/>
        </w:trPr>
        <w:tc>
          <w:tcPr>
            <w:tcW w:w="4440" w:type="dxa"/>
            <w:vAlign w:val="bottom"/>
          </w:tcPr>
          <w:p>
            <w:pPr>
              <w:ind w:left="20"/>
              <w:spacing w:after="0"/>
              <w:rPr>
                <w:sz w:val="20"/>
                <w:szCs w:val="20"/>
                <w:color w:val="auto"/>
              </w:rPr>
            </w:pPr>
            <w:r>
              <w:rPr>
                <w:rFonts w:ascii="Arial" w:cs="Arial" w:eastAsia="Arial" w:hAnsi="Arial"/>
                <w:sz w:val="18"/>
                <w:szCs w:val="18"/>
                <w:color w:val="auto"/>
              </w:rPr>
              <w:t>Intangible Lease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(6,527)</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r>
      <w:tr>
        <w:trPr>
          <w:trHeight w:val="209"/>
        </w:trPr>
        <w:tc>
          <w:tcPr>
            <w:tcW w:w="444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1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(6,130)</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1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10"/>
        </w:trPr>
        <w:tc>
          <w:tcPr>
            <w:tcW w:w="4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r>
      <w:tr>
        <w:trPr>
          <w:trHeight w:val="20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1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48,340</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55,382</w:t>
            </w:r>
          </w:p>
        </w:tc>
      </w:tr>
      <w:tr>
        <w:trPr>
          <w:trHeight w:val="20"/>
        </w:trPr>
        <w:tc>
          <w:tcPr>
            <w:tcW w:w="4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reflects the net amortization of intangible assets and liabilities during the three and six months ended June 30, 2023 and 2022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June 30, 2023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June 30, 2022</w:t>
            </w:r>
          </w:p>
        </w:tc>
        <w:tc>
          <w:tcPr>
            <w:tcW w:w="120" w:type="dxa"/>
            <w:vAlign w:val="bottom"/>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2023</w:t>
            </w:r>
          </w:p>
        </w:tc>
        <w:tc>
          <w:tcPr>
            <w:tcW w:w="120" w:type="dxa"/>
            <w:vAlign w:val="bottom"/>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2022</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8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4,291</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Accretion to Properties Revenue</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95"/>
        </w:trPr>
        <w:tc>
          <w:tcPr>
            <w:tcW w:w="33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Net Amortization of Intangible Assets and</w:t>
            </w:r>
          </w:p>
        </w:tc>
        <w:tc>
          <w:tcPr>
            <w:tcW w:w="4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44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820" w:type="dxa"/>
            <w:vAlign w:val="bottom"/>
            <w:gridSpan w:val="2"/>
            <w:vMerge w:val="restart"/>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4,121</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Liabilities</w:t>
            </w:r>
          </w:p>
        </w:tc>
        <w:tc>
          <w:tcPr>
            <w:tcW w:w="40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Future Amortization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Future Accretion to</w:t>
            </w:r>
          </w:p>
        </w:tc>
        <w:tc>
          <w:tcPr>
            <w:tcW w:w="20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Intangible Assets and</w:t>
            </w:r>
          </w:p>
        </w:tc>
      </w:tr>
      <w:tr>
        <w:trPr>
          <w:trHeight w:val="234"/>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Expense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Property Revenue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Liabilities</w:t>
            </w: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8,044</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6,951</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4,412</w:t>
            </w:r>
          </w:p>
        </w:tc>
      </w:tr>
      <w:tr>
        <w:trPr>
          <w:trHeight w:val="21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11,895</w:t>
            </w:r>
          </w:p>
        </w:tc>
      </w:tr>
      <w:tr>
        <w:trPr>
          <w:trHeight w:val="210"/>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51,088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(2,748)</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48,340</w:t>
            </w:r>
          </w:p>
        </w:tc>
      </w:tr>
      <w:tr>
        <w:trPr>
          <w:trHeight w:val="20"/>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June 30, 2023, the weighted average amortization period of both the total intangible assets and liabilities was 8.9 years.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36"/>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8"/>
                <w:szCs w:val="18"/>
                <w:b w:val="1"/>
                <w:bCs w:val="1"/>
                <w:color w:val="auto"/>
              </w:rPr>
              <w:t>NOTE 6. OTHER ASSETS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780" w:type="dxa"/>
            <w:vAlign w:val="bottom"/>
            <w:gridSpan w:val="4"/>
          </w:tcPr>
          <w:p>
            <w:pPr>
              <w:ind w:left="320"/>
              <w:spacing w:after="0"/>
              <w:rPr>
                <w:sz w:val="20"/>
                <w:szCs w:val="20"/>
                <w:color w:val="auto"/>
              </w:rPr>
            </w:pPr>
            <w:r>
              <w:rPr>
                <w:rFonts w:ascii="Arial" w:cs="Arial" w:eastAsia="Arial" w:hAnsi="Arial"/>
                <w:sz w:val="18"/>
                <w:szCs w:val="18"/>
                <w:color w:val="auto"/>
              </w:rPr>
              <w:t>Other assets consisted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b w:val="1"/>
                <w:bCs w:val="1"/>
                <w:color w:val="auto"/>
              </w:rPr>
              <w:t>As of</w:t>
            </w:r>
          </w:p>
        </w:tc>
        <w:tc>
          <w:tcPr>
            <w:tcW w:w="960" w:type="dxa"/>
            <w:vAlign w:val="bottom"/>
            <w:tcBorders>
              <w:bottom w:val="single" w:sz="8" w:color="auto"/>
            </w:tcBorders>
          </w:tcPr>
          <w:p>
            <w:pPr>
              <w:spacing w:after="0"/>
              <w:rPr>
                <w:sz w:val="21"/>
                <w:szCs w:val="2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June 30, 2023</w:t>
            </w: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2022</w:t>
            </w:r>
          </w:p>
        </w:tc>
      </w:tr>
      <w:tr>
        <w:trPr>
          <w:trHeight w:val="209"/>
        </w:trPr>
        <w:tc>
          <w:tcPr>
            <w:tcW w:w="20" w:type="dxa"/>
            <w:vAlign w:val="bottom"/>
            <w:shd w:val="clear" w:color="auto" w:fill="CCEEFF"/>
          </w:tcPr>
          <w:p>
            <w:pPr>
              <w:spacing w:after="0"/>
              <w:rPr>
                <w:sz w:val="18"/>
                <w:szCs w:val="18"/>
                <w:color w:val="auto"/>
              </w:rPr>
            </w:pPr>
          </w:p>
        </w:tc>
        <w:tc>
          <w:tcPr>
            <w:tcW w:w="5780" w:type="dxa"/>
            <w:vAlign w:val="bottom"/>
            <w:gridSpan w:val="4"/>
            <w:shd w:val="clear" w:color="auto" w:fill="CCEEFF"/>
          </w:tcPr>
          <w:p>
            <w:pPr>
              <w:spacing w:after="0" w:line="210" w:lineRule="exact"/>
              <w:rPr>
                <w:sz w:val="20"/>
                <w:szCs w:val="20"/>
                <w:color w:val="auto"/>
              </w:rPr>
            </w:pPr>
            <w:r>
              <w:rPr>
                <w:rFonts w:ascii="Arial" w:cs="Arial" w:eastAsia="Arial" w:hAnsi="Arial"/>
                <w:sz w:val="17"/>
                <w:szCs w:val="17"/>
                <w:color w:val="auto"/>
              </w:rPr>
              <w:t xml:space="preserve">Tenant Receivables—Net of Allowance for Doubtful Accounts </w:t>
            </w:r>
            <w:r>
              <w:rPr>
                <w:rFonts w:ascii="Arial" w:cs="Arial" w:eastAsia="Arial" w:hAnsi="Arial"/>
                <w:sz w:val="24"/>
                <w:szCs w:val="24"/>
                <w:color w:val="auto"/>
                <w:vertAlign w:val="superscript"/>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16"/>
        </w:trPr>
        <w:tc>
          <w:tcPr>
            <w:tcW w:w="20" w:type="dxa"/>
            <w:vAlign w:val="bottom"/>
          </w:tcPr>
          <w:p>
            <w:pPr>
              <w:spacing w:after="0"/>
              <w:rPr>
                <w:sz w:val="18"/>
                <w:szCs w:val="18"/>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Prepaid 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Deposits on Acquisitions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Prepaid Expenses, Deposits,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Financing Costs—Net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16"/>
        </w:trPr>
        <w:tc>
          <w:tcPr>
            <w:tcW w:w="20" w:type="dxa"/>
            <w:vAlign w:val="bottom"/>
          </w:tcPr>
          <w:p>
            <w:pPr>
              <w:spacing w:after="0"/>
              <w:rPr>
                <w:sz w:val="18"/>
                <w:szCs w:val="18"/>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16,214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14,632</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4"/>
            <w:shd w:val="clear" w:color="auto" w:fill="CCEEFF"/>
          </w:tcPr>
          <w:p>
            <w:pPr>
              <w:spacing w:after="0" w:line="216" w:lineRule="exact"/>
              <w:rPr>
                <w:sz w:val="20"/>
                <w:szCs w:val="20"/>
                <w:color w:val="auto"/>
              </w:rPr>
            </w:pPr>
            <w:r>
              <w:rPr>
                <w:rFonts w:ascii="Arial" w:cs="Arial" w:eastAsia="Arial" w:hAnsi="Arial"/>
                <w:sz w:val="17"/>
                <w:szCs w:val="17"/>
                <w:color w:val="auto"/>
              </w:rPr>
              <w:t xml:space="preserve">Operating Leases - Right-of-Use Asset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r>
      <w:tr>
        <w:trPr>
          <w:trHeight w:val="210"/>
        </w:trPr>
        <w:tc>
          <w:tcPr>
            <w:tcW w:w="20" w:type="dxa"/>
            <w:vAlign w:val="bottom"/>
          </w:tcPr>
          <w:p>
            <w:pPr>
              <w:spacing w:after="0"/>
              <w:rPr>
                <w:sz w:val="18"/>
                <w:szCs w:val="18"/>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Total Other Assets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22,868</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r>
    </w:tbl>
    <w:p>
      <w:pPr>
        <w:spacing w:after="0" w:line="6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Includes a $0.4 million allowance for doubtful accounts as of June 30, 2023 and December 31, 2022.</w:t>
      </w:r>
    </w:p>
    <w:p>
      <w:pPr>
        <w:ind w:left="380" w:hanging="330"/>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See Note 7, “Operating Land Leases” for further disclosure related to the Company’s right-of-use asset balance as of June 30, 2023.</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OPERATING LAND LEASES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 xml:space="preserve">The Company is the lessee under operating land leases for certain of its properties.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requires a lessee to recognize right-of-use assets and lease liabilities that arise from leases, whether qualifying as an operating or finance lease. As of June 30, 2023 and December 31, 2022, the Company’s right-of-use assets totaled $1.5 million and $1.6 million, respectively, and the corresponding lease liabilities totaled $1.6 million and $1.7 million, respectively,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9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Amortization of right-of-use assets for operating land leases is recognized on a straight-line basis over the term of the lease and is included within real estate expenses in the consolidated statements of operations. Amortization totaled less than $0.1 million and $0.1 million during the three and six months ended June 30, 2023 and 2022, respectively.</w:t>
      </w:r>
    </w:p>
    <w:p>
      <w:pPr>
        <w:spacing w:after="0" w:line="135" w:lineRule="exact"/>
        <w:rPr>
          <w:sz w:val="20"/>
          <w:szCs w:val="20"/>
          <w:color w:val="auto"/>
        </w:rPr>
      </w:pPr>
    </w:p>
    <w:p>
      <w:pPr>
        <w:jc w:val="both"/>
        <w:ind w:left="60" w:right="59" w:firstLine="324"/>
        <w:spacing w:after="0" w:line="246" w:lineRule="auto"/>
        <w:rPr>
          <w:sz w:val="20"/>
          <w:szCs w:val="20"/>
          <w:color w:val="auto"/>
        </w:rPr>
      </w:pPr>
      <w:r>
        <w:rPr>
          <w:rFonts w:ascii="Arial" w:cs="Arial" w:eastAsia="Arial" w:hAnsi="Arial"/>
          <w:sz w:val="18"/>
          <w:szCs w:val="18"/>
          <w:color w:val="auto"/>
        </w:rPr>
        <w:t>The following table reflects a summary of operating land leases, under which the Company is the lessee, for the three and six months ended June 30, 2023 and 2022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Six Months Ended</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June 30, 2023</w:t>
            </w:r>
          </w:p>
        </w:tc>
        <w:tc>
          <w:tcPr>
            <w:tcW w:w="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2022</w:t>
            </w:r>
          </w:p>
        </w:tc>
        <w:tc>
          <w:tcPr>
            <w:tcW w:w="16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June 30, 2023</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June 30, 2022</w:t>
            </w:r>
          </w:p>
        </w:tc>
        <w:tc>
          <w:tcPr>
            <w:tcW w:w="400" w:type="dxa"/>
            <w:vAlign w:val="bottom"/>
            <w:gridSpan w:val="2"/>
          </w:tcPr>
          <w:p>
            <w:pPr>
              <w:spacing w:after="0"/>
              <w:rPr>
                <w:sz w:val="18"/>
                <w:szCs w:val="18"/>
                <w:color w:val="auto"/>
              </w:rPr>
            </w:pPr>
          </w:p>
        </w:tc>
      </w:tr>
      <w:tr>
        <w:trPr>
          <w:trHeight w:val="196"/>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w w:val="92"/>
              </w:rPr>
              <w:t>Weighted Average Remaining Lease Term</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2.0 %</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40" w:type="dxa"/>
            <w:vAlign w:val="bottom"/>
          </w:tcPr>
          <w:p>
            <w:pPr>
              <w:spacing w:after="0"/>
              <w:rPr>
                <w:sz w:val="18"/>
                <w:szCs w:val="18"/>
                <w:color w:val="auto"/>
              </w:rPr>
            </w:pPr>
          </w:p>
        </w:tc>
      </w:tr>
      <w:tr>
        <w:trPr>
          <w:trHeight w:val="864"/>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Minimum future lease payments under non-cancelable operating land leases, having remaining terms in excess of one year subsequent to June 30, 2023, are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360" w:type="dxa"/>
            <w:vAlign w:val="bottom"/>
            <w:gridSpan w:val="3"/>
            <w:shd w:val="clear" w:color="auto" w:fill="CCEEFF"/>
          </w:tcPr>
          <w:p>
            <w:pPr>
              <w:jc w:val="right"/>
              <w:ind w:right="84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2028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09"/>
        </w:trPr>
        <w:tc>
          <w:tcPr>
            <w:tcW w:w="616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1,667</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Imputed Interest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0"/>
        </w:trPr>
        <w:tc>
          <w:tcPr>
            <w:tcW w:w="6160" w:type="dxa"/>
            <w:vAlign w:val="bottom"/>
          </w:tcPr>
          <w:p>
            <w:pPr>
              <w:ind w:left="20"/>
              <w:spacing w:after="0"/>
              <w:rPr>
                <w:sz w:val="20"/>
                <w:szCs w:val="20"/>
                <w:color w:val="auto"/>
              </w:rPr>
            </w:pPr>
            <w:r>
              <w:rPr>
                <w:rFonts w:ascii="Arial" w:cs="Arial" w:eastAsia="Arial" w:hAnsi="Arial"/>
                <w:sz w:val="18"/>
                <w:szCs w:val="18"/>
                <w:color w:val="auto"/>
              </w:rPr>
              <w:t>Operating Leases – Liability</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r>
      <w:tr>
        <w:trPr>
          <w:trHeight w:val="20"/>
        </w:trPr>
        <w:tc>
          <w:tcPr>
            <w:tcW w:w="6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8.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June 30, 2023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 2022</w:t>
            </w:r>
          </w:p>
        </w:tc>
      </w:tr>
      <w:tr>
        <w:trPr>
          <w:trHeight w:val="21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Tenant Security Deposits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Due to CTO</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16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Operating Leases - Liability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r>
      <w:tr>
        <w:trPr>
          <w:trHeight w:val="25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Total Accounts Payable, Accrued Expenses, and Other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r>
      <w:tr>
        <w:trPr>
          <w:trHeight w:val="82"/>
        </w:trPr>
        <w:tc>
          <w:tcPr>
            <w:tcW w:w="2240" w:type="dxa"/>
            <w:vAlign w:val="bottom"/>
            <w:tcBorders>
              <w:top w:val="single" w:sz="8" w:color="CCEEFF"/>
              <w:bottom w:val="single" w:sz="8" w:color="auto"/>
            </w:tcBorders>
          </w:tcPr>
          <w:p>
            <w:pPr>
              <w:spacing w:after="0"/>
              <w:rPr>
                <w:sz w:val="7"/>
                <w:szCs w:val="7"/>
                <w:color w:val="auto"/>
              </w:rPr>
            </w:pPr>
          </w:p>
        </w:tc>
        <w:tc>
          <w:tcPr>
            <w:tcW w:w="2920" w:type="dxa"/>
            <w:vAlign w:val="bottom"/>
            <w:tcBorders>
              <w:top w:val="single" w:sz="8" w:color="CCEEFF"/>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54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640" w:type="dxa"/>
            <w:vAlign w:val="bottom"/>
            <w:tcBorders>
              <w:top w:val="single" w:sz="8" w:color="auto"/>
            </w:tcBorders>
          </w:tcPr>
          <w:p>
            <w:pPr>
              <w:spacing w:after="0"/>
              <w:rPr>
                <w:sz w:val="7"/>
                <w:szCs w:val="7"/>
                <w:color w:val="auto"/>
              </w:rPr>
            </w:pPr>
          </w:p>
        </w:tc>
      </w:tr>
    </w:tbl>
    <w:p>
      <w:pPr>
        <w:spacing w:after="0" w:line="49"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1"/>
          <w:szCs w:val="11"/>
          <w:color w:val="auto"/>
        </w:rPr>
      </w:pPr>
      <w:r>
        <w:rPr>
          <w:rFonts w:ascii="Arial" w:cs="Arial" w:eastAsia="Arial" w:hAnsi="Arial"/>
          <w:sz w:val="14"/>
          <w:szCs w:val="14"/>
          <w:color w:val="auto"/>
        </w:rPr>
        <w:t>See Note 7, “Operating Land Leases” for further disclosure related to the Company’s operating lease liability balance as of June 30, 2023.</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9. LONG-TERM 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June 30, 2023, the Company’s outstanding indebtedness, at face value, was as follows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Face Value Debt</w:t>
            </w:r>
          </w:p>
        </w:tc>
        <w:tc>
          <w:tcPr>
            <w:tcW w:w="16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Stated Interest Rate</w:t>
            </w:r>
          </w:p>
        </w:tc>
        <w:tc>
          <w:tcPr>
            <w:tcW w:w="1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0" w:type="dxa"/>
            <w:vAlign w:val="bottom"/>
          </w:tcPr>
          <w:p>
            <w:pPr>
              <w:spacing w:after="0"/>
              <w:rPr>
                <w:sz w:val="1"/>
                <w:szCs w:val="1"/>
                <w:color w:val="auto"/>
              </w:rPr>
            </w:pPr>
          </w:p>
        </w:tc>
      </w:tr>
      <w:tr>
        <w:trPr>
          <w:trHeight w:val="195"/>
        </w:trPr>
        <w:tc>
          <w:tcPr>
            <w:tcW w:w="36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26"/>
                <w:szCs w:val="26"/>
                <w:color w:val="auto"/>
                <w:vertAlign w:val="superscript"/>
              </w:rPr>
              <w:t>(1)</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SOFR + 0.10% +</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3"/>
              </w:rPr>
              <w:t>[1.25% - 2.20%]</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2027</w:t>
            </w:r>
          </w:p>
        </w:tc>
        <w:tc>
          <w:tcPr>
            <w:tcW w:w="0" w:type="dxa"/>
            <w:vAlign w:val="bottom"/>
          </w:tcPr>
          <w:p>
            <w:pPr>
              <w:spacing w:after="0"/>
              <w:rPr>
                <w:sz w:val="1"/>
                <w:szCs w:val="1"/>
                <w:color w:val="auto"/>
              </w:rPr>
            </w:pPr>
          </w:p>
        </w:tc>
      </w:tr>
      <w:tr>
        <w:trPr>
          <w:trHeight w:val="202"/>
        </w:trPr>
        <w:tc>
          <w:tcPr>
            <w:tcW w:w="364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2026 Term Loan </w:t>
            </w:r>
            <w:r>
              <w:rPr>
                <w:rFonts w:ascii="Arial" w:cs="Arial" w:eastAsia="Arial" w:hAnsi="Arial"/>
                <w:sz w:val="26"/>
                <w:szCs w:val="26"/>
                <w:color w:val="auto"/>
                <w:vertAlign w:val="superscript"/>
              </w:rPr>
              <w:t>(2)</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jc w:val="center"/>
              <w:spacing w:after="0" w:line="201" w:lineRule="exact"/>
              <w:rPr>
                <w:sz w:val="20"/>
                <w:szCs w:val="20"/>
                <w:color w:val="auto"/>
              </w:rPr>
            </w:pPr>
            <w:r>
              <w:rPr>
                <w:rFonts w:ascii="Arial" w:cs="Arial" w:eastAsia="Arial" w:hAnsi="Arial"/>
                <w:sz w:val="18"/>
                <w:szCs w:val="18"/>
                <w:color w:val="auto"/>
                <w:w w:val="91"/>
              </w:rPr>
              <w:t>SOFR + 0.10% +</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4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[1.35% - 1.95%]</w:t>
            </w:r>
          </w:p>
        </w:tc>
        <w:tc>
          <w:tcPr>
            <w:tcW w:w="1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2026</w:t>
            </w:r>
          </w:p>
        </w:tc>
        <w:tc>
          <w:tcPr>
            <w:tcW w:w="0" w:type="dxa"/>
            <w:vAlign w:val="bottom"/>
          </w:tcPr>
          <w:p>
            <w:pPr>
              <w:spacing w:after="0"/>
              <w:rPr>
                <w:sz w:val="1"/>
                <w:szCs w:val="1"/>
                <w:color w:val="auto"/>
              </w:rPr>
            </w:pPr>
          </w:p>
        </w:tc>
      </w:tr>
      <w:tr>
        <w:trPr>
          <w:trHeight w:val="202"/>
        </w:trPr>
        <w:tc>
          <w:tcPr>
            <w:tcW w:w="36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2027 Term Loan </w:t>
            </w:r>
            <w:r>
              <w:rPr>
                <w:rFonts w:ascii="Arial" w:cs="Arial" w:eastAsia="Arial" w:hAnsi="Arial"/>
                <w:sz w:val="26"/>
                <w:szCs w:val="26"/>
                <w:color w:val="auto"/>
                <w:vertAlign w:val="superscript"/>
              </w:rPr>
              <w:t>(3)</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SOFR + 0.10% +</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3"/>
              </w:rPr>
              <w:t>[1.25% - 1.90%]</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2027</w:t>
            </w:r>
          </w:p>
        </w:tc>
        <w:tc>
          <w:tcPr>
            <w:tcW w:w="0" w:type="dxa"/>
            <w:vAlign w:val="bottom"/>
          </w:tcPr>
          <w:p>
            <w:pPr>
              <w:spacing w:after="0"/>
              <w:rPr>
                <w:sz w:val="1"/>
                <w:szCs w:val="1"/>
                <w:color w:val="auto"/>
              </w:rPr>
            </w:pPr>
          </w:p>
        </w:tc>
      </w:tr>
      <w:tr>
        <w:trPr>
          <w:trHeight w:val="21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Total Debt/Weighted-Average Rate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2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3.36%</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80" w:right="59" w:hanging="330"/>
        <w:spacing w:after="0" w:line="227"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4"/>
          <w:szCs w:val="14"/>
          <w:color w:val="auto"/>
        </w:rPr>
        <w:t>As of June 30, 2023, the Company has utilized an interest rate swap to fix SOFR and achieve a fixed interest rate of 3.21% plus 0.10% and the applicable spread on $50 million of the outstanding balance on the Credit Facility (hereinafter defined). See Note 10, “Interest Rate Swaps” for further disclosure related to the Company’s interest rate swap.</w:t>
      </w:r>
    </w:p>
    <w:p>
      <w:pPr>
        <w:jc w:val="both"/>
        <w:ind w:left="380" w:right="59" w:hanging="330"/>
        <w:spacing w:after="0" w:line="221"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4"/>
          <w:szCs w:val="14"/>
          <w:color w:val="auto"/>
        </w:rPr>
        <w:t>As of June 30, 2023, the Company has utilized interest rate swaps to fix SOFR and achieve a weighted average fixed interest rate of 2.05% plus 0.10% and the applicable spread on the $100 million 2026 Term Loan (hereinafter defined) balance. See Note 10, “Interest Rate Swaps” for further disclosure related to the Company’s interest rate swaps.</w:t>
      </w:r>
    </w:p>
    <w:p>
      <w:pPr>
        <w:jc w:val="both"/>
        <w:ind w:left="380" w:right="59" w:hanging="330"/>
        <w:spacing w:after="0" w:line="232"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4"/>
          <w:szCs w:val="14"/>
          <w:color w:val="auto"/>
        </w:rPr>
        <w:t>As of June 30, 2023, the Company has utilized interest rate swaps to fix SOFR and achieve a weighted average fixed interest rate of 1.18% plus 0.10% and the applicable spread on the $100 million 2027 Term Loan (hereinafter defined) balance. See Note 10, “Interest Rate Swaps” for further disclosure related to the Company’s interest rate swaps.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On September 30, 2022, the Company and the Operating Partnership entered into a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“2022 Amended and Restated Credit Agreement” or “Credit Facility”) with KeyBank National Association, as administrative agent, and certain other lenders named therein, which amended and restated the 2027 Term Loan Credit Agreement (hereinafter defined) to include, among other things:</w:t>
      </w:r>
    </w:p>
    <w:p>
      <w:pPr>
        <w:spacing w:after="0" w:line="119" w:lineRule="exact"/>
        <w:rPr>
          <w:sz w:val="20"/>
          <w:szCs w:val="20"/>
          <w:color w:val="auto"/>
        </w:rPr>
      </w:pPr>
    </w:p>
    <w:p>
      <w:pPr>
        <w:ind w:left="1040" w:right="559" w:hanging="315"/>
        <w:spacing w:after="0" w:line="258"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origination of a new senior unsecured revolving credit facility in the amount of $250 million which matures on January 31, 2027, with the option to extend for one year;</w:t>
      </w:r>
    </w:p>
    <w:p>
      <w:pPr>
        <w:spacing w:after="0" w:line="1" w:lineRule="exact"/>
        <w:rPr>
          <w:rFonts w:ascii="Arial" w:cs="Arial" w:eastAsia="Arial" w:hAnsi="Arial"/>
          <w:sz w:val="18"/>
          <w:szCs w:val="18"/>
          <w:color w:val="auto"/>
        </w:rPr>
      </w:pPr>
    </w:p>
    <w:p>
      <w:pPr>
        <w:jc w:val="both"/>
        <w:ind w:left="1040" w:right="59" w:hanging="315"/>
        <w:spacing w:after="0" w:line="250"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accordion option that allows the Company to request additional revolving loan commitments and additional term loan commitments, provided the aggregate amount of revolving loan commitments and term loan commitments shall not exceed $750 million;</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amendment of certain financial covenants; and</w:t>
      </w:r>
    </w:p>
    <w:p>
      <w:pPr>
        <w:spacing w:after="0" w:line="9" w:lineRule="exact"/>
        <w:rPr>
          <w:rFonts w:ascii="Arial" w:cs="Arial" w:eastAsia="Arial" w:hAnsi="Arial"/>
          <w:sz w:val="18"/>
          <w:szCs w:val="18"/>
          <w:color w:val="auto"/>
        </w:rPr>
      </w:pPr>
    </w:p>
    <w:p>
      <w:pPr>
        <w:ind w:left="1040" w:right="59" w:hanging="315"/>
        <w:spacing w:after="0" w:line="290"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addition of a sustainability-linked pricing component pursuant to which the Company will receive interest rate reductions up to 0.025% based on performance against sustainability performance targets.</w:t>
      </w:r>
    </w:p>
    <w:p>
      <w:pPr>
        <w:spacing w:after="0" w:line="9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Pursuant to the 2022 Amended and Restated Credit Agreement, the indebtedness outstanding under the Credit Facility accrues at a rate ranging from SOFR plus 0.10% plus 125 basis points to SOFR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spacing w:after="0" w:line="97" w:lineRule="exact"/>
        <w:rPr>
          <w:sz w:val="20"/>
          <w:szCs w:val="20"/>
          <w:color w:val="auto"/>
        </w:rPr>
      </w:pPr>
    </w:p>
    <w:p>
      <w:pPr>
        <w:jc w:val="both"/>
        <w:ind w:left="60" w:right="59" w:firstLine="377"/>
        <w:spacing w:after="0" w:line="273" w:lineRule="auto"/>
        <w:rPr>
          <w:sz w:val="20"/>
          <w:szCs w:val="20"/>
          <w:color w:val="auto"/>
        </w:rPr>
      </w:pPr>
      <w:r>
        <w:rPr>
          <w:rFonts w:ascii="Arial" w:cs="Arial" w:eastAsia="Arial" w:hAnsi="Arial"/>
          <w:sz w:val="17"/>
          <w:szCs w:val="17"/>
          <w:color w:val="auto"/>
        </w:rPr>
        <w:t>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spacing w:after="0" w:line="11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June 30, 2023, the commitment level under the Credit Facility was $250.0 million and the Company had an outstanding balance of $50.0 million.</w:t>
      </w:r>
    </w:p>
    <w:p>
      <w:pPr>
        <w:spacing w:after="0" w:line="103"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2026 Term Loan. </w:t>
      </w:r>
      <w:r>
        <w:rPr>
          <w:rFonts w:ascii="Arial" w:cs="Arial" w:eastAsia="Arial" w:hAnsi="Arial"/>
          <w:sz w:val="16"/>
          <w:szCs w:val="16"/>
          <w:color w:val="auto"/>
        </w:rPr>
        <w:t>On May 21, 2021, the Operating Partnership, the Company and certain subsidiaries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w:t>
      </w:r>
    </w:p>
    <w:p>
      <w:pPr>
        <w:spacing w:after="0" w:line="9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spacing w:after="0" w:line="81"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2027 Term Loan. </w:t>
      </w:r>
      <w:r>
        <w:rPr>
          <w:rFonts w:ascii="Arial" w:cs="Arial" w:eastAsia="Arial" w:hAnsi="Arial"/>
          <w:sz w:val="16"/>
          <w:szCs w:val="16"/>
          <w:color w:val="auto"/>
        </w:rPr>
        <w:t>On September 30, 2021, the Operating Partnership, the Company and certain subsidiaries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w:t>
      </w:r>
    </w:p>
    <w:p>
      <w:pPr>
        <w:spacing w:after="0" w:line="9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as of June 30, 2023 and December 31, 2022 consisted of the following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Due Within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Due Within</w:t>
            </w:r>
          </w:p>
        </w:tc>
      </w:t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One Year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One Year</w:t>
            </w: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2026 Term Loan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Term Loan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09"/>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applicable to reduction of principal amounts as of June 30, 2023 will be required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Amount</w:t>
            </w: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900" w:type="dxa"/>
            <w:vAlign w:val="bottom"/>
          </w:tcPr>
          <w:p>
            <w:pPr>
              <w:ind w:left="20"/>
              <w:spacing w:after="0"/>
              <w:rPr>
                <w:sz w:val="20"/>
                <w:szCs w:val="20"/>
                <w:color w:val="auto"/>
              </w:rPr>
            </w:pPr>
            <w:r>
              <w:rPr>
                <w:rFonts w:ascii="Arial" w:cs="Arial" w:eastAsia="Arial" w:hAnsi="Arial"/>
                <w:sz w:val="18"/>
                <w:szCs w:val="18"/>
                <w:color w:val="auto"/>
              </w:rPr>
              <w:t>Total Long-Term Debt - Face Value</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0"/>
        </w:trPr>
        <w:tc>
          <w:tcPr>
            <w:tcW w:w="6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value of long-term debt as of June 30, 2023 consisted of the following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1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r>
      <w:tr>
        <w:trPr>
          <w:trHeight w:val="21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249,020</w:t>
            </w:r>
          </w:p>
        </w:tc>
      </w:tr>
      <w:tr>
        <w:trPr>
          <w:trHeight w:val="20"/>
        </w:trPr>
        <w:tc>
          <w:tcPr>
            <w:tcW w:w="7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addition to the $1.0 million of financing costs, net of accumulated amortization included in the table above, as of June 30, 2023, the Company also had financing costs, net of accumulated amortization related to the Credit Facility of $1.4 million which is included in other assets on the consolidated balance sheets. These costs are amortized on a straight-line basis over the term of the Credit Facility and are included in interest expense in the consolidated statements of operations.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reflects a summary of interest expense incurred and paid during the three and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2023 and 2022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60"/>
        <w:spacing w:after="0" w:line="260" w:lineRule="auto"/>
        <w:rPr>
          <w:sz w:val="20"/>
          <w:szCs w:val="20"/>
          <w:color w:val="auto"/>
        </w:rPr>
      </w:pPr>
      <w:r>
        <w:rPr>
          <w:rFonts w:ascii="Arial" w:cs="Arial" w:eastAsia="Arial" w:hAnsi="Arial"/>
          <w:sz w:val="18"/>
          <w:szCs w:val="18"/>
          <w:color w:val="auto"/>
        </w:rPr>
        <w:t>Amortization of Deferred Financing Costs to Interest Expense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7"/>
              </w:rPr>
              <w:t>Three Months Ended</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9"/>
              </w:rPr>
              <w:t>Six Months Ended</w:t>
            </w:r>
          </w:p>
        </w:tc>
      </w:tr>
      <w:tr>
        <w:trPr>
          <w:trHeight w:val="210"/>
        </w:trPr>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June 30, 2023</w:t>
            </w:r>
          </w:p>
        </w:tc>
        <w:tc>
          <w:tcPr>
            <w:tcW w:w="140" w:type="dxa"/>
            <w:vAlign w:val="bottom"/>
          </w:tcPr>
          <w:p>
            <w:pPr>
              <w:spacing w:after="0"/>
              <w:rPr>
                <w:sz w:val="18"/>
                <w:szCs w:val="18"/>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June 30, 2022</w:t>
            </w:r>
          </w:p>
        </w:tc>
        <w:tc>
          <w:tcPr>
            <w:tcW w:w="140" w:type="dxa"/>
            <w:vAlign w:val="bottom"/>
          </w:tcPr>
          <w:p>
            <w:pPr>
              <w:spacing w:after="0"/>
              <w:rPr>
                <w:sz w:val="18"/>
                <w:szCs w:val="18"/>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June 30, 2023</w:t>
            </w:r>
          </w:p>
        </w:tc>
        <w:tc>
          <w:tcPr>
            <w:tcW w:w="140" w:type="dxa"/>
            <w:vAlign w:val="bottom"/>
          </w:tcPr>
          <w:p>
            <w:pPr>
              <w:spacing w:after="0"/>
              <w:rPr>
                <w:sz w:val="18"/>
                <w:szCs w:val="18"/>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June 30, 2022</w:t>
            </w:r>
          </w:p>
        </w:tc>
      </w:tr>
      <w:tr>
        <w:trPr>
          <w:trHeight w:val="2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2,261</w:t>
            </w:r>
          </w:p>
        </w:tc>
        <w:tc>
          <w:tcPr>
            <w:tcW w:w="1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1,991</w:t>
            </w:r>
          </w:p>
        </w:tc>
        <w:tc>
          <w:tcPr>
            <w:tcW w:w="1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4,700</w:t>
            </w:r>
          </w:p>
        </w:tc>
        <w:tc>
          <w:tcPr>
            <w:tcW w:w="1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3,546</w:t>
            </w:r>
          </w:p>
        </w:tc>
      </w:tr>
      <w:tr>
        <w:trPr>
          <w:trHeight w:val="418"/>
        </w:trPr>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-410845</wp:posOffset>
            </wp:positionV>
            <wp:extent cx="565785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60" w:space="440"/>
            <w:col w:w="471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4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29"/>
        </w:trPr>
        <w:tc>
          <w:tcPr>
            <w:tcW w:w="42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Total Interest Expense</w:t>
            </w:r>
          </w:p>
        </w:tc>
        <w:tc>
          <w:tcPr>
            <w:tcW w:w="3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2,438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2,123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5,051</w:t>
            </w:r>
          </w:p>
        </w:tc>
        <w:tc>
          <w:tcPr>
            <w:tcW w:w="4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3,803</w:t>
            </w:r>
          </w:p>
        </w:tc>
      </w:tr>
      <w:tr>
        <w:trPr>
          <w:trHeight w:val="197"/>
        </w:trPr>
        <w:tc>
          <w:tcPr>
            <w:tcW w:w="42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3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Paid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was in compliance with all of its debt covenants as of June 30,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10. INTEREST RATE SWAPS</w:t>
      </w:r>
    </w:p>
    <w:p>
      <w:pPr>
        <w:spacing w:after="0" w:line="121"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The Company has entered into interest rate swap agreements to hedge against changes in future cash flows resulting from fluctuating interest rates related to the below noted borrowings. The interest rate agreements were 100% effective during the three months ended June 30, 2023. Accordingly, the changes in fair value on the interest rate swaps have been classified in accumulated other comprehensive income. The fair value of the interest rate swap agreements are included in other assets and accounts payable, accrued expenses and other liabilities, respectively, on the consolidated balance sheets. Information related to the Company’s interest rate swap agreements is noted below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Effective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Fair Value as of</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Hedged Item</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0"/>
              </w:rPr>
              <w:t>June 30, 2023</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24"/>
                <w:szCs w:val="24"/>
                <w:color w:val="auto"/>
                <w:vertAlign w:val="superscript"/>
              </w:rPr>
              <w:t>(1)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2.05% + 0.10%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23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5/21/2021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5/21/2026</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applicable spread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2380" w:type="dxa"/>
            <w:vAlign w:val="bottom"/>
            <w:vMerge w:val="restart"/>
          </w:tcPr>
          <w:p>
            <w:pPr>
              <w:ind w:left="2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24"/>
                <w:szCs w:val="24"/>
                <w:color w:val="auto"/>
                <w:vertAlign w:val="superscript"/>
              </w:rPr>
              <w:t>(2)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2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1.18%+ 0.10%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 w:type="dxa"/>
            <w:vAlign w:val="bottom"/>
          </w:tcPr>
          <w:p>
            <w:pPr>
              <w:ind w:left="20"/>
              <w:spacing w:after="0"/>
              <w:rPr>
                <w:sz w:val="20"/>
                <w:szCs w:val="20"/>
                <w:color w:val="auto"/>
              </w:rPr>
            </w:pPr>
            <w:r>
              <w:rPr>
                <w:rFonts w:ascii="Arial" w:cs="Arial" w:eastAsia="Arial" w:hAnsi="Arial"/>
                <w:sz w:val="16"/>
                <w:szCs w:val="16"/>
                <w:color w:val="auto"/>
                <w:w w:val="89"/>
              </w:rPr>
              <w:t>2027</w:t>
            </w:r>
          </w:p>
        </w:tc>
        <w:tc>
          <w:tcPr>
            <w:tcW w:w="2380" w:type="dxa"/>
            <w:vAlign w:val="bottom"/>
            <w:vMerge w:val="continue"/>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9/30/2021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11/26/2024</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0"/>
              </w:rPr>
              <w:t>applicable spread</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5,282</w:t>
            </w:r>
          </w:p>
        </w:tc>
        <w:tc>
          <w:tcPr>
            <w:tcW w:w="0" w:type="dxa"/>
            <w:vAlign w:val="bottom"/>
          </w:tcPr>
          <w:p>
            <w:pPr>
              <w:spacing w:after="0"/>
              <w:rPr>
                <w:sz w:val="1"/>
                <w:szCs w:val="1"/>
                <w:color w:val="auto"/>
              </w:rPr>
            </w:pPr>
          </w:p>
        </w:tc>
      </w:tr>
      <w:tr>
        <w:trPr>
          <w:trHeight w:val="193"/>
        </w:trPr>
        <w:tc>
          <w:tcPr>
            <w:tcW w:w="360" w:type="dxa"/>
            <w:vAlign w:val="bottom"/>
            <w:shd w:val="clear" w:color="auto" w:fill="CCEEFF"/>
          </w:tcPr>
          <w:p>
            <w:pPr>
              <w:spacing w:after="0"/>
              <w:rPr>
                <w:sz w:val="16"/>
                <w:szCs w:val="16"/>
                <w:color w:val="auto"/>
              </w:rPr>
            </w:pPr>
          </w:p>
        </w:tc>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24"/>
                <w:szCs w:val="24"/>
                <w:color w:val="auto"/>
                <w:vertAlign w:val="superscript"/>
              </w:rPr>
              <w:t>(3)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1.60%+ 0.10%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2027</w:t>
            </w:r>
          </w:p>
        </w:tc>
        <w:tc>
          <w:tcPr>
            <w:tcW w:w="23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11/26/2024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1/31/2027</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applicable spread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0" w:type="dxa"/>
            <w:vAlign w:val="bottom"/>
          </w:tcPr>
          <w:p>
            <w:pPr>
              <w:spacing w:after="0"/>
              <w:rPr>
                <w:sz w:val="1"/>
                <w:szCs w:val="1"/>
                <w:color w:val="auto"/>
              </w:rPr>
            </w:pPr>
          </w:p>
        </w:tc>
      </w:tr>
      <w:tr>
        <w:trPr>
          <w:trHeight w:val="193"/>
        </w:trPr>
        <w:tc>
          <w:tcPr>
            <w:tcW w:w="2740" w:type="dxa"/>
            <w:vAlign w:val="bottom"/>
            <w:gridSpan w:val="2"/>
            <w:vMerge w:val="restart"/>
          </w:tcPr>
          <w:p>
            <w:pPr>
              <w:ind w:left="20"/>
              <w:spacing w:after="0"/>
              <w:rPr>
                <w:sz w:val="20"/>
                <w:szCs w:val="20"/>
                <w:color w:val="auto"/>
              </w:rPr>
            </w:pPr>
            <w:r>
              <w:rPr>
                <w:rFonts w:ascii="Arial" w:cs="Arial" w:eastAsia="Arial" w:hAnsi="Arial"/>
                <w:sz w:val="16"/>
                <w:szCs w:val="16"/>
                <w:color w:val="auto"/>
              </w:rPr>
              <w:t xml:space="preserve">Credit Facility </w:t>
            </w:r>
            <w:r>
              <w:rPr>
                <w:rFonts w:ascii="Arial" w:cs="Arial" w:eastAsia="Arial" w:hAnsi="Arial"/>
                <w:sz w:val="24"/>
                <w:szCs w:val="24"/>
                <w:color w:val="auto"/>
                <w:vertAlign w:val="superscript"/>
              </w:rPr>
              <w:t>(4)</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2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3.21%+ 0.10%+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2740" w:type="dxa"/>
            <w:vAlign w:val="bottom"/>
            <w:gridSpan w:val="2"/>
            <w:vMerge w:val="continue"/>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3/1/2023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3/1/2028</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0"/>
              </w:rPr>
              <w:t>applicable spread</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wp:posOffset>
            </wp:positionV>
            <wp:extent cx="14147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87"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0"/>
          <w:szCs w:val="10"/>
          <w:color w:val="auto"/>
        </w:rPr>
      </w:pPr>
      <w:r>
        <w:rPr>
          <w:rFonts w:ascii="Arial" w:cs="Arial" w:eastAsia="Arial" w:hAnsi="Arial"/>
          <w:sz w:val="13"/>
          <w:szCs w:val="13"/>
          <w:color w:val="auto"/>
        </w:rPr>
        <w:t>As of June 30, 2023, the Company has utilized interest rate swaps to fix SOFR and achieve a weighted average fixed interest rate of 2.05% plus</w:t>
      </w:r>
    </w:p>
    <w:p>
      <w:pPr>
        <w:spacing w:after="0" w:line="11" w:lineRule="exact"/>
        <w:rPr>
          <w:rFonts w:ascii="Arial" w:cs="Arial" w:eastAsia="Arial" w:hAnsi="Arial"/>
          <w:sz w:val="10"/>
          <w:szCs w:val="10"/>
          <w:color w:val="auto"/>
        </w:rPr>
      </w:pPr>
    </w:p>
    <w:p>
      <w:pPr>
        <w:ind w:left="380"/>
        <w:spacing w:after="0"/>
        <w:rPr>
          <w:rFonts w:ascii="Arial" w:cs="Arial" w:eastAsia="Arial" w:hAnsi="Arial"/>
          <w:sz w:val="10"/>
          <w:szCs w:val="10"/>
          <w:color w:val="auto"/>
        </w:rPr>
      </w:pPr>
      <w:r>
        <w:rPr>
          <w:rFonts w:ascii="Arial" w:cs="Arial" w:eastAsia="Arial" w:hAnsi="Arial"/>
          <w:sz w:val="13"/>
          <w:szCs w:val="13"/>
          <w:color w:val="auto"/>
        </w:rPr>
        <w:t>0.10% and the applicable spread on the $100 million 2026 Term Loan balance. The weighted average fixed interest rate of 2.05%, is comprised of:</w:t>
      </w:r>
    </w:p>
    <w:p>
      <w:pPr>
        <w:jc w:val="both"/>
        <w:ind w:left="380" w:right="219" w:hanging="6"/>
        <w:spacing w:after="0" w:line="221" w:lineRule="auto"/>
        <w:tabs>
          <w:tab w:leader="none" w:pos="552" w:val="left"/>
        </w:tabs>
        <w:numPr>
          <w:ilvl w:val="1"/>
          <w:numId w:val="9"/>
        </w:numPr>
        <w:rPr>
          <w:rFonts w:ascii="Arial" w:cs="Arial" w:eastAsia="Arial" w:hAnsi="Arial"/>
          <w:sz w:val="14"/>
          <w:szCs w:val="14"/>
          <w:color w:val="auto"/>
        </w:rPr>
      </w:pPr>
      <w:r>
        <w:rPr>
          <w:rFonts w:ascii="Arial" w:cs="Arial" w:eastAsia="Arial" w:hAnsi="Arial"/>
          <w:sz w:val="14"/>
          <w:szCs w:val="14"/>
          <w:color w:val="auto"/>
        </w:rPr>
        <w:t>rate swaps on $60.0 million of the 2026 Term Loan balance effective May 21, 2021, as amended on April 14, 2022 in connection with the 2026 Term Loan Amendment, to fix SOFR (prior to April 14, 2022, the swap was to fix LIBOR), and (ii) a rate swap on $40.0 million of the 2026 Term Loan Balance effective September 30, 2022, to fix SOFR.</w:t>
      </w:r>
    </w:p>
    <w:p>
      <w:pPr>
        <w:ind w:left="380" w:hanging="330"/>
        <w:spacing w:after="0"/>
        <w:tabs>
          <w:tab w:leader="none" w:pos="380" w:val="left"/>
        </w:tabs>
        <w:numPr>
          <w:ilvl w:val="0"/>
          <w:numId w:val="9"/>
        </w:numPr>
        <w:rPr>
          <w:rFonts w:ascii="Arial" w:cs="Arial" w:eastAsia="Arial" w:hAnsi="Arial"/>
          <w:sz w:val="10"/>
          <w:szCs w:val="10"/>
          <w:color w:val="auto"/>
        </w:rPr>
      </w:pPr>
      <w:r>
        <w:rPr>
          <w:rFonts w:ascii="Arial" w:cs="Arial" w:eastAsia="Arial" w:hAnsi="Arial"/>
          <w:sz w:val="13"/>
          <w:szCs w:val="13"/>
          <w:color w:val="auto"/>
        </w:rPr>
        <w:t>As of June 30, 2023, the Company has utilized interest rate swaps to fix SOFR and achieve a weighted average fixed interest rate of 1.18% plus</w:t>
      </w:r>
    </w:p>
    <w:p>
      <w:pPr>
        <w:ind w:left="380"/>
        <w:spacing w:after="0"/>
        <w:rPr>
          <w:rFonts w:ascii="Arial" w:cs="Arial" w:eastAsia="Arial" w:hAnsi="Arial"/>
          <w:sz w:val="10"/>
          <w:szCs w:val="10"/>
          <w:color w:val="auto"/>
        </w:rPr>
      </w:pPr>
      <w:r>
        <w:rPr>
          <w:rFonts w:ascii="Arial" w:cs="Arial" w:eastAsia="Arial" w:hAnsi="Arial"/>
          <w:sz w:val="13"/>
          <w:szCs w:val="13"/>
          <w:color w:val="auto"/>
        </w:rPr>
        <w:t>0.10% and the applicable spread on the $100 million 2027 Term Loan balance. The weighted average fixed interest rate of 1.18%, is comprised of:</w:t>
      </w:r>
    </w:p>
    <w:p>
      <w:pPr>
        <w:jc w:val="both"/>
        <w:ind w:left="380" w:right="59" w:hanging="6"/>
        <w:spacing w:after="0" w:line="221" w:lineRule="auto"/>
        <w:tabs>
          <w:tab w:leader="none" w:pos="557" w:val="left"/>
        </w:tabs>
        <w:numPr>
          <w:ilvl w:val="1"/>
          <w:numId w:val="9"/>
        </w:numPr>
        <w:rPr>
          <w:rFonts w:ascii="Arial" w:cs="Arial" w:eastAsia="Arial" w:hAnsi="Arial"/>
          <w:sz w:val="14"/>
          <w:szCs w:val="14"/>
          <w:color w:val="auto"/>
        </w:rPr>
      </w:pPr>
      <w:r>
        <w:rPr>
          <w:rFonts w:ascii="Arial" w:cs="Arial" w:eastAsia="Arial" w:hAnsi="Arial"/>
          <w:sz w:val="14"/>
          <w:szCs w:val="14"/>
          <w:color w:val="auto"/>
        </w:rPr>
        <w:t>rate swaps on $80.0 million of the 2027 Term Loan balance effective September 30, 2021, as amended on April 14, 2022 in connection with the 2027 Term Loan Amendment, to fix SOFR, (prior to April 14, 2022, the swap was to fix LIBOR), and (ii) a rate swap on $20.0 million of the 2027 Term Loan balance effective September 30, 2022, to fix SOFR.</w:t>
      </w:r>
    </w:p>
    <w:p>
      <w:pPr>
        <w:ind w:left="380" w:right="59" w:hanging="330"/>
        <w:spacing w:after="0" w:line="238" w:lineRule="auto"/>
        <w:tabs>
          <w:tab w:leader="none" w:pos="380" w:val="left"/>
        </w:tabs>
        <w:numPr>
          <w:ilvl w:val="0"/>
          <w:numId w:val="9"/>
        </w:numPr>
        <w:rPr>
          <w:rFonts w:ascii="Arial" w:cs="Arial" w:eastAsia="Arial" w:hAnsi="Arial"/>
          <w:sz w:val="10"/>
          <w:szCs w:val="10"/>
          <w:color w:val="auto"/>
        </w:rPr>
      </w:pPr>
      <w:r>
        <w:rPr>
          <w:rFonts w:ascii="Arial" w:cs="Arial" w:eastAsia="Arial" w:hAnsi="Arial"/>
          <w:sz w:val="13"/>
          <w:szCs w:val="13"/>
          <w:color w:val="auto"/>
        </w:rPr>
        <w:t>The interest rate swap agreement hedges $80.0 million of the $100.0 million 2027 Term Loan balance under different terms and commences concurrent to the interest rate agreements maturing on November 26, 2024 to extend the fixed interest rate through maturity on January 31, 2027.</w:t>
      </w:r>
    </w:p>
    <w:p>
      <w:pPr>
        <w:ind w:left="380" w:right="59" w:hanging="330"/>
        <w:spacing w:after="0" w:line="237" w:lineRule="auto"/>
        <w:tabs>
          <w:tab w:leader="none" w:pos="380" w:val="left"/>
        </w:tabs>
        <w:numPr>
          <w:ilvl w:val="0"/>
          <w:numId w:val="9"/>
        </w:numPr>
        <w:rPr>
          <w:rFonts w:ascii="Arial" w:cs="Arial" w:eastAsia="Arial" w:hAnsi="Arial"/>
          <w:sz w:val="11"/>
          <w:szCs w:val="11"/>
          <w:color w:val="auto"/>
        </w:rPr>
      </w:pPr>
      <w:r>
        <w:rPr>
          <w:rFonts w:ascii="Arial" w:cs="Arial" w:eastAsia="Arial" w:hAnsi="Arial"/>
          <w:sz w:val="14"/>
          <w:szCs w:val="14"/>
          <w:color w:val="auto"/>
        </w:rPr>
        <w:t>As of June 30, 2023, the Company has utilized an interest rate swap to fix SOFR and achieve a fixed interest rate of 3.21% plus 0.10% and the applicable spread on $50 million of the outstanding balance on the Credit Facility. The swap was effective on March 1, 2023.</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11.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FOLLOW-ON PUBLIC OFFERING</w:t>
      </w:r>
    </w:p>
    <w:p>
      <w:pPr>
        <w:spacing w:after="0" w:line="21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18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On December 14, 2020, the Company implemented a $100.0 million “at-the-market” equity offering program (the “2020 ATM Program”) pursuant to which the Company may sell, from time to time, shares of the Company’s common stock. During the three months ended June 30, 2022, the Company sold 87,112 shares under the 2020 ATM Program for gross proceeds of $1.7 million at a weighted average price of $19.09 per share, generating net proceeds of $1.6 million after deducting transaction fees totaling $0.02 million. During the six months ended June 30, 2022, the Company sold 401,783 shares under the 2020 ATM Program for gross proceeds of $7.8 million at a weighted average price of $19.53 per share, generating net proceeds of $7.7 million after deducting transaction fees totaling $0.1 million.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Company was not active under the 2020 ATM Program during the year ended December 31, 2020. The 2020 ATM Program was terminated in advance of implementing the 2022 ATM Program, hereinafter defined.</w:t>
      </w:r>
    </w:p>
    <w:p>
      <w:pPr>
        <w:spacing w:after="0" w:line="17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On October 21, 2022, the Company implemented a $150.0 million “at-the-market” equity offering program (the “2022 ATM Program”) pursuant to which the Company may sell, from time to time, shares of the Company’s common stock. The Company was not active under the 2022 ATM Program during the three months ended June 30, 2023. During the six months ended June 30, 2023, the Company sold 665,929 shares under the 2022 ATM Program for gross proceeds of $12.6 million at a weighted average price of $18.96 per share, generating net proceeds of $12.4 million after deducting transaction fees totaling $0.2 million. The Company was not active under the 2022 ATM Program during the six months ended June 30, 2022. 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w:t>
      </w:r>
    </w:p>
    <w:p>
      <w:pPr>
        <w:spacing w:after="0" w:line="21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As of June 30, 2023, CTO holds, directly and indirectly, a 7.8% noncontrolling ownership interest in the Operating Partnership as a result of 1,223,854 OP Units issued to CTO at the time of the Company’s IPO. An additional 3.0% noncontrolling ownership interest is held by an unrelated third party in connection with the issuance of 479,640 OP Units as consideration for a portfolio of net lease properties acquired during the year ended December 31, 2021.</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June 30, 2023 and 2022, the Company declared and paid cash dividends on its common stock and OP Units of $0.275 per share and $0.270 per share, respectively. During the six months ended June 30, 2023 and 2022, the Company declared and paid cash dividends on its common stock and OP Units of $0.550 per share and $0.540 per share, respectively.</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12. COMMON STOCK AND EARNINGS PER SHARE</w:t>
      </w:r>
    </w:p>
    <w:p>
      <w:pPr>
        <w:spacing w:after="0" w:line="21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is a reconciliation of basic and diluted earnings per common share (in thousands, except share and per share data):</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June 30, 2023</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June 30, 2022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June 30, 2023</w:t>
            </w: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June 30, 2022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5"/>
              </w:rPr>
              <w:t>Net Income Attributable to Alpine Income Property Trust,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14,282</w:t>
            </w:r>
          </w:p>
        </w:tc>
        <w:tc>
          <w:tcPr>
            <w:tcW w:w="60" w:type="dxa"/>
            <w:vAlign w:val="bottom"/>
            <w:shd w:val="clear" w:color="auto" w:fill="CCEEFF"/>
          </w:tcPr>
          <w:p>
            <w:pPr>
              <w:spacing w:after="0"/>
              <w:rPr>
                <w:sz w:val="16"/>
                <w:szCs w:val="16"/>
                <w:color w:val="auto"/>
              </w:rPr>
            </w:pP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Inc.</w:t>
            </w:r>
          </w:p>
        </w:tc>
        <w:tc>
          <w:tcPr>
            <w:tcW w:w="1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Number of Common Shares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14,059,173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11,844,108</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14,030,025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11,753,904</w:t>
            </w:r>
          </w:p>
        </w:tc>
        <w:tc>
          <w:tcPr>
            <w:tcW w:w="0" w:type="dxa"/>
            <w:vAlign w:val="bottom"/>
          </w:tcPr>
          <w:p>
            <w:pPr>
              <w:spacing w:after="0"/>
              <w:rPr>
                <w:sz w:val="1"/>
                <w:szCs w:val="1"/>
                <w:color w:val="auto"/>
              </w:rPr>
            </w:pPr>
          </w:p>
        </w:tc>
      </w:tr>
      <w:tr>
        <w:trPr>
          <w:trHeight w:val="192"/>
        </w:trPr>
        <w:tc>
          <w:tcPr>
            <w:tcW w:w="4360" w:type="dxa"/>
            <w:vAlign w:val="bottom"/>
          </w:tcPr>
          <w:p>
            <w:pPr>
              <w:ind w:left="20"/>
              <w:spacing w:after="0" w:line="192" w:lineRule="exact"/>
              <w:rPr>
                <w:sz w:val="20"/>
                <w:szCs w:val="20"/>
                <w:color w:val="auto"/>
              </w:rPr>
            </w:pPr>
            <w:r>
              <w:rPr>
                <w:rFonts w:ascii="Arial" w:cs="Arial" w:eastAsia="Arial" w:hAnsi="Arial"/>
                <w:sz w:val="18"/>
                <w:szCs w:val="18"/>
                <w:color w:val="auto"/>
                <w:w w:val="92"/>
              </w:rPr>
              <w:t>Weighted Average Number of Common Shares Applicable</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20"/>
              <w:spacing w:after="0" w:line="240" w:lineRule="exact"/>
              <w:rPr>
                <w:sz w:val="20"/>
                <w:szCs w:val="20"/>
                <w:color w:val="auto"/>
              </w:rPr>
            </w:pPr>
            <w:r>
              <w:rPr>
                <w:rFonts w:ascii="Arial" w:cs="Arial" w:eastAsia="Arial" w:hAnsi="Arial"/>
                <w:sz w:val="18"/>
                <w:szCs w:val="18"/>
                <w:color w:val="auto"/>
              </w:rPr>
              <w:t xml:space="preserve">to OP Units using Treasury Stock Method </w:t>
            </w:r>
            <w:r>
              <w:rPr>
                <w:rFonts w:ascii="Arial" w:cs="Arial" w:eastAsia="Arial" w:hAnsi="Arial"/>
                <w:sz w:val="26"/>
                <w:szCs w:val="26"/>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1,703,494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1,703,494</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1,703,494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1,703,494</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Applicable to Diluted Earnings per Share</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15,762,667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13,547,602</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15,733,519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13,457,398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line="201" w:lineRule="exact"/>
              <w:rPr>
                <w:sz w:val="20"/>
                <w:szCs w:val="20"/>
                <w:color w:val="auto"/>
              </w:rPr>
            </w:pPr>
            <w:r>
              <w:rPr>
                <w:rFonts w:ascii="Arial" w:cs="Arial" w:eastAsia="Arial" w:hAnsi="Arial"/>
                <w:sz w:val="18"/>
                <w:szCs w:val="18"/>
                <w:color w:val="auto"/>
                <w:w w:val="95"/>
              </w:rPr>
              <w:t>Net Income Attributable to Alpine Income Property Trust,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Inc.</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0"/>
                <w:szCs w:val="20"/>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7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36" w:lineRule="exact"/>
        <w:rPr>
          <w:sz w:val="20"/>
          <w:szCs w:val="20"/>
          <w:color w:val="auto"/>
        </w:rPr>
      </w:pPr>
    </w:p>
    <w:p>
      <w:pPr>
        <w:jc w:val="both"/>
        <w:ind w:left="380" w:right="59" w:hanging="330"/>
        <w:spacing w:after="0" w:line="238" w:lineRule="auto"/>
        <w:tabs>
          <w:tab w:leader="none" w:pos="380" w:val="left"/>
        </w:tabs>
        <w:numPr>
          <w:ilvl w:val="0"/>
          <w:numId w:val="10"/>
        </w:numPr>
        <w:rPr>
          <w:rFonts w:ascii="Arial" w:cs="Arial" w:eastAsia="Arial" w:hAnsi="Arial"/>
          <w:sz w:val="11"/>
          <w:szCs w:val="11"/>
          <w:color w:val="auto"/>
        </w:rPr>
      </w:pPr>
      <w:r>
        <w:rPr>
          <w:rFonts w:ascii="Arial" w:cs="Arial" w:eastAsia="Arial" w:hAnsi="Arial"/>
          <w:sz w:val="14"/>
          <w:szCs w:val="14"/>
          <w:color w:val="auto"/>
        </w:rPr>
        <w:t>Represents shares underlying OP Units including (i) 1,223,854 shares underlying OP Units issued to CTO in connection with our formation transactions and (ii) 479,640 shares underlying OP Units issued to an unrelated third party in connection with the acquisition of a portfolio of properties during the year ended December 31, 2021 (see Note 11, “Equity”).</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13. SHARE REPURCHASES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March 2020, the Board approved a $5.0 million stock repurchase program (the “2020 $5.0 Million Repurchase Program”). During the year ended December 31, 2020, the Company repurchased 456,237 shares of its common stock on the open market for a total cost of $5.0 million, or an average price per share of $11.02, which completed the 2020 $5.0 Million Repurchase Program.</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May 2023, the Board approved a $5.0 million stock repurchase program (the “2023 $5.0 Million Repurchase Program”). During the six months ended June 30, 2023, the Company repurchased 23,889 shares of its common stock on the open market for a total cost of $0.4 million, or an average price per share of $15.22. There were no repurchases of the Company’s common stock during the six months ended June 30, 2022.</w:t>
      </w:r>
    </w:p>
    <w:p>
      <w:pPr>
        <w:spacing w:after="0" w:line="187" w:lineRule="exact"/>
        <w:rPr>
          <w:sz w:val="20"/>
          <w:szCs w:val="20"/>
          <w:color w:val="auto"/>
        </w:rPr>
      </w:pPr>
    </w:p>
    <w:p>
      <w:pPr>
        <w:jc w:val="both"/>
        <w:ind w:left="60" w:right="59" w:firstLine="390"/>
        <w:spacing w:after="0" w:line="308" w:lineRule="auto"/>
        <w:rPr>
          <w:sz w:val="20"/>
          <w:szCs w:val="20"/>
          <w:color w:val="auto"/>
        </w:rPr>
      </w:pPr>
      <w:r>
        <w:rPr>
          <w:rFonts w:ascii="Arial" w:cs="Arial" w:eastAsia="Arial" w:hAnsi="Arial"/>
          <w:sz w:val="17"/>
          <w:szCs w:val="17"/>
          <w:color w:val="auto"/>
        </w:rPr>
        <w:t>In July 2023, the Board approved a $15.0 million stock repurchase program (the “2023 $15.0 Million Repurchase Program”). The 2023 $15.0 Million Repurchase Program replaced the 2023 $5.0 Million Repurchase Program.</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14. STOCK-BASED COMPENSATION</w:t>
      </w:r>
    </w:p>
    <w:p>
      <w:pPr>
        <w:spacing w:after="0" w:line="229" w:lineRule="exact"/>
        <w:rPr>
          <w:sz w:val="20"/>
          <w:szCs w:val="20"/>
          <w:color w:val="auto"/>
        </w:rPr>
      </w:pPr>
    </w:p>
    <w:p>
      <w:pPr>
        <w:jc w:val="both"/>
        <w:ind w:left="60" w:right="59" w:firstLine="486"/>
        <w:spacing w:after="0" w:line="255" w:lineRule="auto"/>
        <w:rPr>
          <w:sz w:val="20"/>
          <w:szCs w:val="20"/>
          <w:color w:val="auto"/>
        </w:rPr>
      </w:pPr>
      <w:r>
        <w:rPr>
          <w:rFonts w:ascii="Arial" w:cs="Arial" w:eastAsia="Arial" w:hAnsi="Arial"/>
          <w:sz w:val="18"/>
          <w:szCs w:val="18"/>
          <w:color w:val="auto"/>
        </w:rPr>
        <w:t>In connection with the closing of the IPO, 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92"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On November 26, 2019, the Company granted restricted shares of common stock to each of the Company’s initial non-employee directors under the Individual Plan. Each of the initial non-employee directors received an award of 2,000 restricted shares of common stock on November 26, 2019. The restricted shares vested in substantially equal installments on each of the first, second and third anniversaries of the grant date. As of December 31, 2022, all increments of this award had vested. In addition, the restricted shares are subject to a holding period beginning on the grant date and ending on the date that the grantee ceases to serve as a member of the Board (the “Holding Period”). During the Holding Period,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restricted shares may not be sold, pledged or otherwise transferred by the grantee. Except for the one-time IPO-related grant of these 8,000 restricted shares of common stock, and the shares of common stock issued quarterly to the non-employee directors in lieu of cash retainer fees (pursuant to the directors’ annual election under the Company’s Non-Employee Director Compensation Policy), the Company has not made any grants under the Equity Incentive Plans. Any future grants under the Equity Incentive Plans will be approved by the compensation committee of the Board. The 2019 non-employee director share awards had an aggregate grant date fair value of $0.15 million. The Company’s determination of the grant date fair value of the three-year vest restricted stock awards was calculated by multiplying the number of shares issued by the Company’s stock price at the grant date. Compensation cost was recognized on a straight-line basis over the vesting period and is included in general and administrative expenses in the Company’s consolidated statements of operations. Award forfeitures are accounted for in the period in which they occur.</w:t>
      </w:r>
    </w:p>
    <w:p>
      <w:pPr>
        <w:spacing w:after="0" w:line="16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Each non-employee member of the Board has the option to receive his or her annual retainer fee in shares of Company common stock rather than cash. The number of shares issued to the directors making such election is calculated quarterly by dividing the amount of the quarterly retainer fee payment due to such director by the 20-day trailing average closing price of the Company’s common stock as of the last business day of the calendar quarter, rounded down to the nearest whole number of shares. During the six months ended June 30, 2023, the expense recognized for the value of the Company’s common stock received by non-employee directors totaled $0.2 million, or 9,716 shares, of which 4,776 shares were issued on April 3, 2023 and 4,940 shares were issued on July 3, 2023. During the six months ended June 30, 2022, the expense recognized for the value of the Company’s common stock received by non-employee directors totaled $0.1 million, or 7,203 shares, of which 3,514 shares were issued on April 1, 2022 and 3,689 shares were issued on July 1, 2022.</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Stock compensation expense for the three and six months ended June 30, 2023 and 2022 is summarized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3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June 30, 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2022</w:t>
            </w:r>
          </w:p>
        </w:tc>
      </w:tr>
      <w:tr>
        <w:trPr>
          <w:trHeight w:val="182"/>
        </w:trPr>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Stock Compensation Expense – Director</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2"/>
        </w:trPr>
        <w:tc>
          <w:tcPr>
            <w:tcW w:w="3380" w:type="dxa"/>
            <w:vAlign w:val="bottom"/>
          </w:tcPr>
          <w:p>
            <w:pPr>
              <w:ind w:left="20"/>
              <w:spacing w:after="0" w:line="201" w:lineRule="exact"/>
              <w:rPr>
                <w:sz w:val="20"/>
                <w:szCs w:val="20"/>
                <w:color w:val="auto"/>
              </w:rPr>
            </w:pPr>
            <w:r>
              <w:rPr>
                <w:rFonts w:ascii="Arial" w:cs="Arial" w:eastAsia="Arial" w:hAnsi="Arial"/>
                <w:sz w:val="18"/>
                <w:szCs w:val="18"/>
                <w:color w:val="auto"/>
              </w:rPr>
              <w:t>Stock Compensation Expense – Director</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Retainers Paid in Stock</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1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15. RELATED PARTY MANAGEMENT COMPANY</w:t>
      </w:r>
    </w:p>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are externally managed by the Manager, a wholly owned subsidiary of CTO. Subsequent to the IPO, through June 30, 2023, CTO has purchased an aggregate of 293,024 shares of PINE common stock in the open market including (i) 129,271 shares purchased during the six months ended June 30, 2023 for $2.1 million, or an average price per share of $16.21 (ii) 155,665 shares purchased during the year ended December 31, 2022 for $2.7 million, or an average price per share of $17.57 and (iii) 8,088 shares purchased during the year ended December 31, 2021 for $0.1 million, or an average price per share of $17.65.</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As of June 30, 2023, CTO owns, in the aggregate, 1,223,854 OP Units and 1,108,814 shares of PINE common stock, inclusive of (i) 394,737 shares of common stock totaling $7.5 million issued in connection with a private placement that closed concurrently with the IPO, (ii) 421,053 shares of common stock totaling $8.0 million issued in connection with the IPO, and (iii) 293,024 shares of common stock totaling $5.0 million purchased by CTO subsequent to the IPO. The aggregate 1,223,854 OP Units and 1,108,814 shares of PINE common stock held by CTO represent an investment totaling $37.9 million, or 14.8% of PINE’s outstanding equity, as of June 30, 2023.</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Agreement</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management fee equal to 0.375% per quarter of our “total equity” (as defined in the Management Agreement and based on a 1.5% annual rate), calculated and payable in cash, quarterly in arrears.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2022.</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incurred management fee expenses totaling $1.1 million and $2.2 million during the three and six months ended June 30, 2023, respectively. The Company also paid dividends on the common stock and OP Units owned by affiliates of the Manager in the amount of $0.6 million and $1.2 million for the three and six months ended June 30, 2023, respectively. The Company incurred management fee expenses totaling $0.9 million and $1.9 million during the three and six months ended June 30, 2022, respectively. The Company also paid dividends on the common stock and OP Units owned by affiliates of the Manager in the amount of $0.6 million and $1.1 million for the three and six months ended June 30, 2022, respectively.</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represents amounts due to (from) CTO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June 30, 2023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Management Fee due to CTO</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4"/>
                <w:szCs w:val="24"/>
                <w:color w:val="auto"/>
                <w:vertAlign w:val="superscript"/>
              </w:rPr>
              <w:t>(1)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Included in accrued expenses, see Note 8, “Accounts Payable, Accrued Expenses, and Other Liabilities”.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ROFO Agreement</w:t>
      </w:r>
    </w:p>
    <w:p>
      <w:pPr>
        <w:spacing w:after="0" w:line="19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3" w:lineRule="exact"/>
        <w:rPr>
          <w:sz w:val="20"/>
          <w:szCs w:val="20"/>
          <w:color w:val="auto"/>
        </w:rPr>
      </w:pPr>
    </w:p>
    <w:p>
      <w:pPr>
        <w:jc w:val="both"/>
        <w:ind w:left="60" w:right="59" w:firstLine="324"/>
        <w:spacing w:after="0" w:line="295" w:lineRule="auto"/>
        <w:rPr>
          <w:sz w:val="20"/>
          <w:szCs w:val="20"/>
          <w:color w:val="auto"/>
        </w:rPr>
      </w:pPr>
      <w:r>
        <w:rPr>
          <w:rFonts w:ascii="Arial" w:cs="Arial" w:eastAsia="Arial" w:hAnsi="Arial"/>
          <w:sz w:val="16"/>
          <w:szCs w:val="16"/>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6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term of the ROFO Agreement will continue for so long as the Management Agreement with our Manager is in effect.</w:t>
      </w:r>
    </w:p>
    <w:p>
      <w:pPr>
        <w:spacing w:after="0" w:line="170"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On April 6, 2021, the Company entered into a purchase and sale agreement with a certain subsidiary of CTO for the purchase of one net lease property for $11.5 million. The acquisition was completed on April 23, 2021.</w:t>
      </w:r>
    </w:p>
    <w:p>
      <w:pPr>
        <w:spacing w:after="0" w:line="14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spacing w:after="0" w:line="187"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On January 5, 2022, the Company entered into a purchase and sale agreement with a certain subsidiary of CTO for the purchase of one net lease property for $6.9 million. The acquisition was completed on January 7, 2022.</w:t>
      </w:r>
    </w:p>
    <w:p>
      <w:pPr>
        <w:spacing w:after="0" w:line="146"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entry into these purchase and sale agreements, and subsequent completion of the related acquisitions, are a result of the Company exercising its right to purchase the aforementioned properties under the ROFO Agreement.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Conflicts of Interest</w:t>
      </w:r>
    </w:p>
    <w:p>
      <w:pPr>
        <w:spacing w:after="0" w:line="19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20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6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16. COMMITMENTS AND CONTINGENCIES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17. SUBSEQUENT EVENTS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Subsequent events and transactions were evaluated through July 20, 2023, the date the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9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national and global economic conditions affecting the real estate development business and properties, including unstable macroeconomic conditions due to, among other things, geopolitical conflicts, inflation, rising interest rates, and distress in the banking sector;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7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See “Item 1A. Risk Factors” of the Company’s Annual Report on Form 10-K for the year ended December 31, 2022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Alpine Income Property Trust, Inc. is a Maryland corporation that conducts its operations so as to qualify as a REIT for U.S. federal income tax purposes. Substantially all of the operations are conducted through our Operating Partnership.</w:t>
      </w:r>
    </w:p>
    <w:p>
      <w:pPr>
        <w:spacing w:after="0" w:line="12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retail sector or who use a physical presence as a component of their omnichannel strategy. We also seek to invest in properties that are net leased to tenants that we reasonably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6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six months ended June 30, 2023, the Company acquired nine properties for total acquisition volume of $60.5 million, or $61.6 million including capitalized acquisition costs. During the six months ended June 30, 2023, the Company sold 14 properties for an aggregate sales price of $79.1 million, generating aggregate gains on sale of $5.2 million.</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June 30, 2023, we owned 143 properties with an aggregate gross leasable area of 3.9 million square feet, located in 34 states, with a weighted average remaining lease term of 7.3 years. Our portfolio was 99.5% leased as of June 30, 2023.</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JUNE 30, 2023 AND 2022</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three months ended June 30, 2023, as compared to the three months ended June 30,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3"/>
              </w:rPr>
              <w:t>Three Months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 Variance</w:t>
            </w:r>
          </w:p>
        </w:tc>
        <w:tc>
          <w:tcPr>
            <w:tcW w:w="1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 Variance</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June 30, 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Lease Income</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11,439</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40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color w:val="auto"/>
              </w:rPr>
              <w:t>Net Income from Operations</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(16,246)</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20" w:type="dxa"/>
            <w:vAlign w:val="bottom"/>
            <w:vMerge w:val="restart"/>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7"/>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line="195" w:lineRule="exact"/>
              <w:rPr>
                <w:sz w:val="20"/>
                <w:szCs w:val="20"/>
                <w:color w:val="auto"/>
              </w:rPr>
            </w:pPr>
            <w:r>
              <w:rPr>
                <w:rFonts w:ascii="Arial" w:cs="Arial" w:eastAsia="Arial" w:hAnsi="Arial"/>
                <w:sz w:val="18"/>
                <w:szCs w:val="18"/>
                <w:color w:val="auto"/>
                <w:w w:val="99"/>
              </w:rPr>
              <w:t>Net Income Attributable to Alpine Income Property</w:t>
            </w:r>
          </w:p>
        </w:tc>
        <w:tc>
          <w:tcPr>
            <w:tcW w:w="58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44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14,282</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(14,202)</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3" w:lineRule="exact"/>
              <w:rPr>
                <w:sz w:val="20"/>
                <w:szCs w:val="20"/>
                <w:color w:val="auto"/>
              </w:rPr>
            </w:pPr>
            <w:r>
              <w:rPr>
                <w:rFonts w:ascii="Arial" w:cs="Arial" w:eastAsia="Arial" w:hAnsi="Arial"/>
                <w:sz w:val="18"/>
                <w:szCs w:val="18"/>
                <w:color w:val="auto"/>
              </w:rPr>
              <w:t>Trust, Inc.</w:t>
            </w:r>
          </w:p>
        </w:tc>
        <w:tc>
          <w:tcPr>
            <w:tcW w:w="58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Revenue from our property operations during the three months ended June 30, 2023 and 2022, totaled $11.4 million and $11.3 million, respectively. The $0.2 million increase in revenues is reflective of the Company’s volume of property acquisitions during the six months ended June 30, 2023 and the year ended December 31, 2022, partially offset by property sales during the same period. The direct costs of revenues for our property operations totaled $1.6 million and $1.3 million for the three months ended June 30, 2023 and 2022, respectively. The $0.3 million increase in the direct cost of revenues is attributable to the Company’s property portfolio being subject to more expenses reimbursable by tenants.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represents the Company’s general and administrative expenses for the three months ended June 30, 2023, as compared to the three months ended June 30, 2022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Variance</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 Variance</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Director Stock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General and administrative expenses totaled $1.7 million and $1.5 million during the three months ended June 30, 2023 and 2022, respectively. The $0.2 million increase is attributable to growth in the Company’s equity base, which led to increased management fee expenses of $0.2 million, which is partially offset by a decrease in director and officer insurance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40"/>
        <w:spacing w:after="0" w:line="263" w:lineRule="auto"/>
        <w:rPr>
          <w:sz w:val="20"/>
          <w:szCs w:val="20"/>
          <w:color w:val="auto"/>
        </w:rPr>
      </w:pPr>
      <w:r>
        <w:rPr>
          <w:rFonts w:ascii="Arial" w:cs="Arial" w:eastAsia="Arial" w:hAnsi="Arial"/>
          <w:sz w:val="18"/>
          <w:szCs w:val="18"/>
          <w:color w:val="auto"/>
        </w:rPr>
        <w:t>Depreciation and amortization expense totaled $6.4 million and $5.7 million during the three months ended June 30, 2023 and 2022, respectively. The $0.7 million increase in the depreciation and amortization expense is reflective of the Company’s expanded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Disposition of Assets</w:t>
      </w:r>
    </w:p>
    <w:p>
      <w:pPr>
        <w:spacing w:after="0" w:line="229" w:lineRule="exact"/>
        <w:rPr>
          <w:sz w:val="20"/>
          <w:szCs w:val="20"/>
          <w:color w:val="auto"/>
        </w:rPr>
      </w:pPr>
    </w:p>
    <w:p>
      <w:pPr>
        <w:jc w:val="both"/>
        <w:ind w:left="60" w:right="59" w:firstLine="316"/>
        <w:spacing w:after="0" w:line="311" w:lineRule="auto"/>
        <w:rPr>
          <w:sz w:val="20"/>
          <w:szCs w:val="20"/>
          <w:color w:val="auto"/>
        </w:rPr>
      </w:pPr>
      <w:r>
        <w:rPr>
          <w:rFonts w:ascii="Arial" w:cs="Arial" w:eastAsia="Arial" w:hAnsi="Arial"/>
          <w:sz w:val="16"/>
          <w:szCs w:val="16"/>
          <w:color w:val="auto"/>
        </w:rPr>
        <w:t>During the three months ended June 30, 2023, the Company sold four properties for an aggregate sales price of $22.9 million, generating aggregate gains on sale of $0.7 million. During the three months ended June 30, 2022, the Company sold five properties for an aggregate sales price of $72.8 million, generating aggregate gains on sale of $15.6 million.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Interest expense totaled $2.4 million and $2.1 million during the three months ended June 30, 2023 and 2022, respectively. The $0.3 million increase in interest expense is attributable to the overall increase in the interest rates underlying the Company’s previously variable rate debt, which was entirely fixed as of March 1, 2023. The impact of the overall rate increase was partially offset by a lower average outstanding debt balance during the three months ended June 30, 2023. The overall decrease in the Company’s long-term debt is primarily the result of paying down the outstanding debt balance through a combination of proceeds from stock issuances and funds from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Net income totaled $0.1 million and $16.3 million during the three months ended June 30, 2023 and 2022, respectively. The $16.2 million decrease in net income is attributable to the factors described above, most notably the decrease in the gain on disposition of assets of $14.9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SIX MONTHS ENDED JUNE 30, 2023 AND 2022</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six months ended June 30, 2023, as compared to the six months ended June 30,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 Variance</w:t>
            </w:r>
          </w:p>
        </w:tc>
        <w:tc>
          <w:tcPr>
            <w:tcW w:w="1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 Variance</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June 30, 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Lease Income</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22,605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22,079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22,605</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9"/>
        </w:trPr>
        <w:tc>
          <w:tcPr>
            <w:tcW w:w="40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2"/>
        </w:trPr>
        <w:tc>
          <w:tcPr>
            <w:tcW w:w="4020" w:type="dxa"/>
            <w:vAlign w:val="bottom"/>
          </w:tcPr>
          <w:p>
            <w:pPr>
              <w:ind w:left="220"/>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1,756</w:t>
            </w:r>
          </w:p>
        </w:tc>
        <w:tc>
          <w:tcPr>
            <w:tcW w:w="120" w:type="dxa"/>
            <w:vAlign w:val="bottom"/>
            <w:vMerge w:val="restart"/>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7"/>
        </w:trPr>
        <w:tc>
          <w:tcPr>
            <w:tcW w:w="402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Net Income Attributable to Alpine Income Property</w:t>
            </w:r>
          </w:p>
        </w:tc>
        <w:tc>
          <w:tcPr>
            <w:tcW w:w="5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44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15,088</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Trust, Inc.</w:t>
            </w:r>
          </w:p>
        </w:tc>
        <w:tc>
          <w:tcPr>
            <w:tcW w:w="5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Revenue from our property operations during the six months ended June 30, 2023 and 2022, totaled $22.6 million and $22.1 million, respectively. The $0.5 million increase in revenues is reflective of the Company’s volume of property acquisitions during the six months ended June 30, 2023 and the year ended December 31, 2022, partially offset by property sales, during the same period. The direct costs of revenues for our property operations totaled $3.0 million and $2.4 million for the six months ended June 30, 2023 and 2022, respectively. The $0.6 million increase in the direct cost of revenues is attributable to the Company’s property portfolio being subject to more expenses reimbursable by tenants.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represents the Company’s general and administrative expenses for the six months ended June 30, 2023, as compared to the six months ended June 30, 2022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Variance</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 Variance</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Director Stock Compensation Expense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73"/>
        <w:spacing w:after="0" w:line="259" w:lineRule="auto"/>
        <w:rPr>
          <w:sz w:val="20"/>
          <w:szCs w:val="20"/>
          <w:color w:val="auto"/>
        </w:rPr>
      </w:pPr>
      <w:r>
        <w:rPr>
          <w:rFonts w:ascii="Arial" w:cs="Arial" w:eastAsia="Arial" w:hAnsi="Arial"/>
          <w:sz w:val="18"/>
          <w:szCs w:val="18"/>
          <w:color w:val="auto"/>
        </w:rPr>
        <w:t>General and administrative expenses totaled $3.2 million and $2.9 million during the six months ended June 30, 2023 and 2022, respectively. The $0.3 million increase is attributable to growth in the Company’s equity base, which led to increased management fee expenses of $0.3 million, which is partially offset by a decrease in director and officer insurance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34"/>
        <w:spacing w:after="0" w:line="263" w:lineRule="auto"/>
        <w:rPr>
          <w:sz w:val="20"/>
          <w:szCs w:val="20"/>
          <w:color w:val="auto"/>
        </w:rPr>
      </w:pPr>
      <w:r>
        <w:rPr>
          <w:rFonts w:ascii="Arial" w:cs="Arial" w:eastAsia="Arial" w:hAnsi="Arial"/>
          <w:sz w:val="18"/>
          <w:szCs w:val="18"/>
          <w:color w:val="auto"/>
        </w:rPr>
        <w:t>Depreciation and amortization expense totaled $12.8 million and $11.4 million during the six months ended June 30, 2023 and 2022, respectively. The $1.4 million increase in the depreciation and amortization expense is reflective of the Company’s expanded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Disposition of Assets</w:t>
      </w:r>
    </w:p>
    <w:p>
      <w:pPr>
        <w:spacing w:after="0" w:line="229" w:lineRule="exact"/>
        <w:rPr>
          <w:sz w:val="20"/>
          <w:szCs w:val="20"/>
          <w:color w:val="auto"/>
        </w:rPr>
      </w:pPr>
    </w:p>
    <w:p>
      <w:pPr>
        <w:jc w:val="both"/>
        <w:ind w:left="60" w:right="59" w:firstLine="381"/>
        <w:spacing w:after="0" w:line="311" w:lineRule="auto"/>
        <w:rPr>
          <w:sz w:val="20"/>
          <w:szCs w:val="20"/>
          <w:color w:val="auto"/>
        </w:rPr>
      </w:pPr>
      <w:r>
        <w:rPr>
          <w:rFonts w:ascii="Arial" w:cs="Arial" w:eastAsia="Arial" w:hAnsi="Arial"/>
          <w:sz w:val="16"/>
          <w:szCs w:val="16"/>
          <w:color w:val="auto"/>
        </w:rPr>
        <w:t>During the six months ended June 30, 2023, the Company sold 14 properties for an aggregate sales price of $79.1 million, generating aggregate gains on sale of $5.2 million. During the six months ended June 30, 2022, the Company sold five properties for an aggregate sales price of $72.8 million, generating aggregate gains on sale of $15.6 million.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Interest expense totaled $5.0 million and $3.8 million during the six months ended June 30, 2023 and 2022, respectively. The $1.2 million increase in interest expense is attributable to the overall increase in the interest rates underlying the Company’s previously variable rate debt, which was entirely fixed as of March 1, 2023. The impact of the overall rate increase was partially offset by a lower average outstanding debt balance during the six months ended June 30, 2023. The overall decrease in the Company’s long-term debt is primarily the result of paying down the outstanding debt balance through a combination of proceeds from stock issuances and funds from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Net income totaled $3.8 million and $17.3 million during the six months ended June 30, 2023 and 2022, respectively. The $13.5 million decrease in net income is attributable to the factors described above, most notably the decrease in the gain on disposition of assets of $10.4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Cash totaled $27.9 million as of June 30, 2023, including restricted cash of $20.1 million. See Note 2 “Summary of Significant Accounting Policies” under the heading Restricted Cash for the Company’s disclosure related to its restricted cash balance as of June 30, 2023.</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As of June 30, 2023, the Company had an outstanding balance of $50.0 million on the $250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revolving Credit Facility. The Company also had $200.0 million in term loans outstanding as of June 30, 2023. See Note 9, “Long-Term Debt” for the Company’s disclosure related to its long-term debt balance at June 30, 2023.</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Acquisitions and Dispositions. </w:t>
      </w:r>
      <w:r>
        <w:rPr>
          <w:rFonts w:ascii="Arial" w:cs="Arial" w:eastAsia="Arial" w:hAnsi="Arial"/>
          <w:sz w:val="18"/>
          <w:szCs w:val="18"/>
          <w:color w:val="auto"/>
        </w:rPr>
        <w:t>As further described in Note 3, “Property Portfolio,” during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2023, the Company acquired nine properties for total acquisition volume of $60.5 million, or $61.6 million including capitalized acquisition costs, and sold 14 properties for an aggregate sales price of $79.1 million, generating aggregate gains on sale of $5.2 million.</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ATM Program. </w:t>
      </w:r>
      <w:r>
        <w:rPr>
          <w:rFonts w:ascii="Arial" w:cs="Arial" w:eastAsia="Arial" w:hAnsi="Arial"/>
          <w:sz w:val="18"/>
          <w:szCs w:val="18"/>
          <w:color w:val="auto"/>
        </w:rPr>
        <w:t>During the six months ended June 30, 2023, the Company sold 665,929 shares under the 2022 ATM</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for gross proceeds of $12.6 million at a weighted average price of $18.96 per share, generating net proceeds of $12.4 million.</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As of June 30, 2023, the Company had no commitments related to capital expenditures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of fixed assets, such as land, buildings, and equipment.</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$109.5 million of availability remaining under the 2022 ATM Program, and $200.0 million of available capacity on the existing $250.0 million Credit Facility.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Board and management consistently review the allocation of capital with the goal of providing the best long-term risk-adjusted returns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capital that we raise, proceeds from recent property sales, and available borrowing capacity from the Credit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6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20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spacing w:after="0" w:line="16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 (in thousands, except share data):</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June 30, 2022</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June 30, 2023</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June 30, 2022</w:t>
            </w: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17,260</w:t>
            </w: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11,366</w:t>
            </w: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Disposition of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r>
      <w:tr>
        <w:trPr>
          <w:trHeight w:val="20"/>
        </w:trPr>
        <w:tc>
          <w:tcPr>
            <w:tcW w:w="3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8"/>
                <w:szCs w:val="18"/>
                <w:color w:val="auto"/>
              </w:rPr>
              <w:t>Funds From 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6,393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11,397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12,989</w:t>
            </w: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Gain on Extinguishment of Debt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Amortization of Intangible Assets and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to Lease Income</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Straight-Line Rent Adjustment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Rent Repayments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360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02"/>
        </w:trPr>
        <w:tc>
          <w:tcPr>
            <w:tcW w:w="3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Amortization of Deferred Financing Costs to</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3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Non-Cash Expense</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9"/>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Funds From Operations</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12,797</w:t>
            </w: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Weighted Average Number of Common Shares: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14,059,173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11,844,108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14,030,025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11,753,904</w:t>
            </w: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15,762,667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13,547,602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15,733,519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13,457,398</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Data (in thousands,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2022</w:t>
            </w:r>
          </w:p>
        </w:tc>
        <w:tc>
          <w:tcPr>
            <w:tcW w:w="12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2023</w:t>
            </w:r>
          </w:p>
        </w:tc>
        <w:tc>
          <w:tcPr>
            <w:tcW w:w="12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2022</w:t>
            </w:r>
          </w:p>
        </w:tc>
      </w:tr>
      <w:tr>
        <w:trPr>
          <w:trHeight w:val="21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w:t>
            </w: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216"/>
        </w:trPr>
        <w:tc>
          <w:tcPr>
            <w:tcW w:w="2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AFFO</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6,345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11,478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12,797</w:t>
            </w: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 per Diluted Share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Purchase Accounting for Acquisitions of Real Estate Subject to a Lease</w:t>
      </w:r>
      <w:r>
        <w:rPr>
          <w:rFonts w:ascii="Arial" w:cs="Arial" w:eastAsia="Arial" w:hAnsi="Arial"/>
          <w:sz w:val="17"/>
          <w:szCs w:val="17"/>
          <w:color w:val="auto"/>
        </w:rPr>
        <w:t>. As required by GAAP, the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nine properties for a combined purchase price of $60.5 million for the six months ended June 30, 2023 and 35 properties for a combined purchase price of $109.1 million for the six months ended June 30, 2022.</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See Note 2, “Summary of Significant Accounting Policies”, for further discussion of the Company’s accounting estimates and policies.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June 30, 2023, that have materially affected, or are reasonably likely to materially affect, the Company’s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02"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of June 30, 2023, there have been no material changes in our risk factors from those set forth under the heading Part I, “Item 1A. Risk Factors” in the Company’s Annual Report on Form 10-K for the year ended December 31, 2022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were no unregistered sales of equity securities of the Company during the three months ended June 30, 2023.</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share repurchases were made during the three months ended June 30, 2023:</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3"/>
          </w:tcPr>
          <w:p>
            <w:pPr>
              <w:jc w:val="center"/>
              <w:ind w:right="233"/>
              <w:spacing w:after="0"/>
              <w:rPr>
                <w:sz w:val="20"/>
                <w:szCs w:val="20"/>
                <w:color w:val="auto"/>
              </w:rPr>
            </w:pPr>
            <w:r>
              <w:rPr>
                <w:rFonts w:ascii="Arial" w:cs="Arial" w:eastAsia="Arial" w:hAnsi="Arial"/>
                <w:sz w:val="18"/>
                <w:szCs w:val="18"/>
                <w:b w:val="1"/>
                <w:bCs w:val="1"/>
                <w:color w:val="auto"/>
                <w:w w:val="95"/>
              </w:rPr>
              <w:t>Maximum Number (or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 Dollar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 as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Value) of Shares that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a Part of Publicly</w:t>
            </w:r>
          </w:p>
        </w:tc>
        <w:tc>
          <w:tcPr>
            <w:tcW w:w="18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May Yet be Purchased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of Shares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1"/>
              </w:rPr>
              <w:t>Average Price</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Under the Plans or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Purchased</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0"/>
              </w:rPr>
              <w:t>Paid per Share</w:t>
            </w:r>
          </w:p>
        </w:tc>
        <w:tc>
          <w:tcPr>
            <w:tcW w:w="1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Programs ($000's)</w:t>
            </w:r>
          </w:p>
        </w:tc>
        <w:tc>
          <w:tcPr>
            <w:tcW w:w="2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4/1/2023 - 4/30/2023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5/1/2023 - 5/31/2023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19,134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15.22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19,134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4,709</w:t>
            </w:r>
          </w:p>
        </w:tc>
        <w:tc>
          <w:tcPr>
            <w:tcW w:w="280" w:type="dxa"/>
            <w:vAlign w:val="bottom"/>
          </w:tcPr>
          <w:p>
            <w:pPr>
              <w:jc w:val="right"/>
              <w:ind w:right="53"/>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6/1/2023 - 6/30/2023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23,889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8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59" w:hanging="330"/>
        <w:spacing w:after="0" w:line="253" w:lineRule="auto"/>
        <w:tabs>
          <w:tab w:leader="none" w:pos="3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 May 2023, the Company’s Board of Directors approved a $5 million stock repurchase program under which approximately $0.4 million of the Company’s stock had been repurchased as of June 30, 2023. The repurchase program does not have an expiration date.</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Exhibits: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40" w:type="dxa"/>
            <w:vAlign w:val="bottom"/>
          </w:tcPr>
          <w:p>
            <w:pPr>
              <w:ind w:left="20"/>
              <w:spacing w:after="0"/>
              <w:rPr>
                <w:sz w:val="20"/>
                <w:szCs w:val="20"/>
                <w:color w:val="auto"/>
              </w:rPr>
            </w:pPr>
            <w:r>
              <w:rPr>
                <w:rFonts w:ascii="Arial" w:cs="Arial" w:eastAsia="Arial" w:hAnsi="Arial"/>
                <w:sz w:val="17"/>
                <w:szCs w:val="17"/>
                <w:color w:val="auto"/>
              </w:rPr>
              <w:t>Exhibit 3.1</w:t>
            </w:r>
          </w:p>
        </w:tc>
        <w:tc>
          <w:tcPr>
            <w:tcW w:w="7500" w:type="dxa"/>
            <w:vAlign w:val="bottom"/>
            <w:gridSpan w:val="9"/>
          </w:tcPr>
          <w:p>
            <w:pPr>
              <w:spacing w:after="0"/>
              <w:rPr>
                <w:rFonts w:ascii="Arial" w:cs="Arial" w:eastAsia="Arial" w:hAnsi="Arial"/>
                <w:sz w:val="17"/>
                <w:szCs w:val="17"/>
                <w:color w:val="0000EE"/>
                <w:w w:val="92"/>
              </w:rPr>
            </w:pPr>
            <w:hyperlink r:id="rId57">
              <w:r>
                <w:rPr>
                  <w:rFonts w:ascii="Arial" w:cs="Arial" w:eastAsia="Arial" w:hAnsi="Arial"/>
                  <w:sz w:val="17"/>
                  <w:szCs w:val="17"/>
                  <w:color w:val="0000EE"/>
                  <w:w w:val="92"/>
                </w:rPr>
                <w:t>Articles of Amendment and Restatement of Alpine Income Property Trust, Inc. (incorporated by reference to</w:t>
              </w:r>
            </w:hyperlink>
          </w:p>
        </w:tc>
      </w:tr>
      <w:tr>
        <w:trPr>
          <w:trHeight w:val="169"/>
        </w:trPr>
        <w:tc>
          <w:tcPr>
            <w:tcW w:w="1440" w:type="dxa"/>
            <w:vAlign w:val="bottom"/>
          </w:tcPr>
          <w:p>
            <w:pPr>
              <w:spacing w:after="0"/>
              <w:rPr>
                <w:sz w:val="14"/>
                <w:szCs w:val="14"/>
                <w:color w:val="auto"/>
              </w:rPr>
            </w:pPr>
          </w:p>
        </w:tc>
        <w:tc>
          <w:tcPr>
            <w:tcW w:w="5980" w:type="dxa"/>
            <w:vAlign w:val="bottom"/>
            <w:tcBorders>
              <w:top w:val="single" w:sz="8" w:color="0000EE"/>
              <w:bottom w:val="single" w:sz="8" w:color="0000EE"/>
            </w:tcBorders>
            <w:gridSpan w:val="7"/>
          </w:tcPr>
          <w:p>
            <w:pPr>
              <w:spacing w:after="0" w:line="169" w:lineRule="exact"/>
              <w:rPr>
                <w:rFonts w:ascii="Arial" w:cs="Arial" w:eastAsia="Arial" w:hAnsi="Arial"/>
                <w:sz w:val="17"/>
                <w:szCs w:val="17"/>
                <w:color w:val="0000EE"/>
                <w:w w:val="92"/>
              </w:rPr>
            </w:pPr>
            <w:hyperlink r:id="rId57">
              <w:r>
                <w:rPr>
                  <w:rFonts w:ascii="Arial" w:cs="Arial" w:eastAsia="Arial" w:hAnsi="Arial"/>
                  <w:sz w:val="17"/>
                  <w:szCs w:val="17"/>
                  <w:color w:val="0000EE"/>
                  <w:w w:val="92"/>
                </w:rPr>
                <w:t>Exhibit 3.1 to the Company’s Current Report on Form 8-K filed on December 3, 2019).</w:t>
              </w:r>
            </w:hyperlink>
          </w:p>
        </w:tc>
        <w:tc>
          <w:tcPr>
            <w:tcW w:w="150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40" w:type="dxa"/>
            <w:vAlign w:val="bottom"/>
          </w:tcPr>
          <w:p>
            <w:pPr>
              <w:ind w:left="20"/>
              <w:spacing w:after="0"/>
              <w:rPr>
                <w:sz w:val="20"/>
                <w:szCs w:val="20"/>
                <w:color w:val="auto"/>
              </w:rPr>
            </w:pPr>
            <w:r>
              <w:rPr>
                <w:rFonts w:ascii="Arial" w:cs="Arial" w:eastAsia="Arial" w:hAnsi="Arial"/>
                <w:sz w:val="17"/>
                <w:szCs w:val="17"/>
                <w:color w:val="auto"/>
              </w:rPr>
              <w:t>Exhibit 3.2</w:t>
            </w:r>
          </w:p>
        </w:tc>
        <w:tc>
          <w:tcPr>
            <w:tcW w:w="7500" w:type="dxa"/>
            <w:vAlign w:val="bottom"/>
            <w:gridSpan w:val="9"/>
          </w:tcPr>
          <w:p>
            <w:pPr>
              <w:spacing w:after="0"/>
              <w:rPr>
                <w:rFonts w:ascii="Arial" w:cs="Arial" w:eastAsia="Arial" w:hAnsi="Arial"/>
                <w:sz w:val="18"/>
                <w:szCs w:val="18"/>
                <w:color w:val="0000EE"/>
                <w:w w:val="95"/>
              </w:rPr>
            </w:pPr>
            <w:hyperlink r:id="rId58">
              <w:r>
                <w:rPr>
                  <w:rFonts w:ascii="Arial" w:cs="Arial" w:eastAsia="Arial" w:hAnsi="Arial"/>
                  <w:sz w:val="18"/>
                  <w:szCs w:val="18"/>
                  <w:color w:val="0000EE"/>
                  <w:w w:val="95"/>
                </w:rPr>
                <w:t xml:space="preserve">Third </w:t>
              </w:r>
              <w:r>
                <w:rPr>
                  <w:rFonts w:ascii="Arial" w:cs="Arial" w:eastAsia="Arial" w:hAnsi="Arial"/>
                  <w:sz w:val="17"/>
                  <w:szCs w:val="17"/>
                  <w:color w:val="0000EE"/>
                  <w:w w:val="95"/>
                </w:rPr>
                <w:t>Amended and Restated Bylaws of Alpine Income Property Trust, Inc. (incorporated by reference to</w:t>
              </w:r>
            </w:hyperlink>
          </w:p>
        </w:tc>
      </w:tr>
      <w:tr>
        <w:trPr>
          <w:trHeight w:val="169"/>
        </w:trPr>
        <w:tc>
          <w:tcPr>
            <w:tcW w:w="1440" w:type="dxa"/>
            <w:vAlign w:val="bottom"/>
          </w:tcPr>
          <w:p>
            <w:pPr>
              <w:spacing w:after="0"/>
              <w:rPr>
                <w:sz w:val="14"/>
                <w:szCs w:val="14"/>
                <w:color w:val="auto"/>
              </w:rPr>
            </w:pPr>
          </w:p>
        </w:tc>
        <w:tc>
          <w:tcPr>
            <w:tcW w:w="5900" w:type="dxa"/>
            <w:vAlign w:val="bottom"/>
            <w:tcBorders>
              <w:top w:val="single" w:sz="8" w:color="0000EE"/>
              <w:bottom w:val="single" w:sz="8" w:color="0000EE"/>
            </w:tcBorders>
            <w:gridSpan w:val="6"/>
          </w:tcPr>
          <w:p>
            <w:pPr>
              <w:spacing w:after="0" w:line="169" w:lineRule="exact"/>
              <w:rPr>
                <w:rFonts w:ascii="Arial" w:cs="Arial" w:eastAsia="Arial" w:hAnsi="Arial"/>
                <w:sz w:val="17"/>
                <w:szCs w:val="17"/>
                <w:color w:val="0000EE"/>
                <w:w w:val="92"/>
              </w:rPr>
            </w:pPr>
            <w:hyperlink r:id="rId58">
              <w:r>
                <w:rPr>
                  <w:rFonts w:ascii="Arial" w:cs="Arial" w:eastAsia="Arial" w:hAnsi="Arial"/>
                  <w:sz w:val="17"/>
                  <w:szCs w:val="17"/>
                  <w:color w:val="0000EE"/>
                  <w:w w:val="92"/>
                </w:rPr>
                <w:t>Exhibit 3.1 to the Company’s Current Report on Form 8-K filed on February 3, 2023).</w:t>
              </w:r>
            </w:hyperlink>
          </w:p>
        </w:tc>
        <w:tc>
          <w:tcPr>
            <w:tcW w:w="1580" w:type="dxa"/>
            <w:vAlign w:val="bottom"/>
            <w:tcBorders>
              <w:top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1440" w:type="dxa"/>
            <w:vAlign w:val="bottom"/>
          </w:tcPr>
          <w:p>
            <w:pPr>
              <w:ind w:left="20"/>
              <w:spacing w:after="0"/>
              <w:rPr>
                <w:sz w:val="20"/>
                <w:szCs w:val="20"/>
                <w:color w:val="auto"/>
              </w:rPr>
            </w:pPr>
            <w:r>
              <w:rPr>
                <w:rFonts w:ascii="Arial" w:cs="Arial" w:eastAsia="Arial" w:hAnsi="Arial"/>
                <w:sz w:val="17"/>
                <w:szCs w:val="17"/>
                <w:color w:val="auto"/>
              </w:rPr>
              <w:t>Exhibit 4.1</w:t>
            </w:r>
          </w:p>
        </w:tc>
        <w:tc>
          <w:tcPr>
            <w:tcW w:w="7500" w:type="dxa"/>
            <w:vAlign w:val="bottom"/>
            <w:gridSpan w:val="9"/>
          </w:tcPr>
          <w:p>
            <w:pPr>
              <w:spacing w:after="0"/>
              <w:rPr>
                <w:rFonts w:ascii="Arial" w:cs="Arial" w:eastAsia="Arial" w:hAnsi="Arial"/>
                <w:sz w:val="17"/>
                <w:szCs w:val="17"/>
                <w:color w:val="0000EE"/>
                <w:w w:val="95"/>
              </w:rPr>
            </w:pPr>
            <w:hyperlink r:id="rId59">
              <w:r>
                <w:rPr>
                  <w:rFonts w:ascii="Arial" w:cs="Arial" w:eastAsia="Arial" w:hAnsi="Arial"/>
                  <w:sz w:val="17"/>
                  <w:szCs w:val="17"/>
                  <w:color w:val="0000EE"/>
                  <w:w w:val="95"/>
                </w:rPr>
                <w:t>Specimen Common Stock Certificate of Alpine Income Property Trust, Inc. (incorporated by reference to</w:t>
              </w:r>
            </w:hyperlink>
          </w:p>
        </w:tc>
      </w:tr>
      <w:tr>
        <w:trPr>
          <w:trHeight w:val="156"/>
        </w:trPr>
        <w:tc>
          <w:tcPr>
            <w:tcW w:w="1440" w:type="dxa"/>
            <w:vAlign w:val="bottom"/>
          </w:tcPr>
          <w:p>
            <w:pPr>
              <w:spacing w:after="0"/>
              <w:rPr>
                <w:sz w:val="13"/>
                <w:szCs w:val="13"/>
                <w:color w:val="auto"/>
              </w:rPr>
            </w:pPr>
          </w:p>
        </w:tc>
        <w:tc>
          <w:tcPr>
            <w:tcW w:w="7480" w:type="dxa"/>
            <w:vAlign w:val="bottom"/>
            <w:tcBorders>
              <w:top w:val="single" w:sz="8" w:color="0000EE"/>
              <w:bottom w:val="single" w:sz="8" w:color="0000EE"/>
            </w:tcBorders>
            <w:gridSpan w:val="8"/>
          </w:tcPr>
          <w:p>
            <w:pPr>
              <w:spacing w:after="0" w:line="155" w:lineRule="exact"/>
              <w:rPr>
                <w:rFonts w:ascii="Arial" w:cs="Arial" w:eastAsia="Arial" w:hAnsi="Arial"/>
                <w:sz w:val="17"/>
                <w:szCs w:val="17"/>
                <w:color w:val="0000EE"/>
                <w:w w:val="94"/>
              </w:rPr>
            </w:pPr>
            <w:hyperlink r:id="rId59">
              <w:r>
                <w:rPr>
                  <w:rFonts w:ascii="Arial" w:cs="Arial" w:eastAsia="Arial" w:hAnsi="Arial"/>
                  <w:sz w:val="17"/>
                  <w:szCs w:val="17"/>
                  <w:color w:val="0000EE"/>
                  <w:w w:val="94"/>
                </w:rPr>
                <w:t>Exhibit 4.1 to the Registrant’s Registration Statement on Form S-11/A (File No. 333-234304) filed with the</w:t>
              </w:r>
            </w:hyperlink>
          </w:p>
        </w:tc>
        <w:tc>
          <w:tcPr>
            <w:tcW w:w="20" w:type="dxa"/>
            <w:vAlign w:val="bottom"/>
          </w:tcPr>
          <w:p>
            <w:pPr>
              <w:spacing w:after="0"/>
              <w:rPr>
                <w:sz w:val="13"/>
                <w:szCs w:val="13"/>
                <w:color w:val="auto"/>
              </w:rPr>
            </w:pPr>
          </w:p>
        </w:tc>
      </w:tr>
      <w:tr>
        <w:trPr>
          <w:trHeight w:val="169"/>
        </w:trPr>
        <w:tc>
          <w:tcPr>
            <w:tcW w:w="1440" w:type="dxa"/>
            <w:vAlign w:val="bottom"/>
          </w:tcPr>
          <w:p>
            <w:pPr>
              <w:spacing w:after="0"/>
              <w:rPr>
                <w:sz w:val="14"/>
                <w:szCs w:val="14"/>
                <w:color w:val="auto"/>
              </w:rPr>
            </w:pPr>
          </w:p>
        </w:tc>
        <w:tc>
          <w:tcPr>
            <w:tcW w:w="7480" w:type="dxa"/>
            <w:vAlign w:val="bottom"/>
            <w:gridSpan w:val="8"/>
          </w:tcPr>
          <w:p>
            <w:pPr>
              <w:spacing w:after="0" w:line="169" w:lineRule="exact"/>
              <w:rPr>
                <w:rFonts w:ascii="Arial" w:cs="Arial" w:eastAsia="Arial" w:hAnsi="Arial"/>
                <w:sz w:val="17"/>
                <w:szCs w:val="17"/>
                <w:color w:val="0000EE"/>
              </w:rPr>
            </w:pPr>
            <w:hyperlink r:id="rId59">
              <w:r>
                <w:rPr>
                  <w:rFonts w:ascii="Arial" w:cs="Arial" w:eastAsia="Arial" w:hAnsi="Arial"/>
                  <w:sz w:val="17"/>
                  <w:szCs w:val="17"/>
                  <w:color w:val="0000EE"/>
                </w:rPr>
                <w:t>Commission on October 29, 2019).</w:t>
              </w:r>
            </w:hyperlink>
          </w:p>
        </w:tc>
        <w:tc>
          <w:tcPr>
            <w:tcW w:w="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r>
      <w:tr>
        <w:trPr>
          <w:trHeight w:val="236"/>
        </w:trPr>
        <w:tc>
          <w:tcPr>
            <w:tcW w:w="1440" w:type="dxa"/>
            <w:vAlign w:val="bottom"/>
          </w:tcPr>
          <w:p>
            <w:pPr>
              <w:ind w:left="20"/>
              <w:spacing w:after="0"/>
              <w:rPr>
                <w:sz w:val="20"/>
                <w:szCs w:val="20"/>
                <w:color w:val="auto"/>
              </w:rPr>
            </w:pPr>
            <w:r>
              <w:rPr>
                <w:rFonts w:ascii="Arial" w:cs="Arial" w:eastAsia="Arial" w:hAnsi="Arial"/>
                <w:sz w:val="17"/>
                <w:szCs w:val="17"/>
                <w:color w:val="auto"/>
              </w:rPr>
              <w:t>Exhibit 31.1*</w:t>
            </w:r>
          </w:p>
        </w:tc>
        <w:tc>
          <w:tcPr>
            <w:tcW w:w="534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1"/>
              </w:rPr>
              <w:t>Certification filed pursuant to Section 302 of the Sarbanes-Oxley Act of 2002.</w:t>
            </w:r>
          </w:p>
        </w:tc>
        <w:tc>
          <w:tcPr>
            <w:tcW w:w="2160" w:type="dxa"/>
            <w:vAlign w:val="bottom"/>
            <w:gridSpan w:val="4"/>
          </w:tcPr>
          <w:p>
            <w:pPr>
              <w:spacing w:after="0"/>
              <w:rPr>
                <w:sz w:val="20"/>
                <w:szCs w:val="20"/>
                <w:color w:val="auto"/>
              </w:rPr>
            </w:pPr>
          </w:p>
        </w:tc>
      </w:tr>
      <w:tr>
        <w:trPr>
          <w:trHeight w:val="250"/>
        </w:trPr>
        <w:tc>
          <w:tcPr>
            <w:tcW w:w="1440" w:type="dxa"/>
            <w:vAlign w:val="bottom"/>
          </w:tcPr>
          <w:p>
            <w:pPr>
              <w:ind w:left="20"/>
              <w:spacing w:after="0"/>
              <w:rPr>
                <w:sz w:val="20"/>
                <w:szCs w:val="20"/>
                <w:color w:val="auto"/>
              </w:rPr>
            </w:pPr>
            <w:r>
              <w:rPr>
                <w:rFonts w:ascii="Arial" w:cs="Arial" w:eastAsia="Arial" w:hAnsi="Arial"/>
                <w:sz w:val="17"/>
                <w:szCs w:val="17"/>
                <w:color w:val="auto"/>
              </w:rPr>
              <w:t>Exhibit 31.2*</w:t>
            </w:r>
          </w:p>
        </w:tc>
        <w:tc>
          <w:tcPr>
            <w:tcW w:w="7500" w:type="dxa"/>
            <w:vAlign w:val="bottom"/>
            <w:gridSpan w:val="9"/>
          </w:tcPr>
          <w:p>
            <w:pPr>
              <w:spacing w:after="0"/>
              <w:rPr>
                <w:sz w:val="20"/>
                <w:szCs w:val="20"/>
                <w:color w:val="auto"/>
              </w:rPr>
            </w:pPr>
            <w:r>
              <w:rPr>
                <w:rFonts w:ascii="Arial" w:cs="Arial" w:eastAsia="Arial" w:hAnsi="Arial"/>
                <w:sz w:val="17"/>
                <w:szCs w:val="17"/>
                <w:color w:val="0000EE"/>
              </w:rPr>
              <w:t>Certification filed pursuant to Section 302 of Sarbanes-Oxley Act of 2002.</w:t>
            </w:r>
          </w:p>
        </w:tc>
      </w:tr>
      <w:tr>
        <w:trPr>
          <w:trHeight w:val="20"/>
        </w:trPr>
        <w:tc>
          <w:tcPr>
            <w:tcW w:w="1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r>
      <w:tr>
        <w:trPr>
          <w:trHeight w:val="237"/>
        </w:trPr>
        <w:tc>
          <w:tcPr>
            <w:tcW w:w="1440" w:type="dxa"/>
            <w:vAlign w:val="bottom"/>
          </w:tcPr>
          <w:p>
            <w:pPr>
              <w:ind w:left="20"/>
              <w:spacing w:after="0"/>
              <w:rPr>
                <w:sz w:val="20"/>
                <w:szCs w:val="20"/>
                <w:color w:val="auto"/>
              </w:rPr>
            </w:pPr>
            <w:r>
              <w:rPr>
                <w:rFonts w:ascii="Arial" w:cs="Arial" w:eastAsia="Arial" w:hAnsi="Arial"/>
                <w:sz w:val="17"/>
                <w:szCs w:val="17"/>
                <w:color w:val="auto"/>
              </w:rPr>
              <w:t>Exhibit 32.1**</w:t>
            </w:r>
          </w:p>
        </w:tc>
        <w:tc>
          <w:tcPr>
            <w:tcW w:w="7500" w:type="dxa"/>
            <w:vAlign w:val="bottom"/>
            <w:gridSpan w:val="9"/>
          </w:tcPr>
          <w:p>
            <w:pPr>
              <w:spacing w:after="0"/>
              <w:rPr>
                <w:sz w:val="20"/>
                <w:szCs w:val="20"/>
                <w:color w:val="auto"/>
              </w:rPr>
            </w:pPr>
            <w:r>
              <w:rPr>
                <w:rFonts w:ascii="Arial" w:cs="Arial" w:eastAsia="Arial" w:hAnsi="Arial"/>
                <w:sz w:val="17"/>
                <w:szCs w:val="17"/>
                <w:color w:val="0000EE"/>
                <w:w w:val="97"/>
              </w:rPr>
              <w:t>Certification furnished pursuant to 18 U.S.C. Section 1350, as Adopted pursuant to Section 906 of the</w:t>
            </w:r>
          </w:p>
        </w:tc>
      </w:tr>
      <w:tr>
        <w:trPr>
          <w:trHeight w:val="156"/>
        </w:trPr>
        <w:tc>
          <w:tcPr>
            <w:tcW w:w="1440" w:type="dxa"/>
            <w:vAlign w:val="bottom"/>
          </w:tcPr>
          <w:p>
            <w:pPr>
              <w:spacing w:after="0"/>
              <w:rPr>
                <w:sz w:val="13"/>
                <w:szCs w:val="13"/>
                <w:color w:val="auto"/>
              </w:rPr>
            </w:pPr>
          </w:p>
        </w:tc>
        <w:tc>
          <w:tcPr>
            <w:tcW w:w="1980" w:type="dxa"/>
            <w:vAlign w:val="bottom"/>
            <w:tcBorders>
              <w:top w:val="single" w:sz="8" w:color="0000EE"/>
              <w:bottom w:val="single" w:sz="8" w:color="0000EE"/>
            </w:tcBorders>
            <w:gridSpan w:val="2"/>
          </w:tcPr>
          <w:p>
            <w:pPr>
              <w:spacing w:after="0" w:line="155" w:lineRule="exact"/>
              <w:rPr>
                <w:sz w:val="20"/>
                <w:szCs w:val="20"/>
                <w:color w:val="auto"/>
              </w:rPr>
            </w:pPr>
            <w:r>
              <w:rPr>
                <w:rFonts w:ascii="Arial" w:cs="Arial" w:eastAsia="Arial" w:hAnsi="Arial"/>
                <w:sz w:val="17"/>
                <w:szCs w:val="17"/>
                <w:color w:val="0000EE"/>
                <w:w w:val="90"/>
              </w:rPr>
              <w:t>Sarbanes-Oxley Act of 2002.</w:t>
            </w:r>
          </w:p>
        </w:tc>
        <w:tc>
          <w:tcPr>
            <w:tcW w:w="5500" w:type="dxa"/>
            <w:vAlign w:val="bottom"/>
            <w:tcBorders>
              <w:top w:val="single" w:sz="8" w:color="0000EE"/>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1440" w:type="dxa"/>
            <w:vAlign w:val="bottom"/>
          </w:tcPr>
          <w:p>
            <w:pPr>
              <w:ind w:left="20"/>
              <w:spacing w:after="0"/>
              <w:rPr>
                <w:sz w:val="20"/>
                <w:szCs w:val="20"/>
                <w:color w:val="auto"/>
              </w:rPr>
            </w:pPr>
            <w:r>
              <w:rPr>
                <w:rFonts w:ascii="Arial" w:cs="Arial" w:eastAsia="Arial" w:hAnsi="Arial"/>
                <w:sz w:val="17"/>
                <w:szCs w:val="17"/>
                <w:color w:val="auto"/>
              </w:rPr>
              <w:t>Exhibit 32.2**</w:t>
            </w:r>
          </w:p>
        </w:tc>
        <w:tc>
          <w:tcPr>
            <w:tcW w:w="7500" w:type="dxa"/>
            <w:vAlign w:val="bottom"/>
            <w:gridSpan w:val="9"/>
          </w:tcPr>
          <w:p>
            <w:pPr>
              <w:spacing w:after="0"/>
              <w:rPr>
                <w:sz w:val="20"/>
                <w:szCs w:val="20"/>
                <w:color w:val="auto"/>
              </w:rPr>
            </w:pPr>
            <w:r>
              <w:rPr>
                <w:rFonts w:ascii="Arial" w:cs="Arial" w:eastAsia="Arial" w:hAnsi="Arial"/>
                <w:sz w:val="17"/>
                <w:szCs w:val="17"/>
                <w:color w:val="0000EE"/>
                <w:w w:val="97"/>
              </w:rPr>
              <w:t>Certification furnished pursuant to 18 U.S.C. Section 1350, as Adopted pursuant to Section 906 of the</w:t>
            </w:r>
          </w:p>
        </w:tc>
      </w:tr>
      <w:tr>
        <w:trPr>
          <w:trHeight w:val="155"/>
        </w:trPr>
        <w:tc>
          <w:tcPr>
            <w:tcW w:w="1440" w:type="dxa"/>
            <w:vAlign w:val="bottom"/>
          </w:tcPr>
          <w:p>
            <w:pPr>
              <w:spacing w:after="0"/>
              <w:rPr>
                <w:sz w:val="13"/>
                <w:szCs w:val="13"/>
                <w:color w:val="auto"/>
              </w:rPr>
            </w:pPr>
          </w:p>
        </w:tc>
        <w:tc>
          <w:tcPr>
            <w:tcW w:w="1980" w:type="dxa"/>
            <w:vAlign w:val="bottom"/>
            <w:tcBorders>
              <w:top w:val="single" w:sz="8" w:color="0000EE"/>
              <w:bottom w:val="single" w:sz="8" w:color="0000EE"/>
            </w:tcBorders>
            <w:gridSpan w:val="2"/>
          </w:tcPr>
          <w:p>
            <w:pPr>
              <w:spacing w:after="0" w:line="155" w:lineRule="exact"/>
              <w:rPr>
                <w:sz w:val="20"/>
                <w:szCs w:val="20"/>
                <w:color w:val="auto"/>
              </w:rPr>
            </w:pPr>
            <w:r>
              <w:rPr>
                <w:rFonts w:ascii="Arial" w:cs="Arial" w:eastAsia="Arial" w:hAnsi="Arial"/>
                <w:sz w:val="17"/>
                <w:szCs w:val="17"/>
                <w:color w:val="0000EE"/>
                <w:w w:val="90"/>
              </w:rPr>
              <w:t>Sarbanes-Oxley Act of 2002.</w:t>
            </w:r>
          </w:p>
        </w:tc>
        <w:tc>
          <w:tcPr>
            <w:tcW w:w="5500" w:type="dxa"/>
            <w:vAlign w:val="bottom"/>
            <w:tcBorders>
              <w:top w:val="single" w:sz="8" w:color="0000EE"/>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73"/>
        </w:trPr>
        <w:tc>
          <w:tcPr>
            <w:tcW w:w="1440" w:type="dxa"/>
            <w:vAlign w:val="bottom"/>
          </w:tcPr>
          <w:p>
            <w:pPr>
              <w:ind w:left="20"/>
              <w:spacing w:after="0"/>
              <w:rPr>
                <w:sz w:val="20"/>
                <w:szCs w:val="20"/>
                <w:color w:val="auto"/>
              </w:rPr>
            </w:pPr>
            <w:r>
              <w:rPr>
                <w:rFonts w:ascii="Arial" w:cs="Arial" w:eastAsia="Arial" w:hAnsi="Arial"/>
                <w:sz w:val="17"/>
                <w:szCs w:val="17"/>
                <w:color w:val="auto"/>
              </w:rPr>
              <w:t>Exhibit 101.INS</w:t>
            </w:r>
          </w:p>
        </w:tc>
        <w:tc>
          <w:tcPr>
            <w:tcW w:w="7500" w:type="dxa"/>
            <w:vAlign w:val="bottom"/>
            <w:gridSpan w:val="9"/>
          </w:tcPr>
          <w:p>
            <w:pPr>
              <w:spacing w:after="0"/>
              <w:rPr>
                <w:sz w:val="20"/>
                <w:szCs w:val="20"/>
                <w:color w:val="auto"/>
              </w:rPr>
            </w:pPr>
            <w:r>
              <w:rPr>
                <w:rFonts w:ascii="Arial" w:cs="Arial" w:eastAsia="Arial" w:hAnsi="Arial"/>
                <w:sz w:val="17"/>
                <w:szCs w:val="17"/>
                <w:color w:val="auto"/>
              </w:rPr>
              <w:t>Inline XBRL Instance Document</w:t>
            </w:r>
          </w:p>
        </w:tc>
      </w:tr>
      <w:tr>
        <w:trPr>
          <w:trHeight w:val="270"/>
        </w:trPr>
        <w:tc>
          <w:tcPr>
            <w:tcW w:w="1440" w:type="dxa"/>
            <w:vAlign w:val="bottom"/>
          </w:tcPr>
          <w:p>
            <w:pPr>
              <w:ind w:left="20"/>
              <w:spacing w:after="0"/>
              <w:rPr>
                <w:sz w:val="20"/>
                <w:szCs w:val="20"/>
                <w:color w:val="auto"/>
              </w:rPr>
            </w:pPr>
            <w:r>
              <w:rPr>
                <w:rFonts w:ascii="Arial" w:cs="Arial" w:eastAsia="Arial" w:hAnsi="Arial"/>
                <w:sz w:val="17"/>
                <w:szCs w:val="17"/>
                <w:color w:val="auto"/>
              </w:rPr>
              <w:t>Exhibit 101.SCH</w:t>
            </w:r>
          </w:p>
        </w:tc>
        <w:tc>
          <w:tcPr>
            <w:tcW w:w="7500" w:type="dxa"/>
            <w:vAlign w:val="bottom"/>
            <w:gridSpan w:val="9"/>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57"/>
        </w:trPr>
        <w:tc>
          <w:tcPr>
            <w:tcW w:w="1440" w:type="dxa"/>
            <w:vAlign w:val="bottom"/>
          </w:tcPr>
          <w:p>
            <w:pPr>
              <w:ind w:left="20"/>
              <w:spacing w:after="0"/>
              <w:rPr>
                <w:sz w:val="20"/>
                <w:szCs w:val="20"/>
                <w:color w:val="auto"/>
              </w:rPr>
            </w:pPr>
            <w:r>
              <w:rPr>
                <w:rFonts w:ascii="Arial" w:cs="Arial" w:eastAsia="Arial" w:hAnsi="Arial"/>
                <w:sz w:val="17"/>
                <w:szCs w:val="17"/>
                <w:color w:val="auto"/>
              </w:rPr>
              <w:t>Exhibit 101.CAL</w:t>
            </w:r>
          </w:p>
        </w:tc>
        <w:tc>
          <w:tcPr>
            <w:tcW w:w="7500" w:type="dxa"/>
            <w:vAlign w:val="bottom"/>
            <w:gridSpan w:val="9"/>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57"/>
        </w:trPr>
        <w:tc>
          <w:tcPr>
            <w:tcW w:w="1440" w:type="dxa"/>
            <w:vAlign w:val="bottom"/>
          </w:tcPr>
          <w:p>
            <w:pPr>
              <w:ind w:left="20"/>
              <w:spacing w:after="0"/>
              <w:rPr>
                <w:sz w:val="20"/>
                <w:szCs w:val="20"/>
                <w:color w:val="auto"/>
              </w:rPr>
            </w:pPr>
            <w:r>
              <w:rPr>
                <w:rFonts w:ascii="Arial" w:cs="Arial" w:eastAsia="Arial" w:hAnsi="Arial"/>
                <w:sz w:val="17"/>
                <w:szCs w:val="17"/>
                <w:color w:val="auto"/>
              </w:rPr>
              <w:t>Exhibit 101.DEF</w:t>
            </w:r>
          </w:p>
        </w:tc>
        <w:tc>
          <w:tcPr>
            <w:tcW w:w="7500" w:type="dxa"/>
            <w:vAlign w:val="bottom"/>
            <w:gridSpan w:val="9"/>
          </w:tcPr>
          <w:p>
            <w:pPr>
              <w:spacing w:after="0"/>
              <w:rPr>
                <w:sz w:val="20"/>
                <w:szCs w:val="20"/>
                <w:color w:val="auto"/>
              </w:rPr>
            </w:pPr>
            <w:r>
              <w:rPr>
                <w:rFonts w:ascii="Arial" w:cs="Arial" w:eastAsia="Arial" w:hAnsi="Arial"/>
                <w:sz w:val="17"/>
                <w:szCs w:val="17"/>
                <w:color w:val="auto"/>
              </w:rPr>
              <w:t>Inline XBRL Taxonomy Definition Linkbase Document</w:t>
            </w:r>
          </w:p>
        </w:tc>
      </w:tr>
      <w:tr>
        <w:trPr>
          <w:trHeight w:val="256"/>
        </w:trPr>
        <w:tc>
          <w:tcPr>
            <w:tcW w:w="1440" w:type="dxa"/>
            <w:vAlign w:val="bottom"/>
          </w:tcPr>
          <w:p>
            <w:pPr>
              <w:ind w:left="20"/>
              <w:spacing w:after="0"/>
              <w:rPr>
                <w:sz w:val="20"/>
                <w:szCs w:val="20"/>
                <w:color w:val="auto"/>
              </w:rPr>
            </w:pPr>
            <w:r>
              <w:rPr>
                <w:rFonts w:ascii="Arial" w:cs="Arial" w:eastAsia="Arial" w:hAnsi="Arial"/>
                <w:sz w:val="17"/>
                <w:szCs w:val="17"/>
                <w:color w:val="auto"/>
              </w:rPr>
              <w:t>Exhibit 101.LAB</w:t>
            </w:r>
          </w:p>
        </w:tc>
        <w:tc>
          <w:tcPr>
            <w:tcW w:w="7500" w:type="dxa"/>
            <w:vAlign w:val="bottom"/>
            <w:gridSpan w:val="9"/>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57"/>
        </w:trPr>
        <w:tc>
          <w:tcPr>
            <w:tcW w:w="1440" w:type="dxa"/>
            <w:vAlign w:val="bottom"/>
          </w:tcPr>
          <w:p>
            <w:pPr>
              <w:ind w:left="20"/>
              <w:spacing w:after="0"/>
              <w:rPr>
                <w:sz w:val="20"/>
                <w:szCs w:val="20"/>
                <w:color w:val="auto"/>
              </w:rPr>
            </w:pPr>
            <w:r>
              <w:rPr>
                <w:rFonts w:ascii="Arial" w:cs="Arial" w:eastAsia="Arial" w:hAnsi="Arial"/>
                <w:sz w:val="17"/>
                <w:szCs w:val="17"/>
                <w:color w:val="auto"/>
              </w:rPr>
              <w:t>Exhibit 101.PRE</w:t>
            </w:r>
          </w:p>
        </w:tc>
        <w:tc>
          <w:tcPr>
            <w:tcW w:w="7500" w:type="dxa"/>
            <w:vAlign w:val="bottom"/>
            <w:gridSpan w:val="9"/>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84"/>
        </w:trPr>
        <w:tc>
          <w:tcPr>
            <w:tcW w:w="1440" w:type="dxa"/>
            <w:vAlign w:val="bottom"/>
          </w:tcPr>
          <w:p>
            <w:pPr>
              <w:ind w:left="20"/>
              <w:spacing w:after="0"/>
              <w:rPr>
                <w:sz w:val="20"/>
                <w:szCs w:val="20"/>
                <w:color w:val="auto"/>
              </w:rPr>
            </w:pPr>
            <w:r>
              <w:rPr>
                <w:rFonts w:ascii="Arial" w:cs="Arial" w:eastAsia="Arial" w:hAnsi="Arial"/>
                <w:sz w:val="17"/>
                <w:szCs w:val="17"/>
                <w:color w:val="auto"/>
              </w:rPr>
              <w:t>Exhibit 104</w:t>
            </w:r>
          </w:p>
        </w:tc>
        <w:tc>
          <w:tcPr>
            <w:tcW w:w="7500" w:type="dxa"/>
            <w:vAlign w:val="bottom"/>
            <w:gridSpan w:val="9"/>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85"/>
        </w:trPr>
        <w:tc>
          <w:tcPr>
            <w:tcW w:w="14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Filed herewith</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0"/>
        <w:spacing w:after="0"/>
        <w:tabs>
          <w:tab w:leader="none" w:pos="4640" w:val="left"/>
        </w:tabs>
        <w:rPr>
          <w:sz w:val="20"/>
          <w:szCs w:val="20"/>
          <w:color w:val="auto"/>
        </w:rPr>
      </w:pPr>
      <w:r>
        <w:rPr>
          <w:rFonts w:ascii="Arial" w:cs="Arial" w:eastAsia="Arial" w:hAnsi="Arial"/>
          <w:sz w:val="18"/>
          <w:szCs w:val="18"/>
          <w:color w:val="auto"/>
        </w:rPr>
        <w:t>July 20, 2023</w:t>
      </w:r>
      <w:r>
        <w:rPr>
          <w:sz w:val="20"/>
          <w:szCs w:val="20"/>
          <w:color w:val="auto"/>
        </w:rPr>
        <w:tab/>
      </w:r>
      <w:r>
        <w:rPr>
          <w:rFonts w:ascii="Arial" w:cs="Arial" w:eastAsia="Arial" w:hAnsi="Arial"/>
          <w:sz w:val="16"/>
          <w:szCs w:val="16"/>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24860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60"/>
        <w:spacing w:after="0"/>
        <w:tabs>
          <w:tab w:leader="none" w:pos="4640" w:val="left"/>
        </w:tabs>
        <w:rPr>
          <w:sz w:val="20"/>
          <w:szCs w:val="20"/>
          <w:color w:val="auto"/>
        </w:rPr>
      </w:pPr>
      <w:r>
        <w:rPr>
          <w:rFonts w:ascii="Arial" w:cs="Arial" w:eastAsia="Arial" w:hAnsi="Arial"/>
          <w:sz w:val="18"/>
          <w:szCs w:val="18"/>
          <w:color w:val="auto"/>
        </w:rPr>
        <w:t>July 20, 2023</w:t>
      </w:r>
      <w:r>
        <w:rPr>
          <w:sz w:val="20"/>
          <w:szCs w:val="20"/>
          <w:color w:val="auto"/>
        </w:rPr>
        <w:tab/>
      </w:r>
      <w:r>
        <w:rPr>
          <w:rFonts w:ascii="Arial" w:cs="Arial" w:eastAsia="Arial" w:hAnsi="Arial"/>
          <w:sz w:val="17"/>
          <w:szCs w:val="17"/>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2486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Matthew M. Partridge, Senior Vice President and</w:t>
      </w:r>
    </w:p>
    <w:p>
      <w:pPr>
        <w:spacing w:after="0" w:line="3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ind w:left="60"/>
        <w:spacing w:after="0"/>
        <w:tabs>
          <w:tab w:leader="none" w:pos="4640" w:val="left"/>
        </w:tabs>
        <w:rPr>
          <w:sz w:val="20"/>
          <w:szCs w:val="20"/>
          <w:color w:val="auto"/>
        </w:rPr>
      </w:pPr>
      <w:r>
        <w:rPr>
          <w:rFonts w:ascii="Arial" w:cs="Arial" w:eastAsia="Arial" w:hAnsi="Arial"/>
          <w:sz w:val="18"/>
          <w:szCs w:val="18"/>
          <w:color w:val="auto"/>
        </w:rPr>
        <w:t>July 20, 2023</w:t>
      </w:r>
      <w:r>
        <w:rPr>
          <w:sz w:val="20"/>
          <w:szCs w:val="20"/>
          <w:color w:val="auto"/>
        </w:rPr>
        <w:tab/>
      </w:r>
      <w:r>
        <w:rPr>
          <w:rFonts w:ascii="Arial" w:cs="Arial" w:eastAsia="Arial" w:hAnsi="Arial"/>
          <w:sz w:val="17"/>
          <w:szCs w:val="17"/>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2486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Lisa M. Vorakoun, Vice President and</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Alpine Income Property Trust,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59" w:hanging="658"/>
        <w:spacing w:after="0" w:line="279" w:lineRule="auto"/>
        <w:tabs>
          <w:tab w:leader="none" w:pos="16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59" w:hanging="658"/>
        <w:spacing w:after="0" w:line="259" w:lineRule="auto"/>
        <w:tabs>
          <w:tab w:leader="none" w:pos="1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680" w:right="319" w:hanging="658"/>
        <w:spacing w:after="0" w:line="311" w:lineRule="auto"/>
        <w:tabs>
          <w:tab w:leader="none" w:pos="16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20, 2023</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7006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Alpine Income Property Trust,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59" w:hanging="658"/>
        <w:spacing w:after="0" w:line="279" w:lineRule="auto"/>
        <w:tabs>
          <w:tab w:leader="none" w:pos="16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59" w:hanging="658"/>
        <w:spacing w:after="0" w:line="259" w:lineRule="auto"/>
        <w:tabs>
          <w:tab w:leader="none" w:pos="1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680" w:right="319" w:hanging="658"/>
        <w:spacing w:after="0" w:line="311" w:lineRule="auto"/>
        <w:tabs>
          <w:tab w:leader="none" w:pos="16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20, 2023</w:t>
      </w:r>
    </w:p>
    <w:p>
      <w:pPr>
        <w:spacing w:after="0" w:line="198"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6828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Matthew M. Partridge, Senior Vice President,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1" w:name="page42"/>
    <w:bookmarkEnd w:id="41"/>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60" w:right="359"/>
        <w:spacing w:after="0" w:line="279" w:lineRule="auto"/>
        <w:rPr>
          <w:sz w:val="20"/>
          <w:szCs w:val="20"/>
          <w:color w:val="auto"/>
        </w:rPr>
      </w:pPr>
      <w:r>
        <w:rPr>
          <w:rFonts w:ascii="Arial" w:cs="Arial" w:eastAsia="Arial" w:hAnsi="Arial"/>
          <w:sz w:val="17"/>
          <w:szCs w:val="17"/>
          <w:color w:val="auto"/>
        </w:rPr>
        <w:t>In connection with the Quarterly Report of Alpine Income Property Trust, Inc. (the “Company”) on Form 10-Q for the period ended June 30, 2023,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71" w:lineRule="exact"/>
        <w:rPr>
          <w:sz w:val="20"/>
          <w:szCs w:val="20"/>
          <w:color w:val="auto"/>
        </w:rPr>
      </w:pPr>
    </w:p>
    <w:p>
      <w:pPr>
        <w:ind w:left="1340" w:right="59" w:hanging="642"/>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20, 2023</w:t>
      </w:r>
    </w:p>
    <w:p>
      <w:pPr>
        <w:spacing w:after="0" w:line="239"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6828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P. Albright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2" w:name="page43"/>
    <w:bookmarkEnd w:id="42"/>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In connection with the Quarterly Report of Alpine Income Property Trust, Inc. (the “Company”) on Form 10-Q for the period ended June 30, 2023,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57" w:lineRule="exact"/>
        <w:rPr>
          <w:sz w:val="20"/>
          <w:szCs w:val="20"/>
          <w:color w:val="auto"/>
        </w:rPr>
      </w:pPr>
    </w:p>
    <w:p>
      <w:pPr>
        <w:ind w:left="1340" w:right="59" w:hanging="642"/>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20, 2023</w:t>
      </w:r>
    </w:p>
    <w:p>
      <w:pPr>
        <w:spacing w:after="0" w:line="23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746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Matthew M. Partridge, Senior Vice President,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lvl w:ilvl="1">
      <w:lvlJc w:val="left"/>
      <w:lvlText w:val="(%2)"/>
      <w:numFmt w:val="lowerRoman"/>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57" Type="http://schemas.openxmlformats.org/officeDocument/2006/relationships/hyperlink" Target="https://www.sec.gov/Archives/edgar/data/0001786117/000155837019011294/ex-3d1.htm" TargetMode="External"/><Relationship Id="rId58" Type="http://schemas.openxmlformats.org/officeDocument/2006/relationships/hyperlink" Target="https://www.sec.gov/Archives/edgar/data/1786117/000155837023000881/pine-20230201xex3d1.htm" TargetMode="External"/><Relationship Id="rId59" Type="http://schemas.openxmlformats.org/officeDocument/2006/relationships/hyperlink" Target="https://www.sec.gov/Archives/edgar/data/0001786117/000119312519277917/d79379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2023-07-20T15:20:07Z</dcterms:created>
  <dcterms:modified xsi:type="dcterms:W3CDTF">2023-07-20T15:20:07Z</dcterms:modified>
</cp:coreProperties>
</file>