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64770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86995</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25" w:lineRule="exact"/>
        <w:rPr>
          <w:sz w:val="24"/>
          <w:szCs w:val="24"/>
          <w:color w:val="auto"/>
        </w:rPr>
      </w:pPr>
    </w:p>
    <w:p>
      <w:pPr>
        <w:ind w:left="440" w:right="180" w:hanging="430"/>
        <w:spacing w:after="0" w:line="273" w:lineRule="auto"/>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6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54" w:lineRule="exact"/>
        <w:rPr>
          <w:sz w:val="24"/>
          <w:szCs w:val="24"/>
          <w:color w:val="auto"/>
        </w:rPr>
      </w:pPr>
    </w:p>
    <w:p>
      <w:pPr>
        <w:ind w:left="440" w:right="180" w:hanging="430"/>
        <w:spacing w:after="0" w:line="273" w:lineRule="auto"/>
        <w:tabs>
          <w:tab w:leader="none" w:pos="4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 w:lineRule="exact"/>
        <w:rPr>
          <w:sz w:val="24"/>
          <w:szCs w:val="24"/>
          <w:color w:val="auto"/>
        </w:rPr>
      </w:pPr>
    </w:p>
    <w:p>
      <w:pPr>
        <w:ind w:left="3160"/>
        <w:spacing w:after="0"/>
        <w:tabs>
          <w:tab w:leader="none" w:pos="61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3361055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7"/>
          <w:szCs w:val="17"/>
          <w:b w:val="1"/>
          <w:bCs w:val="1"/>
          <w:color w:val="auto"/>
        </w:rPr>
        <w:t>001-39143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95885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ALPINE INCOME PROPERTY TRUST,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69215</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68" w:lineRule="exact"/>
        <w:rPr>
          <w:sz w:val="24"/>
          <w:szCs w:val="24"/>
          <w:color w:val="auto"/>
        </w:rPr>
      </w:pPr>
    </w:p>
    <w:tbl>
      <w:tblPr>
        <w:tblLayout w:type="fixed"/>
        <w:tblInd w:w="1200" w:type="dxa"/>
        <w:tblCellMar>
          <w:top w:w="0" w:type="dxa"/>
          <w:left w:w="0" w:type="dxa"/>
          <w:bottom w:w="0" w:type="dxa"/>
          <w:right w:w="0" w:type="dxa"/>
        </w:tblCellMar>
      </w:tblPr>
      <w:tr>
        <w:trPr>
          <w:trHeight w:val="20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Maryland</w:t>
            </w: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84-2769895</w:t>
            </w: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87"/>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w w:val="99"/>
              </w:rPr>
              <w:t>369 N. New York Avenue, Suite 201</w:t>
            </w:r>
          </w:p>
        </w:tc>
        <w:tc>
          <w:tcPr>
            <w:tcW w:w="1380" w:type="dxa"/>
            <w:vAlign w:val="bottom"/>
          </w:tcPr>
          <w:p>
            <w:pPr>
              <w:spacing w:after="0"/>
              <w:rPr>
                <w:sz w:val="24"/>
                <w:szCs w:val="24"/>
                <w:color w:val="auto"/>
              </w:rPr>
            </w:pPr>
          </w:p>
        </w:tc>
      </w:tr>
      <w:tr>
        <w:trPr>
          <w:trHeight w:val="203"/>
        </w:trPr>
        <w:tc>
          <w:tcPr>
            <w:tcW w:w="5840" w:type="dxa"/>
            <w:vAlign w:val="bottom"/>
          </w:tcPr>
          <w:p>
            <w:pPr>
              <w:jc w:val="center"/>
              <w:ind w:right="3059"/>
              <w:spacing w:after="0"/>
              <w:rPr>
                <w:sz w:val="20"/>
                <w:szCs w:val="20"/>
                <w:color w:val="auto"/>
              </w:rPr>
            </w:pPr>
            <w:r>
              <w:rPr>
                <w:rFonts w:ascii="Times New Roman" w:cs="Times New Roman" w:eastAsia="Times New Roman" w:hAnsi="Times New Roman"/>
                <w:sz w:val="16"/>
                <w:szCs w:val="16"/>
                <w:b w:val="1"/>
                <w:bCs w:val="1"/>
                <w:color w:val="auto"/>
              </w:rPr>
              <w:t>Winter Park, Florida</w:t>
            </w:r>
          </w:p>
        </w:tc>
        <w:tc>
          <w:tcPr>
            <w:tcW w:w="138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32789</w:t>
            </w:r>
          </w:p>
        </w:tc>
      </w:tr>
      <w:tr>
        <w:trPr>
          <w:trHeight w:val="212"/>
        </w:trPr>
        <w:tc>
          <w:tcPr>
            <w:tcW w:w="5840" w:type="dxa"/>
            <w:vAlign w:val="bottom"/>
          </w:tcPr>
          <w:p>
            <w:pPr>
              <w:jc w:val="center"/>
              <w:ind w:right="30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38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(Zip Code)</w:t>
            </w:r>
          </w:p>
        </w:tc>
      </w:tr>
      <w:tr>
        <w:trPr>
          <w:trHeight w:val="260"/>
        </w:trPr>
        <w:tc>
          <w:tcPr>
            <w:tcW w:w="5840" w:type="dxa"/>
            <w:vAlign w:val="bottom"/>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(386) 274-2202</w:t>
            </w:r>
          </w:p>
        </w:tc>
        <w:tc>
          <w:tcPr>
            <w:tcW w:w="1380" w:type="dxa"/>
            <w:vAlign w:val="bottom"/>
          </w:tcPr>
          <w:p>
            <w:pPr>
              <w:spacing w:after="0"/>
              <w:rPr>
                <w:sz w:val="22"/>
                <w:szCs w:val="22"/>
                <w:color w:val="auto"/>
              </w:rPr>
            </w:pPr>
          </w:p>
        </w:tc>
      </w:tr>
      <w:tr>
        <w:trPr>
          <w:trHeight w:val="212"/>
        </w:trPr>
        <w:tc>
          <w:tcPr>
            <w:tcW w:w="584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1380" w:type="dxa"/>
            <w:vAlign w:val="bottom"/>
          </w:tcPr>
          <w:p>
            <w:pPr>
              <w:spacing w:after="0"/>
              <w:rPr>
                <w:sz w:val="18"/>
                <w:szCs w:val="18"/>
                <w:color w:val="auto"/>
              </w:rPr>
            </w:pPr>
          </w:p>
        </w:tc>
      </w:tr>
    </w:tbl>
    <w:p>
      <w:pPr>
        <w:spacing w:after="0" w:line="3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81915</wp:posOffset>
            </wp:positionV>
            <wp:extent cx="162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1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351"/>
        </w:trPr>
        <w:tc>
          <w:tcPr>
            <w:tcW w:w="41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9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84"/>
              <w:spacing w:after="0"/>
              <w:rPr>
                <w:sz w:val="20"/>
                <w:szCs w:val="20"/>
                <w:color w:val="auto"/>
              </w:rPr>
            </w:pPr>
            <w:r>
              <w:rPr>
                <w:rFonts w:ascii="Times New Roman" w:cs="Times New Roman" w:eastAsia="Times New Roman" w:hAnsi="Times New Roman"/>
                <w:sz w:val="14"/>
                <w:szCs w:val="14"/>
                <w:b w:val="1"/>
                <w:bCs w:val="1"/>
                <w:color w:val="auto"/>
              </w:rPr>
              <w:t>PINE</w:t>
            </w:r>
          </w:p>
        </w:tc>
        <w:tc>
          <w:tcPr>
            <w:tcW w:w="200" w:type="dxa"/>
            <w:vAlign w:val="bottom"/>
          </w:tcPr>
          <w:p>
            <w:pPr>
              <w:spacing w:after="0"/>
              <w:rPr>
                <w:sz w:val="16"/>
                <w:szCs w:val="16"/>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NYSE</w:t>
            </w:r>
          </w:p>
        </w:tc>
      </w:tr>
    </w:tbl>
    <w:p>
      <w:pPr>
        <w:spacing w:after="0" w:line="214"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jc w:val="both"/>
        <w:ind w:left="20" w:firstLine="441"/>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72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9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58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firstLine="441"/>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60" w:right="126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the registrant’s common stock outstanding on July 11, 2024 was 13,631,757.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49795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0" w:type="dxa"/>
            <w:vAlign w:val="bottom"/>
            <w:gridSpan w:val="10"/>
          </w:tcPr>
          <w:p>
            <w:pPr>
              <w:ind w:left="112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8"/>
        </w:trPr>
        <w:tc>
          <w:tcPr>
            <w:tcW w:w="296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5080" w:type="dxa"/>
            <w:vAlign w:val="bottom"/>
            <w:gridSpan w:val="11"/>
            <w:vMerge w:val="restart"/>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161"/>
        </w:trPr>
        <w:tc>
          <w:tcPr>
            <w:tcW w:w="2960" w:type="dxa"/>
            <w:vAlign w:val="bottom"/>
            <w:tcBorders>
              <w:bottom w:val="single" w:sz="8" w:color="0000EE"/>
            </w:tcBorders>
            <w:gridSpan w:val="14"/>
            <w:vMerge w:val="continue"/>
          </w:tcPr>
          <w:p>
            <w:pPr>
              <w:spacing w:after="0"/>
              <w:rPr>
                <w:sz w:val="13"/>
                <w:szCs w:val="13"/>
                <w:color w:val="auto"/>
              </w:rPr>
            </w:pPr>
          </w:p>
        </w:tc>
        <w:tc>
          <w:tcPr>
            <w:tcW w:w="5080" w:type="dxa"/>
            <w:vAlign w:val="bottom"/>
            <w:gridSpan w:val="11"/>
            <w:vMerge w:val="continue"/>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Financial Statements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Balance Sheets – June 30, 2024 (Unaudited) and December 31,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67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 Three and six months ended June 30, 2024 and 2023</w:t>
            </w:r>
          </w:p>
        </w:tc>
        <w:tc>
          <w:tcPr>
            <w:tcW w:w="940" w:type="dxa"/>
            <w:vAlign w:val="bottom"/>
            <w:gridSpan w:val="5"/>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Three and six months ended June 30, 2024 and</w:t>
            </w:r>
          </w:p>
        </w:tc>
        <w:tc>
          <w:tcPr>
            <w:tcW w:w="4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5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Consolidated Statements of Stockholders’ Equity – Three and six months ended June 30, 2024 and 2023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2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 w:type="dxa"/>
            <w:vAlign w:val="bottom"/>
          </w:tcPr>
          <w:p>
            <w:pPr>
              <w:spacing w:after="0"/>
              <w:rPr>
                <w:sz w:val="24"/>
                <w:szCs w:val="24"/>
                <w:color w:val="auto"/>
              </w:rPr>
            </w:pPr>
          </w:p>
        </w:tc>
        <w:tc>
          <w:tcPr>
            <w:tcW w:w="772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Cash Flows – Six months ended June 30, 2024 and 2023 (Unaudited)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320" w:type="dxa"/>
            <w:vAlign w:val="bottom"/>
          </w:tcPr>
          <w:p>
            <w:pPr>
              <w:spacing w:after="0"/>
              <w:rPr>
                <w:sz w:val="24"/>
                <w:szCs w:val="24"/>
                <w:color w:val="auto"/>
              </w:rPr>
            </w:pPr>
          </w:p>
        </w:tc>
        <w:tc>
          <w:tcPr>
            <w:tcW w:w="406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940" w:type="dxa"/>
            <w:vAlign w:val="bottom"/>
            <w:tcBorders>
              <w:top w:val="single" w:sz="8" w:color="0000EE"/>
            </w:tcBorders>
            <w:gridSpan w:val="6"/>
          </w:tcPr>
          <w:p>
            <w:pPr>
              <w:spacing w:after="0"/>
              <w:rPr>
                <w:sz w:val="24"/>
                <w:szCs w:val="24"/>
                <w:color w:val="auto"/>
              </w:rPr>
            </w:pPr>
          </w:p>
        </w:tc>
        <w:tc>
          <w:tcPr>
            <w:tcW w:w="720" w:type="dxa"/>
            <w:vAlign w:val="bottom"/>
            <w:gridSpan w:val="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5100" w:type="dxa"/>
            <w:vAlign w:val="bottom"/>
            <w:tcBorders>
              <w:top w:val="single" w:sz="8" w:color="0000EE"/>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3"/>
          </w:tcPr>
          <w:p>
            <w:pPr>
              <w:spacing w:after="0"/>
              <w:rPr>
                <w:sz w:val="24"/>
                <w:szCs w:val="24"/>
                <w:color w:val="auto"/>
              </w:rPr>
            </w:pPr>
          </w:p>
        </w:tc>
        <w:tc>
          <w:tcPr>
            <w:tcW w:w="86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25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520" w:type="dxa"/>
            <w:vAlign w:val="bottom"/>
            <w:gridSpan w:val="13"/>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II—OTHER INFORMATION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6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1380" w:type="dxa"/>
            <w:vAlign w:val="bottom"/>
            <w:tcBorders>
              <w:top w:val="single" w:sz="8" w:color="0000EE"/>
              <w:bottom w:val="single" w:sz="8" w:color="0000EE"/>
            </w:tcBorders>
            <w:gridSpan w:val="7"/>
          </w:tcPr>
          <w:p>
            <w:pPr>
              <w:ind w:left="40"/>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80" w:type="dxa"/>
            <w:vAlign w:val="bottom"/>
            <w:tcBorders>
              <w:top w:val="single" w:sz="8" w:color="0000EE"/>
            </w:tcBorders>
            <w:gridSpan w:val="4"/>
          </w:tcPr>
          <w:p>
            <w:pPr>
              <w:spacing w:after="0"/>
              <w:rPr>
                <w:sz w:val="24"/>
                <w:szCs w:val="24"/>
                <w:color w:val="auto"/>
              </w:rPr>
            </w:pPr>
          </w:p>
        </w:tc>
        <w:tc>
          <w:tcPr>
            <w:tcW w:w="5400" w:type="dxa"/>
            <w:vAlign w:val="bottom"/>
            <w:gridSpan w:val="12"/>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1A.</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0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296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80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25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40" w:type="dxa"/>
            <w:vAlign w:val="bottom"/>
            <w:tcBorders>
              <w:top w:val="single" w:sz="8" w:color="0000EE"/>
            </w:tcBorders>
            <w:gridSpan w:val="4"/>
          </w:tcPr>
          <w:p>
            <w:pPr>
              <w:spacing w:after="0"/>
              <w:rPr>
                <w:sz w:val="24"/>
                <w:szCs w:val="24"/>
                <w:color w:val="auto"/>
              </w:rPr>
            </w:pPr>
          </w:p>
        </w:tc>
        <w:tc>
          <w:tcPr>
            <w:tcW w:w="5000" w:type="dxa"/>
            <w:vAlign w:val="bottom"/>
            <w:gridSpan w:val="1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5.</w:t>
            </w:r>
          </w:p>
        </w:tc>
        <w:tc>
          <w:tcPr>
            <w:tcW w:w="1360" w:type="dxa"/>
            <w:vAlign w:val="bottom"/>
            <w:tcBorders>
              <w:bottom w:val="single" w:sz="8" w:color="0000EE"/>
            </w:tcBorders>
            <w:gridSpan w:val="6"/>
          </w:tcPr>
          <w:p>
            <w:pPr>
              <w:ind w:left="40"/>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000" w:type="dxa"/>
            <w:vAlign w:val="bottom"/>
            <w:gridSpan w:val="17"/>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Item 6.</w:t>
            </w:r>
          </w:p>
        </w:tc>
        <w:tc>
          <w:tcPr>
            <w:tcW w:w="736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12"/>
        </w:trPr>
        <w:tc>
          <w:tcPr>
            <w:tcW w:w="11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2"/>
          </w:tcPr>
          <w:p>
            <w:pPr>
              <w:spacing w:after="0"/>
              <w:rPr>
                <w:sz w:val="24"/>
                <w:szCs w:val="24"/>
                <w:color w:val="auto"/>
              </w:rPr>
            </w:pPr>
          </w:p>
        </w:tc>
        <w:tc>
          <w:tcPr>
            <w:tcW w:w="6720" w:type="dxa"/>
            <w:vAlign w:val="bottom"/>
            <w:gridSpan w:val="20"/>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ITEM 1. FINANCIAL STATEMENTS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6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16"/>
                <w:szCs w:val="16"/>
                <w:color w:val="auto"/>
              </w:rPr>
            </w:pPr>
          </w:p>
        </w:tc>
        <w:tc>
          <w:tcPr>
            <w:tcW w:w="11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7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Land, at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Building and Improvements, at Cost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334,312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Real Estate, at Cost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486,990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(41,879)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Estate—Net</w:t>
            </w: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445,111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Held for Sale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565,777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Rent and Deferred Revenue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Obligation Under Participation Agreement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268,320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297,423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Contingencies—See Note 20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per share, 100 million shares authorized, no shares</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w:t>
            </w:r>
          </w:p>
        </w:tc>
        <w:tc>
          <w:tcPr>
            <w:tcW w:w="10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per share, 500 million shares authorized,</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13,626,589 shares issued and outstanding as of June 30, 2024 and 13,659,207 shares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issued and outstanding as of December 31, 2023</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Dividends in Excess of Net Income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(9,907)</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268,354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565,777</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18"/>
                <w:szCs w:val="18"/>
                <w:color w:val="auto"/>
              </w:rPr>
            </w:pPr>
          </w:p>
        </w:tc>
        <w:tc>
          <w:tcPr>
            <w:tcW w:w="120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8"/>
                <w:szCs w:val="18"/>
                <w:color w:val="auto"/>
              </w:rPr>
            </w:pPr>
          </w:p>
        </w:tc>
        <w:tc>
          <w:tcPr>
            <w:tcW w:w="12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Interest Income from Commercial Loans and</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00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13,624,932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14,059,173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13,623,070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14,848,786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15,762,667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14,846,924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15,733,519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80" w:right="170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COMPREHENSIVE INCOME (Unaudited, in thousands)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0"/>
                <w:szCs w:val="20"/>
                <w:color w:val="auto"/>
              </w:rPr>
            </w:pPr>
          </w:p>
        </w:tc>
        <w:tc>
          <w:tcPr>
            <w:tcW w:w="220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9"/>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Flow Hedging Derivative - Interest Rate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Swaps</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1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line="191" w:lineRule="exact"/>
              <w:rPr>
                <w:sz w:val="20"/>
                <w:szCs w:val="20"/>
                <w:color w:val="auto"/>
              </w:rPr>
            </w:pPr>
            <w:r>
              <w:rPr>
                <w:rFonts w:ascii="Times New Roman" w:cs="Times New Roman" w:eastAsia="Times New Roman" w:hAnsi="Times New Roman"/>
                <w:sz w:val="18"/>
                <w:szCs w:val="18"/>
                <w:color w:val="auto"/>
              </w:rPr>
              <w:t>Less: Comprehensive (Income) Loss Attributable</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 Noncontrolling Interest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w:t>
            </w:r>
          </w:p>
        </w:tc>
        <w:tc>
          <w:tcPr>
            <w:tcW w:w="3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Attributable to Noncontrolling Interest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8"/>
        </w:trPr>
        <w:tc>
          <w:tcPr>
            <w:tcW w:w="370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00" w:type="dxa"/>
            <w:vAlign w:val="bottom"/>
            <w:vMerge w:val="continue"/>
          </w:tcPr>
          <w:p>
            <w:pPr>
              <w:spacing w:after="0"/>
              <w:rPr>
                <w:sz w:val="15"/>
                <w:szCs w:val="15"/>
                <w:color w:val="auto"/>
              </w:rPr>
            </w:pPr>
          </w:p>
        </w:tc>
        <w:tc>
          <w:tcPr>
            <w:tcW w:w="24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(452)</w:t>
            </w:r>
          </w:p>
        </w:tc>
        <w:tc>
          <w:tcPr>
            <w:tcW w:w="38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4,459</w:t>
            </w:r>
          </w:p>
        </w:tc>
        <w:tc>
          <w:tcPr>
            <w:tcW w:w="100" w:type="dxa"/>
            <w:vAlign w:val="bottom"/>
          </w:tcPr>
          <w:p>
            <w:pPr>
              <w:spacing w:after="0"/>
              <w:rPr>
                <w:sz w:val="15"/>
                <w:szCs w:val="15"/>
                <w:color w:val="auto"/>
              </w:rPr>
            </w:pPr>
          </w:p>
        </w:tc>
        <w:tc>
          <w:tcPr>
            <w:tcW w:w="300" w:type="dxa"/>
            <w:vAlign w:val="bottom"/>
            <w:vMerge w:val="restart"/>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1,449</w:t>
            </w:r>
          </w:p>
        </w:tc>
        <w:tc>
          <w:tcPr>
            <w:tcW w:w="180" w:type="dxa"/>
            <w:vAlign w:val="bottom"/>
          </w:tcPr>
          <w:p>
            <w:pPr>
              <w:spacing w:after="0"/>
              <w:rPr>
                <w:sz w:val="15"/>
                <w:szCs w:val="15"/>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5,032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Alpine Income Property Trust, Inc.</w:t>
            </w:r>
          </w:p>
        </w:tc>
        <w:tc>
          <w:tcPr>
            <w:tcW w:w="240" w:type="dxa"/>
            <w:vAlign w:val="bottom"/>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2024:</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Dividends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8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6"/>
              </w:rPr>
              <w:t>of Net</w:t>
            </w:r>
          </w:p>
        </w:tc>
        <w:tc>
          <w:tcPr>
            <w:tcW w:w="1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April 1, 2024</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242,944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248,152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24,704</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$ 272,856</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20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Repurchases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89"/>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Issuance, Net of Equity</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Costs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89"/>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($0.275 per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(4,084)</w:t>
            </w:r>
          </w:p>
        </w:tc>
      </w:tr>
      <w:tr>
        <w:trPr>
          <w:trHeight w:val="208"/>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r>
      <w:tr>
        <w:trPr>
          <w:trHeight w:val="196"/>
        </w:trPr>
        <w:tc>
          <w:tcPr>
            <w:tcW w:w="206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2024</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243,019</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244,028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24,326</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$ 268,354</w:t>
            </w: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three months ended June 30, 2023:</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82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 w:type="dxa"/>
            <w:vAlign w:val="bottom"/>
          </w:tcPr>
          <w:p>
            <w:pPr>
              <w:spacing w:after="0"/>
              <w:rPr>
                <w:sz w:val="17"/>
                <w:szCs w:val="17"/>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Par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 w:type="dxa"/>
            <w:vAlign w:val="bottom"/>
          </w:tcPr>
          <w:p>
            <w:pPr>
              <w:spacing w:after="0"/>
              <w:rPr>
                <w:sz w:val="18"/>
                <w:szCs w:val="18"/>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2"/>
        </w:trPr>
        <w:tc>
          <w:tcPr>
            <w:tcW w:w="2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April 1, 2023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249,288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270,778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33,694</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$ 304,472</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3"/>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Repurchases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189"/>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Equity Issuance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89"/>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($0.275 per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(4,330)</w:t>
            </w:r>
          </w:p>
        </w:tc>
      </w:tr>
      <w:tr>
        <w:trPr>
          <w:trHeight w:val="209"/>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w:t>
            </w:r>
          </w:p>
        </w:tc>
      </w:tr>
      <w:tr>
        <w:trPr>
          <w:trHeight w:val="196"/>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Balance June 30, 2023</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248,958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271,043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33,237</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$ 304,280</w:t>
            </w: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600"/>
        <w:spacing w:after="0" w:line="265" w:lineRule="auto"/>
        <w:rPr>
          <w:sz w:val="20"/>
          <w:szCs w:val="20"/>
          <w:color w:val="auto"/>
        </w:rPr>
      </w:pPr>
      <w:r>
        <w:rPr>
          <w:rFonts w:ascii="Times New Roman" w:cs="Times New Roman" w:eastAsia="Times New Roman" w:hAnsi="Times New Roman"/>
          <w:sz w:val="17"/>
          <w:szCs w:val="17"/>
          <w:color w:val="auto"/>
        </w:rPr>
        <w:t>ALPINE INCOME PROPERTY TRUST, INC. CONSOLIDATED STATEMENTS OF STOCKHOLDERS’ EQUITY (Continued) (Unaudited, in thousands, except per share data)</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2024:</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Dividends</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Excess</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0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7"/>
                <w:szCs w:val="17"/>
                <w:color w:val="auto"/>
              </w:rPr>
            </w:pP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of Net</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8"/>
                <w:szCs w:val="18"/>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99"/>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2024</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243,690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250,743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24,870</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$ 275,613</w:t>
            </w:r>
          </w:p>
        </w:tc>
      </w:tr>
      <w:tr>
        <w:trPr>
          <w:trHeight w:val="20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Repurchases</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0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60" w:type="dxa"/>
            <w:vAlign w:val="bottom"/>
          </w:tcPr>
          <w:p>
            <w:pPr>
              <w:spacing w:after="0"/>
              <w:rPr>
                <w:sz w:val="17"/>
                <w:szCs w:val="17"/>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18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Issuance, Net of Equity</w:t>
            </w: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189"/>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($0.550 per</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6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(7,492)</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(7,492)</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(8,166)</w:t>
            </w:r>
          </w:p>
        </w:tc>
      </w:tr>
      <w:tr>
        <w:trPr>
          <w:trHeight w:val="20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r>
      <w:tr>
        <w:trPr>
          <w:trHeight w:val="196"/>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2024</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243,019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(9,907)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244,028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24,326</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$ 268,354</w:t>
            </w:r>
          </w:p>
        </w:tc>
      </w:tr>
      <w:tr>
        <w:trPr>
          <w:trHeight w:val="20"/>
        </w:trPr>
        <w:tc>
          <w:tcPr>
            <w:tcW w:w="2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six months ended June 30, 2023:</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2280" w:type="dxa"/>
            <w:vAlign w:val="bottom"/>
          </w:tcPr>
          <w:p>
            <w:pPr>
              <w:spacing w:after="0"/>
              <w:rPr>
                <w:sz w:val="17"/>
                <w:szCs w:val="17"/>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 at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5"/>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Par</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6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8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199"/>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January 1, 2023</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236,841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261,618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33,757</w:t>
            </w: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$ 295,375</w:t>
            </w:r>
          </w:p>
        </w:tc>
      </w:tr>
      <w:tr>
        <w:trPr>
          <w:trHeight w:val="20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w:t>
            </w:r>
          </w:p>
        </w:tc>
      </w:tr>
      <w:tr>
        <w:trPr>
          <w:trHeight w:val="20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Repurchases</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(365)</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0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Issuance to Directors</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18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Issuance, Net of Equity</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Costs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12,343</w:t>
            </w:r>
          </w:p>
        </w:tc>
      </w:tr>
      <w:tr>
        <w:trPr>
          <w:trHeight w:val="189"/>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($0.550 per</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3"/>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w:t>
            </w: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(7,730)</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(7,730)</w:t>
            </w:r>
          </w:p>
        </w:tc>
        <w:tc>
          <w:tcPr>
            <w:tcW w:w="1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(936)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(8,666)</w:t>
            </w:r>
          </w:p>
        </w:tc>
      </w:tr>
      <w:tr>
        <w:trPr>
          <w:trHeight w:val="20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r>
      <w:tr>
        <w:trPr>
          <w:trHeight w:val="196"/>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2023</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248,958</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16,214</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271,043</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33,237</w:t>
            </w:r>
          </w:p>
        </w:tc>
        <w:tc>
          <w:tcPr>
            <w:tcW w:w="12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$ 304,280</w:t>
            </w:r>
          </w:p>
        </w:tc>
      </w:tr>
      <w:tr>
        <w:trPr>
          <w:trHeight w:val="20"/>
        </w:trPr>
        <w:tc>
          <w:tcPr>
            <w:tcW w:w="2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Pr>
          <w:p>
            <w:pPr>
              <w:spacing w:after="0"/>
              <w:rPr>
                <w:sz w:val="12"/>
                <w:szCs w:val="12"/>
                <w:color w:val="auto"/>
              </w:rPr>
            </w:pPr>
          </w:p>
        </w:tc>
      </w:tr>
      <w:tr>
        <w:trPr>
          <w:trHeight w:val="142"/>
        </w:trPr>
        <w:tc>
          <w:tcPr>
            <w:tcW w:w="5620" w:type="dxa"/>
            <w:vAlign w:val="bottom"/>
            <w:tcBorders>
              <w:top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w:t>
            </w:r>
          </w:p>
        </w:tc>
        <w:tc>
          <w:tcPr>
            <w:tcW w:w="20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2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3,835</w:t>
            </w:r>
          </w:p>
        </w:tc>
        <w:tc>
          <w:tcPr>
            <w:tcW w:w="20" w:type="dxa"/>
            <w:vAlign w:val="bottom"/>
          </w:tcPr>
          <w:p>
            <w:pPr>
              <w:spacing w:after="0"/>
              <w:rPr>
                <w:sz w:val="12"/>
                <w:szCs w:val="12"/>
                <w:color w:val="auto"/>
              </w:rPr>
            </w:pPr>
          </w:p>
        </w:tc>
      </w:tr>
      <w:tr>
        <w:trPr>
          <w:trHeight w:val="148"/>
        </w:trPr>
        <w:tc>
          <w:tcPr>
            <w:tcW w:w="56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12,734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12,758</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Intangible Lease Assets and Liabilities to Lease Income</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 to Interest Expense</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Accretion of Commercial Loans and Investments Origination Fees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Gain on Disposition of Assets</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(918)</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(5,196)</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Provision for Impairment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Non-Cash Compensation</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Decrease (Increase) in Assets: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Straight-Line Rent Adjustment</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Increase (Decrease) in Liabilities:</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2,156</w:t>
            </w:r>
          </w:p>
        </w:tc>
        <w:tc>
          <w:tcPr>
            <w:tcW w:w="20" w:type="dxa"/>
            <w:vAlign w:val="bottom"/>
          </w:tcPr>
          <w:p>
            <w:pPr>
              <w:spacing w:after="0"/>
              <w:rPr>
                <w:sz w:val="12"/>
                <w:szCs w:val="12"/>
                <w:color w:val="auto"/>
              </w:rPr>
            </w:pPr>
          </w:p>
        </w:tc>
      </w:tr>
      <w:tr>
        <w:trPr>
          <w:trHeight w:val="149"/>
        </w:trPr>
        <w:tc>
          <w:tcPr>
            <w:tcW w:w="2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Prepaid Rent and Deferred Revenue</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588</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297</w:t>
            </w:r>
          </w:p>
        </w:tc>
        <w:tc>
          <w:tcPr>
            <w:tcW w:w="20" w:type="dxa"/>
            <w:vAlign w:val="bottom"/>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14,791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13,676</w:t>
            </w:r>
          </w:p>
        </w:tc>
        <w:tc>
          <w:tcPr>
            <w:tcW w:w="20" w:type="dxa"/>
            <w:vAlign w:val="bottom"/>
          </w:tcPr>
          <w:p>
            <w:pPr>
              <w:spacing w:after="0"/>
              <w:rPr>
                <w:sz w:val="12"/>
                <w:szCs w:val="12"/>
                <w:color w:val="auto"/>
              </w:rPr>
            </w:pPr>
          </w:p>
        </w:tc>
      </w:tr>
      <w:tr>
        <w:trPr>
          <w:trHeight w:val="142"/>
        </w:trPr>
        <w:tc>
          <w:tcPr>
            <w:tcW w:w="56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Investing Activities:</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Real Estate, Including Capitalized Expenditures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(15,946)</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(61,672)</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Disposition of Assets</w:t>
            </w:r>
          </w:p>
        </w:tc>
        <w:tc>
          <w:tcPr>
            <w:tcW w:w="200" w:type="dxa"/>
            <w:vAlign w:val="bottom"/>
          </w:tcPr>
          <w:p>
            <w:pPr>
              <w:spacing w:after="0"/>
              <w:rPr>
                <w:sz w:val="12"/>
                <w:szCs w:val="12"/>
                <w:color w:val="auto"/>
              </w:rPr>
            </w:pPr>
          </w:p>
        </w:tc>
        <w:tc>
          <w:tcPr>
            <w:tcW w:w="1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6,384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77,775</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Acquisition of Commercial Loans and Investments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(10,315)</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8"/>
        </w:trPr>
        <w:tc>
          <w:tcPr>
            <w:tcW w:w="20" w:type="dxa"/>
            <w:vAlign w:val="bottom"/>
            <w:tcBorders>
              <w:bottom w:val="single" w:sz="8" w:color="CCEEFF"/>
            </w:tcBorders>
          </w:tcPr>
          <w:p>
            <w:pPr>
              <w:spacing w:after="0"/>
              <w:rPr>
                <w:sz w:val="12"/>
                <w:szCs w:val="12"/>
                <w:color w:val="auto"/>
              </w:rPr>
            </w:pPr>
          </w:p>
        </w:tc>
        <w:tc>
          <w:tcPr>
            <w:tcW w:w="560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Principal Payments Received on Commercial Loan Investments</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14,263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r>
      <w:tr>
        <w:trPr>
          <w:trHeight w:val="142"/>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(5,614)</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16,103</w:t>
            </w:r>
          </w:p>
        </w:tc>
        <w:tc>
          <w:tcPr>
            <w:tcW w:w="20" w:type="dxa"/>
            <w:vAlign w:val="bottom"/>
          </w:tcPr>
          <w:p>
            <w:pPr>
              <w:spacing w:after="0"/>
              <w:rPr>
                <w:sz w:val="12"/>
                <w:szCs w:val="12"/>
                <w:color w:val="auto"/>
              </w:rPr>
            </w:pPr>
          </w:p>
        </w:tc>
      </w:tr>
      <w:tr>
        <w:trPr>
          <w:trHeight w:val="142"/>
        </w:trPr>
        <w:tc>
          <w:tcPr>
            <w:tcW w:w="56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Flow from Financing Activities:</w:t>
            </w: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Payments on Long-Term Debt</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(31,000)</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(19,500)</w:t>
            </w:r>
          </w:p>
        </w:tc>
        <w:tc>
          <w:tcPr>
            <w:tcW w:w="20" w:type="dxa"/>
            <w:vAlign w:val="bottom"/>
          </w:tcPr>
          <w:p>
            <w:pPr>
              <w:spacing w:after="0"/>
              <w:rPr>
                <w:sz w:val="12"/>
                <w:szCs w:val="12"/>
                <w:color w:val="auto"/>
              </w:rPr>
            </w:pPr>
          </w:p>
        </w:tc>
      </w:tr>
      <w:tr>
        <w:trPr>
          <w:trHeight w:val="148"/>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Paid for Loan Fees</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(775)</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20" w:type="dxa"/>
            <w:vAlign w:val="bottom"/>
          </w:tcPr>
          <w:p>
            <w:pPr>
              <w:spacing w:after="0"/>
              <w:rPr>
                <w:sz w:val="12"/>
                <w:szCs w:val="12"/>
                <w:color w:val="auto"/>
              </w:rPr>
            </w:pPr>
          </w:p>
        </w:tc>
      </w:tr>
      <w:tr>
        <w:trPr>
          <w:trHeight w:val="149"/>
        </w:trPr>
        <w:tc>
          <w:tcPr>
            <w:tcW w:w="20" w:type="dxa"/>
            <w:vAlign w:val="bottom"/>
            <w:shd w:val="clear" w:color="auto" w:fill="CCEEFF"/>
          </w:tcPr>
          <w:p>
            <w:pPr>
              <w:spacing w:after="0"/>
              <w:rPr>
                <w:sz w:val="12"/>
                <w:szCs w:val="12"/>
                <w:color w:val="auto"/>
              </w:rPr>
            </w:pPr>
          </w:p>
        </w:tc>
        <w:tc>
          <w:tcPr>
            <w:tcW w:w="560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Proceeds From (Payments For) Stock Issuance, Net</w:t>
            </w:r>
          </w:p>
        </w:tc>
        <w:tc>
          <w:tcPr>
            <w:tcW w:w="20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12,343</w:t>
            </w:r>
          </w:p>
        </w:tc>
        <w:tc>
          <w:tcPr>
            <w:tcW w:w="2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6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Dividends Paid</w:t>
            </w:r>
          </w:p>
        </w:tc>
        <w:tc>
          <w:tcPr>
            <w:tcW w:w="20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(8,166)</w:t>
            </w: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(8,666)</w:t>
            </w:r>
          </w:p>
        </w:tc>
        <w:tc>
          <w:tcPr>
            <w:tcW w:w="20" w:type="dxa"/>
            <w:vAlign w:val="bottom"/>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5600" w:type="dxa"/>
            <w:vAlign w:val="bottom"/>
            <w:tcBorders>
              <w:top w:val="single" w:sz="8" w:color="CCEEFF"/>
            </w:tcBorders>
            <w:gridSpan w:val="2"/>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2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(16,512)</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(14,968)</w:t>
            </w:r>
          </w:p>
        </w:tc>
        <w:tc>
          <w:tcPr>
            <w:tcW w:w="20" w:type="dxa"/>
            <w:vAlign w:val="bottom"/>
          </w:tcPr>
          <w:p>
            <w:pPr>
              <w:spacing w:after="0"/>
              <w:rPr>
                <w:sz w:val="12"/>
                <w:szCs w:val="12"/>
                <w:color w:val="auto"/>
              </w:rPr>
            </w:pPr>
          </w:p>
        </w:tc>
      </w:tr>
      <w:tr>
        <w:trPr>
          <w:trHeight w:val="142"/>
        </w:trPr>
        <w:tc>
          <w:tcPr>
            <w:tcW w:w="56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(7,335)</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14,811</w:t>
            </w:r>
          </w:p>
        </w:tc>
        <w:tc>
          <w:tcPr>
            <w:tcW w:w="20" w:type="dxa"/>
            <w:vAlign w:val="bottom"/>
          </w:tcPr>
          <w:p>
            <w:pPr>
              <w:spacing w:after="0"/>
              <w:rPr>
                <w:sz w:val="12"/>
                <w:szCs w:val="12"/>
                <w:color w:val="auto"/>
              </w:rPr>
            </w:pPr>
          </w:p>
        </w:tc>
      </w:tr>
      <w:tr>
        <w:trPr>
          <w:trHeight w:val="148"/>
        </w:trPr>
        <w:tc>
          <w:tcPr>
            <w:tcW w:w="562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and Restricted Cash, Beginning of Period</w:t>
            </w: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13,731</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13,044</w:t>
            </w:r>
          </w:p>
        </w:tc>
        <w:tc>
          <w:tcPr>
            <w:tcW w:w="20" w:type="dxa"/>
            <w:vAlign w:val="bottom"/>
          </w:tcPr>
          <w:p>
            <w:pPr>
              <w:spacing w:after="0"/>
              <w:rPr>
                <w:sz w:val="12"/>
                <w:szCs w:val="12"/>
                <w:color w:val="auto"/>
              </w:rPr>
            </w:pPr>
          </w:p>
        </w:tc>
      </w:tr>
      <w:tr>
        <w:trPr>
          <w:trHeight w:val="182"/>
        </w:trPr>
        <w:tc>
          <w:tcPr>
            <w:tcW w:w="5620" w:type="dxa"/>
            <w:vAlign w:val="bottom"/>
            <w:tcBorders>
              <w:bottom w:val="single" w:sz="8" w:color="CCEEFF"/>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 and Restricted Cash, End of Period</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6,396</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27,855</w:t>
            </w:r>
          </w:p>
        </w:tc>
        <w:tc>
          <w:tcPr>
            <w:tcW w:w="20" w:type="dxa"/>
            <w:vAlign w:val="bottom"/>
          </w:tcPr>
          <w:p>
            <w:pPr>
              <w:spacing w:after="0"/>
              <w:rPr>
                <w:sz w:val="15"/>
                <w:szCs w:val="15"/>
                <w:color w:val="auto"/>
              </w:rPr>
            </w:pPr>
          </w:p>
        </w:tc>
      </w:tr>
      <w:tr>
        <w:trPr>
          <w:trHeight w:val="129"/>
        </w:trPr>
        <w:tc>
          <w:tcPr>
            <w:tcW w:w="20" w:type="dxa"/>
            <w:vAlign w:val="bottom"/>
            <w:shd w:val="clear" w:color="auto" w:fill="CCEEFF"/>
          </w:tcPr>
          <w:p>
            <w:pPr>
              <w:spacing w:after="0"/>
              <w:rPr>
                <w:sz w:val="11"/>
                <w:szCs w:val="11"/>
                <w:color w:val="auto"/>
              </w:rPr>
            </w:pPr>
          </w:p>
        </w:tc>
        <w:tc>
          <w:tcPr>
            <w:tcW w:w="3420" w:type="dxa"/>
            <w:vAlign w:val="bottom"/>
            <w:shd w:val="clear" w:color="auto" w:fill="CCEEFF"/>
          </w:tcPr>
          <w:p>
            <w:pPr>
              <w:spacing w:after="0"/>
              <w:rPr>
                <w:sz w:val="11"/>
                <w:szCs w:val="11"/>
                <w:color w:val="auto"/>
              </w:rPr>
            </w:pPr>
          </w:p>
        </w:tc>
        <w:tc>
          <w:tcPr>
            <w:tcW w:w="2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56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to the Consolidated Balance Sheets:</w:t>
            </w: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562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7,755</w:t>
            </w:r>
          </w:p>
        </w:tc>
        <w:tc>
          <w:tcPr>
            <w:tcW w:w="20" w:type="dxa"/>
            <w:vAlign w:val="bottom"/>
          </w:tcPr>
          <w:p>
            <w:pPr>
              <w:spacing w:after="0"/>
              <w:rPr>
                <w:sz w:val="12"/>
                <w:szCs w:val="12"/>
                <w:color w:val="auto"/>
              </w:rPr>
            </w:pPr>
          </w:p>
        </w:tc>
      </w:tr>
      <w:tr>
        <w:trPr>
          <w:trHeight w:val="148"/>
        </w:trPr>
        <w:tc>
          <w:tcPr>
            <w:tcW w:w="5620" w:type="dxa"/>
            <w:vAlign w:val="bottom"/>
            <w:tcBorders>
              <w:bottom w:val="single" w:sz="8" w:color="CCEEFF"/>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3,136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20,100</w:t>
            </w:r>
          </w:p>
        </w:tc>
        <w:tc>
          <w:tcPr>
            <w:tcW w:w="20" w:type="dxa"/>
            <w:vAlign w:val="bottom"/>
          </w:tcPr>
          <w:p>
            <w:pPr>
              <w:spacing w:after="0"/>
              <w:rPr>
                <w:sz w:val="12"/>
                <w:szCs w:val="12"/>
                <w:color w:val="auto"/>
              </w:rPr>
            </w:pPr>
          </w:p>
        </w:tc>
      </w:tr>
      <w:tr>
        <w:trPr>
          <w:trHeight w:val="142"/>
        </w:trPr>
        <w:tc>
          <w:tcPr>
            <w:tcW w:w="5620" w:type="dxa"/>
            <w:vAlign w:val="bottom"/>
            <w:tcBorders>
              <w:bottom w:val="single" w:sz="8" w:color="CCEEFF"/>
            </w:tcBorders>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Cash</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6,396</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27,855</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1640" w:right="1840"/>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CONSOLIDATED STATEMENTS OF CASH FLOWS (Continued) (Unaudited, in thousands)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jc w:val="right"/>
              <w:ind w:right="92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2"/>
        </w:trPr>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2"/>
                <w:szCs w:val="12"/>
                <w:color w:val="auto"/>
              </w:rPr>
            </w:pPr>
          </w:p>
        </w:tc>
        <w:tc>
          <w:tcPr>
            <w:tcW w:w="1260" w:type="dxa"/>
            <w:vAlign w:val="bottom"/>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42"/>
        </w:trPr>
        <w:tc>
          <w:tcPr>
            <w:tcW w:w="56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2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r>
      <w:tr>
        <w:trPr>
          <w:trHeight w:val="148"/>
        </w:trPr>
        <w:tc>
          <w:tcPr>
            <w:tcW w:w="5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4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5,503</w:t>
            </w:r>
          </w:p>
        </w:tc>
        <w:tc>
          <w:tcPr>
            <w:tcW w:w="160" w:type="dxa"/>
            <w:vAlign w:val="bottom"/>
          </w:tcPr>
          <w:p>
            <w:pPr>
              <w:spacing w:after="0"/>
              <w:rPr>
                <w:sz w:val="12"/>
                <w:szCs w:val="12"/>
                <w:color w:val="auto"/>
              </w:rPr>
            </w:pPr>
          </w:p>
        </w:tc>
        <w:tc>
          <w:tcPr>
            <w:tcW w:w="24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4,681</w:t>
            </w:r>
          </w:p>
        </w:tc>
      </w:tr>
      <w:tr>
        <w:trPr>
          <w:trHeight w:val="148"/>
        </w:trPr>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r>
      <w:tr>
        <w:trPr>
          <w:trHeight w:val="149"/>
        </w:trPr>
        <w:tc>
          <w:tcPr>
            <w:tcW w:w="56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48"/>
        </w:trPr>
        <w:tc>
          <w:tcPr>
            <w:tcW w:w="56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Unrealized Gain on Cash Flow Hedge</w:t>
            </w:r>
          </w:p>
        </w:tc>
        <w:tc>
          <w:tcPr>
            <w:tcW w:w="24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1,613</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 BUSINESS AND ORGANIZATION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BUSINESS</w:t>
      </w:r>
    </w:p>
    <w:p>
      <w:pPr>
        <w:spacing w:after="0" w:line="22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Alpine Income Property Trust, Inc. (the “Company” or “PINE”) is a real estate investment trust (“REIT”) that owns and operates a high-quality portfolio of commercial net lease properties. The terms “us,” “we,” “our,” and “the Company” as used in this report refer to Alpine Income Property Trust, Inc. together with our consolidated subsidiaries.</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Our portfolio consists of 137 net leased properties located in 34 states. The properties in our portfolio are primarily subject to long-term, net leases, which generally require the tenant to pay directly or reimburse us for property operating expenses such as real estate taxes, insurance, assessments and other governmental fees, utilities, repairs and maintenance and certain capital expenditures. The Company may also acquire or originate commercial loans and investments. Our investments in commercial loans are generally secured by real estate or the borrower’s pledge of its ownership interest in an entity that owns real estate. See Note 4, “Commercial Loans and Investments” for further disclosure related to the Company’s commercial loans and investments.</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Realty Growth, Inc. (our “Manager”). CTO Realty Growth, Inc. (NYSE: CTO) is a Maryland corporation that is a publicly traded REIT and the sole member of our Manager (“CTO”). All of our executive officers also serve as executive officers of CTO, and one of our executive officers and directors, John P. Albright, also serves as an executive officer and director of CTO.</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Company is a Maryland corporation that was formed on August 19, 2019. On November 26, 2019, the Company closed its initial public offering (“IPO”). We conduct the substantial majority of our operations through Alpine Income Property OP, LP (the “Operating Partnership”). Our wholly owned subsidiary, Alpine Income Property GP, LLC (“PINE GP”), is the sole general partner of the Operating Partnership. Substantially all of our assets are held by, and our operations are conducted through, the Operating Partnership. As of June 30, 2024, we have a total ownership interest in the Operating Partnership of 91.8%, with CTO holding, directly and indirectly, an 8.2% ownership interest in the Operating Partnership. Our interest in the Operating Partnership generally entitles us to share in cash distributions from, and in the profits and losses of, the Operating Partnership in proportion to our percentage ownership. We, through PINE GP, generally have the exclusive power under the partnership agreement to manage and conduct the business and affairs of the Operating Partnership, subject to certain approval and voting rights of the limited partners. Our Board of Directors (the “Board”) oversees our business and affairs.</w:t>
      </w:r>
    </w:p>
    <w:p>
      <w:pPr>
        <w:spacing w:after="0" w:line="192" w:lineRule="exact"/>
        <w:rPr>
          <w:sz w:val="20"/>
          <w:szCs w:val="20"/>
          <w:color w:val="auto"/>
        </w:rPr>
      </w:pPr>
    </w:p>
    <w:p>
      <w:pPr>
        <w:jc w:val="both"/>
        <w:ind w:left="60" w:right="59" w:firstLine="385"/>
        <w:spacing w:after="0" w:line="253"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Internal Revenue Code of 1986, as amended (the “Code”). To qualify as a REIT, the Company must meet certain organizational and operational requirements, including a requirement to distribute at least 90% of the Company’s annual REIT taxable income, determined without regard to the dividends paid deduction and excluding net capital gain, to its stockholders (which does not necessarily equal net income as calculated in accordance with generally accepted accounting principles). As a REIT, the Company is generally not subject to U.S. federal corporate income tax to the extent of its distributions to stockholders. If the Company fails to qualify as a REIT in any taxable year, the Company will be subject to U.S. federal income tax on its taxable income at regular corporate rates and generally will not be permitted to qualify for treatment as a REIT for the four taxable years following the year during which qualification is lost unless the Internal Revenue Service grants the Company relief under certain statutory provisions. Such an event could materially adversely affect the Company’s net income and net cash available for distribution to stockholders. Even if the Company qualifies for taxation as a REIT, the Company may be subject to state and local taxes on its income and property and federal income and excise taxes on its undistributed income.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its wholly owned subsidiaries, and other entities in which we have a controlling interest. All significant inter-company balances and transactions have been eliminated in the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color w:val="auto"/>
        </w:rPr>
        <w:t xml:space="preserve">Financial Accounting Standards Board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(“FASB ASC”) Topic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establishes standards related to the manner in which enterprises report operating segment information.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operates in two primary business segments including income properties and commercial loans and investments, as further discussed within Note 21, “Business Segment Data”. The Company has no other reportable segments. The Company’s chief executive officer, who is the Company’s chief operating decision maker, reviews financial information on a disaggregated basis for purposes of allocating and evaluating financial performance.</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 IN THE PREPARATION OF FINANCIAL STATEMENTS</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presented. Actual results could differ from those estimates.</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Among other factors, fluctuating market conditions that can exist in the national real estate markets and the volatility and uncertainty in the financial and credit markets make it possible that the estimates and assumptions, most notably those related to PINE’s investment in properties, could change materially due to continued volatility in the real estate and financial markets, or as a result of a significant dislocation in those markets.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REAL ESTATE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Company’s real estate assets are comprised of the properties in its portfolio, and are stated at cost, less accumulated depreciation and amortization. Such properties are depreciated on a straight-line basis over their estimated useful lives. Renewals and betterments are capitalized to the applicable property accounts. The cost of maintenance and repairs is expensed as incurred. The cost of property retired or otherwise disposed of, and the related accumulated depreciation or amortization, are removed from the accounts, and any resulting gain or loss is recorded in the statement of operations. The amount of depreciation of real estate, exclusive of amortization related to intangible assets, recognized for the three months ended June 30, 2024 and June 30, 2023, was $4.2 million. The amount of depreciation of real estate, exclusive of amortization related to intangible assets, recognized for the six months ended June 30, 2024 and June 30, 2023, was $8.4 million and $8.3 million, respectively.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follows FASB ASC Topic 360-10,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xml:space="preserve"> in conducting its impairment analyses. The Company reviews the recoverability of long-lived assets, primarily real estate, and real estate held for sale, for impairment whenever events or changes in circumstances indicate that the carrying amount of an asset may not be recoverable. Examples of situations considered to be triggering events include: a substantial decline in operating cash flows during the period, a current or projected loss from operations, a property not fully leased or leased at rates that are less than current market rates, and any other quantitative or qualitative events deemed significant by management. Long-lived assets are evaluated for impairment by using an undiscounted cash flow approach, which considers future estimated capital expenditures. Impairment of long-lived assets is measured at fair value less cost to sell.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p>
    <w:p>
      <w:pPr>
        <w:spacing w:after="0" w:line="227" w:lineRule="exact"/>
        <w:rPr>
          <w:sz w:val="20"/>
          <w:szCs w:val="20"/>
          <w:color w:val="auto"/>
        </w:rPr>
      </w:pPr>
    </w:p>
    <w:p>
      <w:pPr>
        <w:jc w:val="both"/>
        <w:ind w:left="60" w:right="59" w:firstLine="369"/>
        <w:spacing w:after="0" w:line="253" w:lineRule="auto"/>
        <w:rPr>
          <w:sz w:val="20"/>
          <w:szCs w:val="20"/>
          <w:color w:val="auto"/>
        </w:rPr>
      </w:pPr>
      <w:r>
        <w:rPr>
          <w:rFonts w:ascii="Times New Roman" w:cs="Times New Roman" w:eastAsia="Times New Roman" w:hAnsi="Times New Roman"/>
          <w:sz w:val="18"/>
          <w:szCs w:val="18"/>
          <w:color w:val="auto"/>
        </w:rPr>
        <w:t xml:space="preserve">Investments in real estate are carried at cost less accumulated depreciation and impairment losses, if any. The cost of investments in real estate reflects their purchase price or development cost. We evaluate each acquisition transaction to determine whether the acquired asset meets the definition of a business. Under Accounting Standards Update (“ASU”) 2017-01, Business Combinations (Topic 805):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an acquisition does not qualify as a business when there is no substantive process acquired or substantially all of the fair value is concentrated in a single identifiable asset or group of similar identifiable assets or the acquisition does not include a substantive process in the form of an acquired workforce or an acquired contract that cannot be replaced without significant cost, effort or delay. Transaction costs related to acquisitions that are asset acquisitions are capitalized as part of the cost basis of the acquired assets, while transaction costs for acquisitions that are deemed to be acquisitions of a business are expensed as incurred. Improvements and replacements are capitalized when they extend the useful life or improve the productive capacity of the asset. Costs of repairs and maintenance are expensed as incurred.</w:t>
      </w:r>
    </w:p>
    <w:p>
      <w:pPr>
        <w:spacing w:after="0" w:line="19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In accordance with FASB guidance, the fair value of the 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capitalized above-market lease values are amortized as a reduction of rental income over the remaining terms of the respective leases. The capitalized below-market lease values are amortized as an increase to rental income over the initial term unless management believes that it is likely that the tenant will renew the lease upon expiration, in which case the Company amortizes the value attributable to the renewal over the renewal period. The value of in-place leases and leasing costs are amortized to expense over the remaining non-cancelable periods of the respective leases. If a lease were to be terminated prior to its stated expiration, all unamortized amounts relating to that lease would be written off.</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5"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Investments in real estate which are determined to be “held for sale” pursuant to FASB Topic 360-10,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Equipment </w:t>
      </w:r>
      <w:r>
        <w:rPr>
          <w:rFonts w:ascii="Times New Roman" w:cs="Times New Roman" w:eastAsia="Times New Roman" w:hAnsi="Times New Roman"/>
          <w:sz w:val="18"/>
          <w:szCs w:val="18"/>
          <w:color w:val="auto"/>
        </w:rPr>
        <w:t>are reported separately on the consolidated balance sheets at the lesser of carrying value or fair value, 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to sell. Real estate investments classified as held for sale are not depreciated.</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SALES OF REAL ESTATE</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When properties are disposed of, the related cost basis of the real estate, intangible lease assets, and intangible lease liabilities, net of accumulated depreciation and/or amortization, and any accrued straight-line rental income balance for the underlying operating leases are removed, and gains or losses from the dispositions are reflected in net income within gains on dispositions of assets. In accordance with the FASB guidance, gains or losses on sales of real estate are generally recognized using the full accrual method.</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LEASE REVENUE</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rental arrangements associated with the Company’s property portfolio are classified as operating leases. The Company recognizes lease income on these properties on a straight-line basis over the term of the lease. Accordingly, contractual lease payment increases are recognized evenly over the term of the lease. The periodic difference between lease income recognized under this method and contractual lease payment terms (i.e., straight-line rent) is recorded as a deferred operating lease receivable and is included in straight-line rent adjustment on the accompanying consolidated balance sheets. The Company’s leases provide for reimbursement from tenants for variable lease payments including common area maintenance, insurance, real estate taxes and other operating expenses. A portion of our variable lease payment revenue is estimated each period and is recognized as rental income in the period the recoverable costs are incurred and accrued.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collectability of tenant receivables and straight-line rent adjustments is determined based on, among other things, the aging of the tenant receivable, management’s evaluation of credit risk associated with the tenant and industry of the tenant, and a review of specifically identified accounts using judgment. As of June 30, 2024 and December 31, 2023, the Company’s allowance for doubtful accounts totaled $0.2 million and $0.4 million,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COMMERCIAL LOANS AND INVESTMENTS</w:t>
      </w:r>
    </w:p>
    <w:p>
      <w:pPr>
        <w:spacing w:after="0" w:line="227"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Investments in commercial loans and investments held for investment are recorded at historical cost, net of unaccreted origination costs and current expected credit losses (“CECL”) reserve.</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the Company measures and records a provision for CECL each time a new investment is made or a loan is repaid, as well as if changes to estimates occur during a quarterly measurement period.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5"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color w:val="auto"/>
        </w:rPr>
        <w:t xml:space="preserve">Sales of participations in commercial loans and investments are evaluated for achievement of the characteristics of participating interest pursuant to ASC 860, </w:t>
      </w:r>
      <w:r>
        <w:rPr>
          <w:rFonts w:ascii="Times New Roman" w:cs="Times New Roman" w:eastAsia="Times New Roman" w:hAnsi="Times New Roman"/>
          <w:sz w:val="17"/>
          <w:szCs w:val="17"/>
          <w:i w:val="1"/>
          <w:iCs w:val="1"/>
          <w:color w:val="auto"/>
        </w:rPr>
        <w:t>Transfers and Servicing</w:t>
      </w:r>
      <w:r>
        <w:rPr>
          <w:rFonts w:ascii="Times New Roman" w:cs="Times New Roman" w:eastAsia="Times New Roman" w:hAnsi="Times New Roman"/>
          <w:sz w:val="17"/>
          <w:szCs w:val="17"/>
          <w:color w:val="auto"/>
        </w:rPr>
        <w:t>. If the sale of a participation has all of the characteristics of a participating interest, it achieves sale accounting and the commercial loan or investment is presented net of the participating interest. If the sale of a participation does not have all of the characteristics of a participating interest, it does not achieve sale accounting and is treated as a secured borrowing. As of June 30, 2024, the Company’s participation in commercial loans and investments purchased by a third-party did not achieve sale accounting and has been presented as an Obligation under Participation Agreement within the liabilities portion of the Company’s consolidated balance sheet.</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RECOGNITION OF INTEREST INCOME FROM COMMERCIAL LOANS AND INVESTMENTS</w:t>
      </w:r>
    </w:p>
    <w:p>
      <w:pPr>
        <w:spacing w:after="0" w:line="227"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Interest income on commercial loans and investments includes interest payments made by the borrower and the accretion of loan origination fees, offset by the amortization of loan costs, if any. Interest payments are accrued based on the actual coupon rate and the outstanding principal balance and purchase discounts and loan origination fees are accreted into income using the effective yield method, adjusted for prepayments.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LAND LEASE EXPENSE</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which leases are classified as operating leases pursuant to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corresponding lease expense is recognized on a straight-line basis over the term of the lease and is included in real estate expenses in the accompanying consolidated statements of operations.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include cash on hand, bank demand accounts, and money market accounts having original maturities of 90 days or less. The Company’s bank balances as of June 30, 2024 and December 31, 2023 include certain amounts over the Federal Deposit Insurance Corporation limits. The carrying value of cash and cash equivalents is reported at Level 1 in the fair value hierarchy, which represents valuation based upon quoted prices in active markets for identical assets or liabilities.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left="60" w:right="59" w:firstLine="441"/>
        <w:spacing w:after="0" w:line="282" w:lineRule="auto"/>
        <w:rPr>
          <w:sz w:val="20"/>
          <w:szCs w:val="20"/>
          <w:color w:val="auto"/>
        </w:rPr>
      </w:pPr>
      <w:r>
        <w:rPr>
          <w:rFonts w:ascii="Times New Roman" w:cs="Times New Roman" w:eastAsia="Times New Roman" w:hAnsi="Times New Roman"/>
          <w:sz w:val="18"/>
          <w:szCs w:val="18"/>
          <w:color w:val="auto"/>
        </w:rPr>
        <w:t>Restricted cash totaled $3.1 million as of June 30, 2024, which is being held in interest, tax, insurance, and/or capital expenditure reserve accounts related to the Company’s commercial loans and investments.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FINANCIAL INSTRUMENTS AND HEDGING ACTIVITY</w:t>
      </w:r>
    </w:p>
    <w:p>
      <w:pPr>
        <w:spacing w:after="0" w:line="22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cash flow hedging derivatives in accordance with FASB ASC Topic 815-20,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Hedging</w:t>
      </w:r>
      <w:r>
        <w:rPr>
          <w:rFonts w:ascii="Times New Roman" w:cs="Times New Roman" w:eastAsia="Times New Roman" w:hAnsi="Times New Roman"/>
          <w:sz w:val="18"/>
          <w:szCs w:val="18"/>
          <w:color w:val="auto"/>
        </w:rPr>
        <w:t>. Depending upon the hedge’s value at each balance sheet date, the derivatives are included in either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accounts payable, accrued expenses, and other liabilities on the accompanying consolidated balance sheet at its fair value. On the date each interest rate swap was entered into, the Company designated the derivatives as a hedge of the variability of cash flows to be paid related to the recognized long-term debt liabilities.</w:t>
      </w:r>
    </w:p>
    <w:p>
      <w:pPr>
        <w:spacing w:after="0" w:line="185"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The Company documented the relationship between the hedging instruments and the hedged item, as well as its risk-management objective and strategy for undertaking the hedge transactions. At the hedges’ inception, the Company assessed whether the derivatives that are used in hedging the transactions are highly effective in offsetting changes in cash flows of the hedged items and will continue to do so on a quarterly basis.</w:t>
      </w:r>
    </w:p>
    <w:p>
      <w:pPr>
        <w:spacing w:after="0" w:line="180"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Changes in fair value of the hedging instruments that are highly effective and designated and qualified as cash-flow hedges are recorded in other comprehensive income and loss, until earnings are affected by the variability in cash flows of the designated hedged items (see Note 14, “Interest Rate Swaps”).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restricted cash, accounts receivable included in other assets, accounts payable, and accrued expenses and other liabilities at June 30, 2024 and December 31, 2023, approximate fair value because of the short maturity of these instruments. The carrying value of the Credit Facility, hereinafter defined, approximates current market rates for revolving credit arrangements with similar risks and maturities. The Company estimates the fair value of its commercial loans and investments and term loans based on incremental borrowing rates for similar types of borrowing arrangements with the same remaining maturity and on the discounted estimated future cash payments to be made for other debt. The discount rate used to calculate the fair value of debt approximates current lending rates for loans and assumes the debt is outstanding through maturity. Since such amounts are estimates that are based on limited available market information for similar transactions, which is a Level 2 non-recurring measurement, there can be no assurance that the disclosed value of any financial instrument could be realized by immediate settlement of the instrument.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The Company’s estimates of fair value of financial and non-financial assets and liabilities is based on the framework established by GAAP. The framework specifies a hierarchy of valuation inputs which was established to increase consistency, clarity and comparability in fair value measurements and related disclosures. GAAP describes a fair value hierarchy based upon three levels of inputs that may be used to measure fair value, two of which are considered observable and one that is considered unobservable. The following describes the three levels:</w:t>
      </w:r>
    </w:p>
    <w:p>
      <w:pPr>
        <w:spacing w:after="0" w:line="170"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Valuation is based upon quoted prices in active markets for identical assets or liabilities.</w:t>
      </w:r>
    </w:p>
    <w:p>
      <w:pPr>
        <w:spacing w:after="0" w:line="211"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Valuation is based upon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3" w:lineRule="exact"/>
        <w:rPr>
          <w:rFonts w:ascii="Times New Roman" w:cs="Times New Roman" w:eastAsia="Times New Roman" w:hAnsi="Times New Roman"/>
          <w:sz w:val="18"/>
          <w:szCs w:val="18"/>
          <w:color w:val="auto"/>
        </w:rPr>
      </w:pPr>
    </w:p>
    <w:p>
      <w:pPr>
        <w:jc w:val="both"/>
        <w:ind w:left="720" w:right="7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 is generated from model-based techniques that use at least one significant assumption not observable in the market. These unobservable assumptions reflect estimates of assumptions that market participants would use in pricing the asset or liability. Valuation techniques include option pricing models, discounted cash flow models and similar techniques.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14"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Certain individual tenants in the Company’s portfolio of properties accounted for more than 10% of lease income from the Company’s income properties during the six months ended June 30, 2024 and 2023.</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Walgreens accounted for 11% and 12% of total revenues, respectively.</w:t>
      </w:r>
    </w:p>
    <w:p>
      <w:pPr>
        <w:spacing w:after="0" w:line="16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13%, 11%, and 11% of the Company’s real estate portfolio, based on square footage, was located in the states of Texas, New Jersey, and Michigan,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Certain items in the prior period’s consolidated balance sheet and consolidated statement of operations have been reclassified to conform to the presentation for the three and six months ended June 30, 2024. Specifically, tax, insurance, and capital expenditure reserve accounts related to the Company’s commercial loans and investments were previously included within Prepaid Rent and Deferred Revenue and are now included within Accounts Payable, Accrued Expenses, and Other Liabilities on the accompanying consolidated balance sheets. Additionally, interest income earned on deposits at financial institutions was previously included within Lease Income and is now included within Investment and Other Income on the accompanying consolidated statement of operations. There was no impact to retained earnings as a result of the reclassifications.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3. PROPERTY PORTFOLIO</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Company’s property portfolio consisted of 137 properties with total square footage of 3.8 million.</w:t>
      </w:r>
    </w:p>
    <w:p>
      <w:pPr>
        <w:spacing w:after="0" w:line="16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Leasing revenue consists of long-term rental revenue from net leased commercial properties, which is recognized as earned, using the straight-line method over the life of each lease. Lease payments below include straight-line base rental revenue as well as the non-cash accretion of above and below market lease amortization. The variable lease payments are comprised of percentage rent payments and reimbursements from tenants for common area maintenance, insurance, real estate taxes, and other operating expenses.</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components of leasing revenue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88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6"/>
        </w:trPr>
        <w:tc>
          <w:tcPr>
            <w:tcW w:w="2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Payments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w:t>
            </w:r>
          </w:p>
        </w:tc>
      </w:tr>
      <w:tr>
        <w:trPr>
          <w:trHeight w:val="216"/>
        </w:trPr>
        <w:tc>
          <w:tcPr>
            <w:tcW w:w="2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w:t>
            </w:r>
          </w:p>
        </w:tc>
      </w:tr>
      <w:tr>
        <w:trPr>
          <w:trHeight w:val="21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22,504</w:t>
            </w: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Minimum Future Rental Receipts. </w:t>
      </w:r>
      <w:r>
        <w:rPr>
          <w:rFonts w:ascii="Times New Roman" w:cs="Times New Roman" w:eastAsia="Times New Roman" w:hAnsi="Times New Roman"/>
          <w:sz w:val="18"/>
          <w:szCs w:val="18"/>
          <w:color w:val="auto"/>
        </w:rPr>
        <w:t>Minimum future rental receipts under non-cancelable operating leases, excluding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rent and other lease payments that are not fixed and determinable, having remaining terms in excess of one year subsequent to June 30, 2024, are summarized as follows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60" w:type="dxa"/>
            <w:vAlign w:val="bottom"/>
          </w:tcPr>
          <w:p>
            <w:pPr>
              <w:spacing w:after="0"/>
              <w:rPr>
                <w:sz w:val="20"/>
                <w:szCs w:val="20"/>
                <w:color w:val="auto"/>
              </w:rPr>
            </w:pPr>
          </w:p>
        </w:tc>
        <w:tc>
          <w:tcPr>
            <w:tcW w:w="188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0"/>
        </w:trPr>
        <w:tc>
          <w:tcPr>
            <w:tcW w:w="6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19,786</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38,955</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38,165</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30,988</w:t>
            </w: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26,217</w:t>
            </w:r>
          </w:p>
        </w:tc>
      </w:tr>
      <w:tr>
        <w:trPr>
          <w:trHeight w:val="216"/>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 (Cumulative)</w:t>
            </w:r>
          </w:p>
        </w:tc>
        <w:tc>
          <w:tcPr>
            <w:tcW w:w="46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73,885</w:t>
            </w:r>
          </w:p>
        </w:tc>
      </w:tr>
      <w:tr>
        <w:trPr>
          <w:trHeight w:val="209"/>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262,629</w:t>
            </w:r>
          </w:p>
        </w:tc>
      </w:tr>
      <w:tr>
        <w:trPr>
          <w:trHeight w:val="20"/>
        </w:trPr>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2024 Activity. </w:t>
      </w:r>
      <w:r>
        <w:rPr>
          <w:rFonts w:ascii="Times New Roman" w:cs="Times New Roman" w:eastAsia="Times New Roman" w:hAnsi="Times New Roman"/>
          <w:sz w:val="17"/>
          <w:szCs w:val="17"/>
          <w:color w:val="auto"/>
        </w:rPr>
        <w:t>During the six months ended June 30, 2024, the Company acquired two properties for a combined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price of $15.6 million, or a cost of $15.7 million including capitalized acquisition costs. The properties are located in two different states, leased to three different tenants, and had a weighted average remaining lease term of 4.5 years at the time of acquisition. Of the total acquisition cost, $5.0 million was allocated to land, $10.2 million was allocated to buildings and improvements, $1.4 million was allocated to intangible assets pertaining to the in-place lease value, leasing fees, and above market lease value, and $0.9 million was allocated to intangible liabilities for the below market lease value. The weighted average amortization period for the intangible assets and liabilities was 4.6 years at acquisition.</w:t>
      </w:r>
    </w:p>
    <w:p>
      <w:pPr>
        <w:spacing w:after="0" w:line="17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sold two properties for an aggregate sales price of $6.6 million, generating aggregate gains on sale of $0.9 million.</w:t>
      </w:r>
    </w:p>
    <w:p>
      <w:pPr>
        <w:spacing w:after="0" w:line="92"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2023 Activity. </w:t>
      </w:r>
      <w:r>
        <w:rPr>
          <w:rFonts w:ascii="Times New Roman" w:cs="Times New Roman" w:eastAsia="Times New Roman" w:hAnsi="Times New Roman"/>
          <w:sz w:val="18"/>
          <w:szCs w:val="18"/>
          <w:color w:val="auto"/>
        </w:rPr>
        <w:t>During the six months ended June 30, 2023, the Company acquired nine properties for a combined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price of $60.5 million, or a cost of $61.6 million including capitalized acquisition costs. The properties are located in four different states, leased to 14 different tenants, and had a weighted average remaining lease term of 7.5 years at the time of acquisition. Of the total acquisition cost, $16.4 million was allocated to land, $40.2 million was allocated to buildings and improvements, $5.5 million was allocated to intangible assets pertaining to the in-place lease value, leasing fees, and above market lease value, and $0.5 million was allocated to intangible liabilities for the below market lease value. The weighted average amortization period for the intangible assets and liabilities was 8.8 years at acquisition.</w:t>
      </w:r>
    </w:p>
    <w:p>
      <w:pPr>
        <w:spacing w:after="0" w:line="185"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the Company sold 14 properties for an aggregate sales price of $79.1 million, generating aggregate gains on sale of $5.2 million.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4. COMMERCIAL LOANS AND INVESTMENTS</w:t>
      </w:r>
    </w:p>
    <w:p>
      <w:pPr>
        <w:spacing w:after="0" w:line="22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2024 Activity. </w:t>
      </w:r>
      <w:r>
        <w:rPr>
          <w:rFonts w:ascii="Times New Roman" w:cs="Times New Roman" w:eastAsia="Times New Roman" w:hAnsi="Times New Roman"/>
          <w:sz w:val="18"/>
          <w:szCs w:val="18"/>
          <w:color w:val="auto"/>
        </w:rPr>
        <w:t>On January 30, 2024, the Company originated a construction loan secured by the property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improvements to be constructed thereon for six retail outparcels in Lawrenceville, Georgia for $7.2 million. The construction loan matures on January 30, 2026, bears a fixed interest rate of 11.25% and requires interest-only payments prior to maturity. Funding of the loan will occur as the borrower completes the underlying construction. As of June 30, 2024, the Company has disbursed $5.7 million to the borrower.</w:t>
      </w:r>
    </w:p>
    <w:p>
      <w:pPr>
        <w:spacing w:after="0" w:line="185"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 xml:space="preserve">On May 31, 2024, the Company sold a $13.6 million A-1 participation interest (the “Loan Participation Sale”) in its $23.4 million Mortgage Note (hereinafter defined) originated in 2023. The senior participation of $13.6 million is entitled to an 8.0% yield on its respective portion of the outstanding principal balance and has priority preference with respect to all principal and interest payments of the Mortgage Note. After adjusting for the Loan Participation Sale, the Company’s remaining investment in the Mortgage Note is $9.7 million. This sale did not achieve sale accounting pursuant to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and accordingly, is treated as a secured borrowing. See Note 12, “Obligation Under Participation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for further information.</w:t>
      </w:r>
    </w:p>
    <w:p>
      <w:pPr>
        <w:spacing w:after="0" w:line="18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June 14, 2024, the Company originated a construction loan secured by the property and improvements to be constructed thereon for a 6-acre land development project anchored by Wawa and McDonalds in Mount Carmel, Ohio for $6.1 million. The construction loan matures on September 14, 2025, bears a fixed interest rate of 11.50% and requires interest-only payments prior to maturity. Funding of the loan will occur as the borrower completes the underlying construction. As of June 30, 2024, the Company has disbursed $4.7 million to the borrower.</w:t>
      </w:r>
    </w:p>
    <w:p>
      <w:pPr>
        <w:spacing w:after="0" w:line="181" w:lineRule="exact"/>
        <w:rPr>
          <w:sz w:val="20"/>
          <w:szCs w:val="20"/>
          <w:color w:val="auto"/>
        </w:rPr>
      </w:pPr>
    </w:p>
    <w:p>
      <w:pPr>
        <w:jc w:val="both"/>
        <w:ind w:left="60" w:right="59"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2023 Activity. </w:t>
      </w:r>
      <w:r>
        <w:rPr>
          <w:rFonts w:ascii="Times New Roman" w:cs="Times New Roman" w:eastAsia="Times New Roman" w:hAnsi="Times New Roman"/>
          <w:sz w:val="17"/>
          <w:szCs w:val="17"/>
          <w:color w:val="auto"/>
        </w:rPr>
        <w:t>On July 25, 2023, the Company originated a construction loan secured by the property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improvements to be constructed thereon for a 33-acre Wawa-anchored land development project in Greenwood, Indiana for $7.8 million. The construction loan matures on July 25, 2025, bears a fixed interest rate of 8.50% that increases to 9.25% on July 25, 2024, and requires interest-only payments prior to maturity. Funding of the loan will occur as the borrower completes the underlying construction. As of June 30, 2024, the Company has disbursed $7.1 million to the borrower.</w:t>
      </w:r>
    </w:p>
    <w:p>
      <w:pPr>
        <w:spacing w:after="0" w:line="15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30, 2023, the Company originated a construction loan secured by the property and improvements to be constructed thereon for a 5-acre land development project anchored by Wawa and McDonalds in Antioch, Tennessee for $6.8 million with the same borrower as the construction loan secured by the 33-acre Wawa-anchored land development project in Greenwood, Indiana. The construction loan matures on October 30, 2025, bears a fixed interest rate of 11.00%</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that decreases to 9.50% on October 30, 2024, and requires interest-only payments prior to maturity. Funding of the loan will occur as the borrower completes the underlying construction. As of June 30, 2024, the Company has disbursed $4.7 million to the borrower.</w:t>
      </w:r>
    </w:p>
    <w:p>
      <w:pPr>
        <w:spacing w:after="0" w:line="176"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15, 2023, the Company originated a $24.0 million first mortgage secured by a portfolio of 41 assets and related improvements (the “Mortgage Note”). The Mortgage Note matures on November 15, 2026, has two one-year extension options, bears a fixed interest rate of 8.75% at the time of acquisition, will increase by 0.25% annually during the initial term, and requires interest-only payments prior to maturity. During the six months ended June 30, 2024, the Company received $0.6 million in principal repayments from the borrower.</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June 30, 2024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Original</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Current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Date of</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100" w:type="dxa"/>
            <w:vAlign w:val="bottom"/>
          </w:tcPr>
          <w:p>
            <w:pPr>
              <w:spacing w:after="0"/>
              <w:rPr>
                <w:sz w:val="14"/>
                <w:szCs w:val="14"/>
                <w:color w:val="auto"/>
              </w:rPr>
            </w:pPr>
          </w:p>
        </w:tc>
        <w:tc>
          <w:tcPr>
            <w:tcW w:w="8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Face</w:t>
            </w:r>
          </w:p>
        </w:tc>
        <w:tc>
          <w:tcPr>
            <w:tcW w:w="80" w:type="dxa"/>
            <w:vAlign w:val="bottom"/>
          </w:tcPr>
          <w:p>
            <w:pPr>
              <w:spacing w:after="0"/>
              <w:rPr>
                <w:sz w:val="14"/>
                <w:szCs w:val="14"/>
                <w:color w:val="auto"/>
              </w:rPr>
            </w:pPr>
          </w:p>
        </w:tc>
        <w:tc>
          <w:tcPr>
            <w:tcW w:w="8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Carrying</w:t>
            </w:r>
          </w:p>
        </w:tc>
        <w:tc>
          <w:tcPr>
            <w:tcW w:w="880" w:type="dxa"/>
            <w:vAlign w:val="bottom"/>
          </w:tcPr>
          <w:p>
            <w:pPr>
              <w:spacing w:after="0"/>
              <w:rPr>
                <w:sz w:val="14"/>
                <w:szCs w:val="14"/>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10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5"/>
              </w:rPr>
              <w:t>Value</w:t>
            </w:r>
          </w:p>
        </w:tc>
        <w:tc>
          <w:tcPr>
            <w:tcW w:w="8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r>
      <w:tr>
        <w:trPr>
          <w:trHeight w:val="138"/>
        </w:trPr>
        <w:tc>
          <w:tcPr>
            <w:tcW w:w="276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r>
      <w:tr>
        <w:trPr>
          <w:trHeight w:val="17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2023</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July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7,149</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8.50%</w:t>
            </w:r>
          </w:p>
        </w:tc>
      </w:tr>
      <w:tr>
        <w:trPr>
          <w:trHeight w:val="145"/>
        </w:trPr>
        <w:tc>
          <w:tcPr>
            <w:tcW w:w="2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2023</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October 2025</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4,622</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11.00%</w:t>
            </w:r>
          </w:p>
        </w:tc>
      </w:tr>
      <w:tr>
        <w:trPr>
          <w:trHeight w:val="162"/>
        </w:trPr>
        <w:tc>
          <w:tcPr>
            <w:tcW w:w="29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6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80" w:type="dxa"/>
            <w:vAlign w:val="bottom"/>
            <w:gridSpan w:val="2"/>
            <w:shd w:val="clear" w:color="auto" w:fill="CCEEFF"/>
          </w:tcPr>
          <w:p>
            <w:pPr>
              <w:jc w:val="center"/>
              <w:ind w:right="16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23,370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23,275</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45"/>
        </w:trPr>
        <w:tc>
          <w:tcPr>
            <w:tcW w:w="2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Retail Outparcels –</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Lawrenceville, GA</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color w:val="auto"/>
              </w:rPr>
              <w:t>January 2024</w:t>
            </w: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January 2026</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5,663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5,591</w:t>
            </w:r>
          </w:p>
        </w:tc>
        <w:tc>
          <w:tcPr>
            <w:tcW w:w="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11.25%</w:t>
            </w:r>
          </w:p>
        </w:tc>
      </w:tr>
      <w:tr>
        <w:trPr>
          <w:trHeight w:val="145"/>
        </w:trPr>
        <w:tc>
          <w:tcPr>
            <w:tcW w:w="2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Mount Carmel, OH</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June 2024</w:t>
            </w:r>
          </w:p>
        </w:tc>
        <w:tc>
          <w:tcPr>
            <w:tcW w:w="11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5"/>
                <w:szCs w:val="15"/>
                <w:color w:val="auto"/>
              </w:rPr>
              <w:t>September 2025</w:t>
            </w: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6,127</w:t>
            </w:r>
          </w:p>
        </w:tc>
        <w:tc>
          <w:tcPr>
            <w:tcW w:w="1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4,627</w:t>
            </w:r>
          </w:p>
        </w:tc>
        <w:tc>
          <w:tcPr>
            <w:tcW w:w="1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4,568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11.50%</w:t>
            </w:r>
          </w:p>
        </w:tc>
      </w:tr>
      <w:tr>
        <w:trPr>
          <w:trHeight w:val="196"/>
        </w:trPr>
        <w:tc>
          <w:tcPr>
            <w:tcW w:w="27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51,952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45,465</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45,185</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r>
      <w:tr>
        <w:trPr>
          <w:trHeight w:val="183"/>
        </w:trPr>
        <w:tc>
          <w:tcPr>
            <w:tcW w:w="292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line="161" w:lineRule="exact"/>
              <w:rPr>
                <w:sz w:val="20"/>
                <w:szCs w:val="20"/>
                <w:color w:val="auto"/>
              </w:rPr>
            </w:pPr>
            <w:r>
              <w:rPr>
                <w:rFonts w:ascii="Times New Roman" w:cs="Times New Roman" w:eastAsia="Times New Roman" w:hAnsi="Times New Roman"/>
                <w:sz w:val="15"/>
                <w:szCs w:val="15"/>
                <w:color w:val="auto"/>
              </w:rPr>
              <w:t>(455)</w:t>
            </w:r>
          </w:p>
        </w:tc>
        <w:tc>
          <w:tcPr>
            <w:tcW w:w="880" w:type="dxa"/>
            <w:vAlign w:val="bottom"/>
            <w:tcBorders>
              <w:bottom w:val="single" w:sz="8" w:color="CCEEFF"/>
            </w:tcBorders>
            <w:shd w:val="clear" w:color="auto" w:fill="CCEEFF"/>
          </w:tcPr>
          <w:p>
            <w:pPr>
              <w:spacing w:after="0"/>
              <w:rPr>
                <w:sz w:val="15"/>
                <w:szCs w:val="15"/>
                <w:color w:val="auto"/>
              </w:rPr>
            </w:pPr>
          </w:p>
        </w:tc>
      </w:tr>
      <w:tr>
        <w:trPr>
          <w:trHeight w:val="169"/>
        </w:trPr>
        <w:tc>
          <w:tcPr>
            <w:tcW w:w="29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44,730</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699" w:firstLine="324"/>
        <w:spacing w:after="0" w:line="282" w:lineRule="auto"/>
        <w:rPr>
          <w:sz w:val="20"/>
          <w:szCs w:val="20"/>
          <w:color w:val="auto"/>
        </w:rPr>
      </w:pPr>
      <w:r>
        <w:rPr>
          <w:rFonts w:ascii="Times New Roman" w:cs="Times New Roman" w:eastAsia="Times New Roman" w:hAnsi="Times New Roman"/>
          <w:sz w:val="18"/>
          <w:szCs w:val="18"/>
          <w:color w:val="auto"/>
        </w:rPr>
        <w:t>The Company’s commercial loans and investments were comprised of the following at December 31, 2023 (in thousands):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Original</w:t>
            </w: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Current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Date of</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9"/>
              </w:rPr>
              <w:t>Face</w:t>
            </w:r>
          </w:p>
        </w:tc>
        <w:tc>
          <w:tcPr>
            <w:tcW w:w="100" w:type="dxa"/>
            <w:vAlign w:val="bottom"/>
          </w:tcPr>
          <w:p>
            <w:pPr>
              <w:spacing w:after="0"/>
              <w:rPr>
                <w:sz w:val="14"/>
                <w:szCs w:val="14"/>
                <w:color w:val="auto"/>
              </w:rPr>
            </w:pPr>
          </w:p>
        </w:tc>
        <w:tc>
          <w:tcPr>
            <w:tcW w:w="84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Carrying</w:t>
            </w:r>
          </w:p>
        </w:tc>
        <w:tc>
          <w:tcPr>
            <w:tcW w:w="860" w:type="dxa"/>
            <w:vAlign w:val="bottom"/>
          </w:tcPr>
          <w:p>
            <w:pPr>
              <w:spacing w:after="0"/>
              <w:rPr>
                <w:sz w:val="14"/>
                <w:szCs w:val="14"/>
                <w:color w:val="auto"/>
              </w:rPr>
            </w:pPr>
          </w:p>
        </w:tc>
      </w:tr>
      <w:tr>
        <w:trPr>
          <w:trHeight w:val="1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Investment</w:t>
            </w: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Maturity Date</w:t>
            </w:r>
          </w:p>
        </w:tc>
        <w:tc>
          <w:tcPr>
            <w:tcW w:w="10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9"/>
              </w:rPr>
              <w:t>Coupon Rate</w:t>
            </w:r>
          </w:p>
        </w:tc>
      </w:tr>
      <w:tr>
        <w:trPr>
          <w:trHeight w:val="138"/>
        </w:trPr>
        <w:tc>
          <w:tcPr>
            <w:tcW w:w="276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7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Development – Greenwood, IN</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2023</w:t>
            </w:r>
          </w:p>
        </w:tc>
        <w:tc>
          <w:tcPr>
            <w:tcW w:w="11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5"/>
                <w:szCs w:val="15"/>
                <w:color w:val="auto"/>
              </w:rPr>
              <w:t>July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6,984</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r>
      <w:tr>
        <w:trPr>
          <w:trHeight w:val="145"/>
        </w:trPr>
        <w:tc>
          <w:tcPr>
            <w:tcW w:w="29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5"/>
                <w:szCs w:val="15"/>
                <w:color w:val="auto"/>
              </w:rPr>
              <w:t>Construction Loan – Wawa Land</w:t>
            </w: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7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Development – Antioch, TN</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2023</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color w:val="auto"/>
              </w:rPr>
              <w:t>October 2025</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4,568</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11.00%</w:t>
            </w:r>
          </w:p>
        </w:tc>
      </w:tr>
      <w:tr>
        <w:trPr>
          <w:trHeight w:val="162"/>
        </w:trPr>
        <w:tc>
          <w:tcPr>
            <w:tcW w:w="292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5"/>
                <w:szCs w:val="15"/>
                <w:color w:val="auto"/>
              </w:rPr>
              <w:t>Mortgage Note – Portfolio</w:t>
            </w:r>
          </w:p>
        </w:tc>
        <w:tc>
          <w:tcPr>
            <w:tcW w:w="116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November 2023</w:t>
            </w:r>
          </w:p>
        </w:tc>
        <w:tc>
          <w:tcPr>
            <w:tcW w:w="116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November 2026</w:t>
            </w: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24,000</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23,885</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8.75%</w:t>
            </w:r>
          </w:p>
        </w:tc>
      </w:tr>
      <w:tr>
        <w:trPr>
          <w:trHeight w:val="195"/>
        </w:trPr>
        <w:tc>
          <w:tcPr>
            <w:tcW w:w="27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38,625</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35,629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35,437</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r>
      <w:tr>
        <w:trPr>
          <w:trHeight w:val="156"/>
        </w:trPr>
        <w:tc>
          <w:tcPr>
            <w:tcW w:w="29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CECL Reserve</w:t>
            </w: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color w:val="auto"/>
              </w:rPr>
              <w:t>(357)</w:t>
            </w:r>
          </w:p>
        </w:tc>
        <w:tc>
          <w:tcPr>
            <w:tcW w:w="860" w:type="dxa"/>
            <w:vAlign w:val="bottom"/>
            <w:shd w:val="clear" w:color="auto" w:fill="CCEEFF"/>
          </w:tcPr>
          <w:p>
            <w:pPr>
              <w:spacing w:after="0"/>
              <w:rPr>
                <w:sz w:val="13"/>
                <w:szCs w:val="13"/>
                <w:color w:val="auto"/>
              </w:rPr>
            </w:pPr>
          </w:p>
        </w:tc>
      </w:tr>
      <w:tr>
        <w:trPr>
          <w:trHeight w:val="169"/>
        </w:trPr>
        <w:tc>
          <w:tcPr>
            <w:tcW w:w="29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5"/>
                <w:szCs w:val="15"/>
                <w:color w:val="auto"/>
              </w:rPr>
              <w:t>Total Commercial Loans and Investments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color w:val="auto"/>
              </w:rPr>
              <w:t>35,080</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2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79" w:firstLine="389"/>
        <w:spacing w:after="0" w:line="282" w:lineRule="auto"/>
        <w:rPr>
          <w:sz w:val="20"/>
          <w:szCs w:val="20"/>
          <w:color w:val="auto"/>
        </w:rPr>
      </w:pPr>
      <w:r>
        <w:rPr>
          <w:rFonts w:ascii="Times New Roman" w:cs="Times New Roman" w:eastAsia="Times New Roman" w:hAnsi="Times New Roman"/>
          <w:sz w:val="18"/>
          <w:szCs w:val="18"/>
          <w:color w:val="auto"/>
        </w:rPr>
        <w:t>The carrying value of the commercial loans and investments consisted of the following at June 30, 2024 and December 31,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210"/>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45,465</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35,629</w:t>
            </w:r>
          </w:p>
        </w:tc>
        <w:tc>
          <w:tcPr>
            <w:tcW w:w="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Origination Fees</w:t>
            </w: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CECL Reserve</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(455)</w:t>
            </w:r>
          </w:p>
        </w:tc>
        <w:tc>
          <w:tcPr>
            <w:tcW w:w="5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0" w:type="dxa"/>
            <w:vAlign w:val="bottom"/>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Commercial Loans and Investments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44,730</w:t>
            </w:r>
          </w:p>
        </w:tc>
        <w:tc>
          <w:tcPr>
            <w:tcW w:w="2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5. FAIR VALUE OF FINANCIAL INSTRUMENTS</w:t>
      </w:r>
    </w:p>
    <w:p>
      <w:pPr>
        <w:spacing w:after="0" w:line="216"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value and estimated fair value of the Company’s financial instruments not carried at fair value on the consolidated balance sheets at June 30, 2024 and December 31, 2023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2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60" w:type="dxa"/>
            <w:vAlign w:val="bottom"/>
          </w:tcPr>
          <w:p>
            <w:pPr>
              <w:spacing w:after="0"/>
              <w:rPr>
                <w:sz w:val="20"/>
                <w:szCs w:val="20"/>
                <w:color w:val="auto"/>
              </w:rPr>
            </w:pPr>
          </w:p>
        </w:tc>
        <w:tc>
          <w:tcPr>
            <w:tcW w:w="23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33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1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50"/>
              <w:spacing w:after="0" w:line="188" w:lineRule="exact"/>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32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 Level 1</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r>
      <w:tr>
        <w:trPr>
          <w:trHeight w:val="216"/>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 Level 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r>
      <w:tr>
        <w:trPr>
          <w:trHeight w:val="198"/>
        </w:trPr>
        <w:tc>
          <w:tcPr>
            <w:tcW w:w="332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Commercial Loans and Investments -</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44,730</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46,762</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35,080</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36,288</w:t>
            </w:r>
          </w:p>
        </w:tc>
      </w:tr>
      <w:tr>
        <w:trPr>
          <w:trHeight w:val="198"/>
        </w:trPr>
        <w:tc>
          <w:tcPr>
            <w:tcW w:w="33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Obligation Under Participation Agreement</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Level 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13,837</w:t>
            </w:r>
          </w:p>
        </w:tc>
        <w:tc>
          <w:tcPr>
            <w:tcW w:w="1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Level 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254,539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258,613</w:t>
            </w:r>
          </w:p>
        </w:tc>
      </w:tr>
    </w:tbl>
    <w:p>
      <w:pPr>
        <w:spacing w:after="0" w:line="225" w:lineRule="exact"/>
        <w:rPr>
          <w:sz w:val="20"/>
          <w:szCs w:val="20"/>
          <w:color w:val="auto"/>
        </w:rPr>
      </w:pPr>
    </w:p>
    <w:p>
      <w:pPr>
        <w:jc w:val="both"/>
        <w:ind w:left="60" w:right="59" w:firstLine="324"/>
        <w:spacing w:after="0" w:line="236" w:lineRule="auto"/>
        <w:rPr>
          <w:sz w:val="20"/>
          <w:szCs w:val="20"/>
          <w:color w:val="auto"/>
        </w:rPr>
      </w:pPr>
      <w:r>
        <w:rPr>
          <w:rFonts w:ascii="Times New Roman" w:cs="Times New Roman" w:eastAsia="Times New Roman" w:hAnsi="Times New Roman"/>
          <w:sz w:val="18"/>
          <w:szCs w:val="18"/>
          <w:color w:val="auto"/>
        </w:rPr>
        <w:t>The estimated fair values are not necessarily indicative of the amount the Company could realize on disposition of the financial instruments. The use of different market assumptions or estimation methodologies could have a material effect on the estimated fair value amounts.</w:t>
      </w:r>
    </w:p>
    <w:p>
      <w:pPr>
        <w:spacing w:after="0" w:line="186" w:lineRule="exact"/>
        <w:rPr>
          <w:sz w:val="20"/>
          <w:szCs w:val="20"/>
          <w:color w:val="auto"/>
        </w:rPr>
      </w:pPr>
    </w:p>
    <w:p>
      <w:pPr>
        <w:jc w:val="both"/>
        <w:ind w:left="60" w:right="79" w:firstLine="324"/>
        <w:spacing w:after="0" w:line="236" w:lineRule="auto"/>
        <w:rPr>
          <w:sz w:val="20"/>
          <w:szCs w:val="20"/>
          <w:color w:val="auto"/>
        </w:rPr>
      </w:pPr>
      <w:r>
        <w:rPr>
          <w:rFonts w:ascii="Times New Roman" w:cs="Times New Roman" w:eastAsia="Times New Roman" w:hAnsi="Times New Roman"/>
          <w:sz w:val="18"/>
          <w:szCs w:val="18"/>
          <w:color w:val="auto"/>
        </w:rPr>
        <w:t>The following tables present the fair value of assets measured on a recurring basis by level as of June 30, 2024 and December 31, 2023 (in thousands). See Note 14, “Interest Rate Swaps” for further disclosure related to the Company’s interest rate swaps.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7"/>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Fair Value at Reporting Date Using</w:t>
            </w:r>
          </w:p>
        </w:tc>
      </w:tr>
      <w:tr>
        <w:trPr>
          <w:trHeight w:val="187"/>
        </w:trPr>
        <w:tc>
          <w:tcPr>
            <w:tcW w:w="3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38"/>
        </w:trPr>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Inputs (Level 2)</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Credit Facility Interest Rate Swap </w:t>
            </w:r>
            <w:r>
              <w:rPr>
                <w:rFonts w:ascii="Times New Roman" w:cs="Times New Roman" w:eastAsia="Times New Roman" w:hAnsi="Times New Roman"/>
                <w:sz w:val="25"/>
                <w:szCs w:val="25"/>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3380" w:type="dxa"/>
            <w:vAlign w:val="bottom"/>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2026 Term Loan Interest Rate Swap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8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7"/>
                <w:szCs w:val="17"/>
                <w:color w:val="auto"/>
              </w:rPr>
              <w:t xml:space="preserve">2027 Term Loan Interest Rate Swap </w:t>
            </w:r>
            <w:r>
              <w:rPr>
                <w:rFonts w:ascii="Times New Roman" w:cs="Times New Roman" w:eastAsia="Times New Roman" w:hAnsi="Times New Roman"/>
                <w:sz w:val="25"/>
                <w:szCs w:val="25"/>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355"/>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Credit Facility Interest Rate Swap </w:t>
            </w:r>
            <w:r>
              <w:rPr>
                <w:rFonts w:ascii="Times New Roman" w:cs="Times New Roman" w:eastAsia="Times New Roman" w:hAnsi="Times New Roman"/>
                <w:sz w:val="26"/>
                <w:szCs w:val="26"/>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8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-27305</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8" w:lineRule="exact"/>
        <w:rPr>
          <w:sz w:val="20"/>
          <w:szCs w:val="20"/>
          <w:color w:val="auto"/>
        </w:rPr>
      </w:pPr>
    </w:p>
    <w:p>
      <w:pPr>
        <w:jc w:val="both"/>
        <w:ind w:left="380" w:right="79" w:hanging="330"/>
        <w:spacing w:after="0" w:line="229"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interest rate swaps to fix SOFR and achieve a weighted average fixed interest rate of 2.05% plus 0.10% and the applicable spread on the $100.0 million 2026 Term Loan (hereinafter defined) balance. See Note 14, “Interest Rate Swaps” for further disclosure related to the Company’s interest rate swaps.</w:t>
      </w:r>
    </w:p>
    <w:p>
      <w:pPr>
        <w:jc w:val="both"/>
        <w:ind w:left="380" w:right="79" w:hanging="330"/>
        <w:spacing w:after="0" w:line="221"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interest rate swaps to fix SOFR and achieve a weighted average fixed interest rate of 1.18% plus 0.10% and the applicable spread on the $100.0 million 2027 Term Loan (hereinafter defined) balance. See Note 14, “Interest Rate Swaps” for further disclosure related to the Company’s interest rate swaps. The $6.2 million fair value includes $4.3 million attributable to an $80.0 million forward starting swap effective November 29, 2024 as seen in Note 14, “Interest Rate Swaps”.</w:t>
      </w:r>
    </w:p>
    <w:p>
      <w:pPr>
        <w:spacing w:after="0" w:line="1" w:lineRule="exact"/>
        <w:rPr>
          <w:rFonts w:ascii="Times New Roman" w:cs="Times New Roman" w:eastAsia="Times New Roman" w:hAnsi="Times New Roman"/>
          <w:sz w:val="11"/>
          <w:szCs w:val="11"/>
          <w:color w:val="auto"/>
        </w:rPr>
      </w:pPr>
    </w:p>
    <w:p>
      <w:pPr>
        <w:jc w:val="both"/>
        <w:ind w:left="380" w:right="79" w:hanging="330"/>
        <w:spacing w:after="0" w:line="233" w:lineRule="auto"/>
        <w:tabs>
          <w:tab w:leader="none" w:pos="38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utilized an interest rate swap to fix SOFR and achieve a fixed interest rate of 3.21% plus 0.10% and the applicable spread on $50.0 million of the outstanding balance on the Credit Facility (hereinafter defined). See Note 14, “Interest Rate Swaps” for further disclosure related to the Company’s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6. INTANGIBLE ASSETS AND LIABILITIES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Intangible assets and liabilities consist of the value of above-market and below-market leases, the value of in-place leases, and the value of leasing costs, based in each case on their fair values. Intangible assets and liabilities consisted of the following as of June 30, 2024 and December 31, 2023 (in thousands):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Assets:</w:t>
            </w: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of In-Place Leases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48,435</w:t>
            </w:r>
          </w:p>
        </w:tc>
        <w:tc>
          <w:tcPr>
            <w:tcW w:w="200" w:type="dxa"/>
            <w:vAlign w:val="bottom"/>
          </w:tcPr>
          <w:p>
            <w:pPr>
              <w:spacing w:after="0"/>
              <w:rPr>
                <w:sz w:val="18"/>
                <w:szCs w:val="18"/>
                <w:color w:val="auto"/>
              </w:rPr>
            </w:pPr>
          </w:p>
        </w:tc>
        <w:tc>
          <w:tcPr>
            <w:tcW w:w="54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48,267</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Above Market In-Place Leases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 w:type="dxa"/>
            <w:vAlign w:val="bottom"/>
          </w:tcPr>
          <w:p>
            <w:pPr>
              <w:spacing w:after="0"/>
              <w:rPr>
                <w:sz w:val="18"/>
                <w:szCs w:val="18"/>
                <w:color w:val="auto"/>
              </w:rPr>
            </w:pPr>
          </w:p>
        </w:tc>
      </w:tr>
      <w:tr>
        <w:trPr>
          <w:trHeight w:val="216"/>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Value of Intangible Leasing Costs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19,123</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20" w:type="dxa"/>
            <w:vAlign w:val="bottom"/>
          </w:tcPr>
          <w:p>
            <w:pPr>
              <w:spacing w:after="0"/>
              <w:rPr>
                <w:sz w:val="18"/>
                <w:szCs w:val="18"/>
                <w:color w:val="auto"/>
              </w:rPr>
            </w:pPr>
          </w:p>
        </w:tc>
      </w:tr>
      <w:tr>
        <w:trPr>
          <w:trHeight w:val="209"/>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70,074</w:t>
            </w:r>
          </w:p>
        </w:tc>
        <w:tc>
          <w:tcPr>
            <w:tcW w:w="20" w:type="dxa"/>
            <w:vAlign w:val="bottom"/>
          </w:tcPr>
          <w:p>
            <w:pPr>
              <w:spacing w:after="0"/>
              <w:rPr>
                <w:sz w:val="18"/>
                <w:szCs w:val="18"/>
                <w:color w:val="auto"/>
              </w:rPr>
            </w:pPr>
          </w:p>
        </w:tc>
      </w:tr>
      <w:tr>
        <w:trPr>
          <w:trHeight w:val="216"/>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(24,739)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(20,782)</w:t>
            </w:r>
          </w:p>
        </w:tc>
        <w:tc>
          <w:tcPr>
            <w:tcW w:w="20" w:type="dxa"/>
            <w:vAlign w:val="bottom"/>
          </w:tcPr>
          <w:p>
            <w:pPr>
              <w:spacing w:after="0"/>
              <w:rPr>
                <w:sz w:val="18"/>
                <w:szCs w:val="18"/>
                <w:color w:val="auto"/>
              </w:rPr>
            </w:pPr>
          </w:p>
        </w:tc>
      </w:tr>
      <w:tr>
        <w:trPr>
          <w:trHeight w:val="209"/>
        </w:trPr>
        <w:tc>
          <w:tcPr>
            <w:tcW w:w="55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Sub-total Intangible Lease Assets—Net</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45,761</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49,292</w:t>
            </w:r>
          </w:p>
        </w:tc>
        <w:tc>
          <w:tcPr>
            <w:tcW w:w="20" w:type="dxa"/>
            <w:vAlign w:val="bottom"/>
          </w:tcPr>
          <w:p>
            <w:pPr>
              <w:spacing w:after="0"/>
              <w:rPr>
                <w:sz w:val="18"/>
                <w:szCs w:val="18"/>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Value of Below Market In-Place Leases</w:t>
            </w:r>
          </w:p>
        </w:tc>
        <w:tc>
          <w:tcPr>
            <w:tcW w:w="1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(7,024)</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20" w:type="dxa"/>
            <w:vAlign w:val="bottom"/>
          </w:tcPr>
          <w:p>
            <w:pPr>
              <w:spacing w:after="0"/>
              <w:rPr>
                <w:sz w:val="18"/>
                <w:szCs w:val="18"/>
                <w:color w:val="auto"/>
              </w:rPr>
            </w:pPr>
          </w:p>
        </w:tc>
      </w:tr>
      <w:tr>
        <w:trPr>
          <w:trHeight w:val="209"/>
        </w:trPr>
        <w:tc>
          <w:tcPr>
            <w:tcW w:w="5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w:t>
            </w: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Pr>
          <w:p>
            <w:pPr>
              <w:spacing w:after="0"/>
              <w:rPr>
                <w:sz w:val="18"/>
                <w:szCs w:val="18"/>
                <w:color w:val="auto"/>
              </w:rPr>
            </w:pPr>
          </w:p>
        </w:tc>
      </w:tr>
      <w:tr>
        <w:trPr>
          <w:trHeight w:val="209"/>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Sub-total Intangible Lease Liabilities—Net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w:t>
            </w: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0" w:type="dxa"/>
            <w:vAlign w:val="bottom"/>
          </w:tcPr>
          <w:p>
            <w:pPr>
              <w:spacing w:after="0"/>
              <w:rPr>
                <w:sz w:val="18"/>
                <w:szCs w:val="18"/>
                <w:color w:val="auto"/>
              </w:rPr>
            </w:pPr>
          </w:p>
        </w:tc>
      </w:tr>
      <w:tr>
        <w:trPr>
          <w:trHeight w:val="21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and Liabilities—Net</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40,744</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44,385</w:t>
            </w:r>
          </w:p>
        </w:tc>
        <w:tc>
          <w:tcPr>
            <w:tcW w:w="2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39" w:firstLine="38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net amortization of intangible assets and liabilities during the three and six months ended June 30, 2024 and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120" w:type="dxa"/>
            <w:vAlign w:val="bottom"/>
          </w:tcPr>
          <w:p>
            <w:pPr>
              <w:spacing w:after="0"/>
              <w:rPr>
                <w:sz w:val="18"/>
                <w:szCs w:val="18"/>
                <w:color w:val="auto"/>
              </w:rPr>
            </w:pPr>
          </w:p>
        </w:tc>
        <w:tc>
          <w:tcPr>
            <w:tcW w:w="1320" w:type="dxa"/>
            <w:vAlign w:val="bottom"/>
            <w:tcBorders>
              <w:top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to Properties Revenue</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7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660" w:type="dxa"/>
            <w:vAlign w:val="bottom"/>
            <w:tcBorders>
              <w:top w:val="single" w:sz="8" w:color="CCEEFF"/>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Amortization of Intangible Assets and</w:t>
            </w: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vMerge w:val="restart"/>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estimated future amortization expense (income) related to net intangible assets and liabilities is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Net Future</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Amortization of</w:t>
            </w:r>
          </w:p>
        </w:tc>
      </w:tr>
      <w:tr>
        <w:trPr>
          <w:trHeight w:val="216"/>
        </w:trPr>
        <w:tc>
          <w:tcPr>
            <w:tcW w:w="3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Future Amortization</w:t>
            </w:r>
          </w:p>
        </w:tc>
        <w:tc>
          <w:tcPr>
            <w:tcW w:w="12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Future Accretion to</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Intangible Assets and</w:t>
            </w:r>
          </w:p>
        </w:tc>
      </w:tr>
      <w:tr>
        <w:trPr>
          <w:trHeight w:val="238"/>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20" w:type="dxa"/>
            <w:vAlign w:val="bottom"/>
          </w:tcPr>
          <w:p>
            <w:pPr>
              <w:spacing w:after="0"/>
              <w:rPr>
                <w:sz w:val="20"/>
                <w:szCs w:val="20"/>
                <w:color w:val="auto"/>
              </w:rPr>
            </w:pPr>
          </w:p>
        </w:tc>
        <w:tc>
          <w:tcPr>
            <w:tcW w:w="16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0"/>
                <w:szCs w:val="20"/>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Property Revenue</w:t>
            </w:r>
          </w:p>
        </w:tc>
        <w:tc>
          <w:tcPr>
            <w:tcW w:w="18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r>
      <w:tr>
        <w:trPr>
          <w:trHeight w:val="210"/>
        </w:trPr>
        <w:tc>
          <w:tcPr>
            <w:tcW w:w="3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(580)</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r>
      <w:tr>
        <w:trPr>
          <w:trHeight w:val="216"/>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w:t>
            </w:r>
          </w:p>
        </w:tc>
      </w:tr>
      <w:tr>
        <w:trPr>
          <w:trHeight w:val="21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3,828</w:t>
            </w:r>
          </w:p>
        </w:tc>
      </w:tr>
      <w:tr>
        <w:trPr>
          <w:trHeight w:val="21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8,082</w:t>
            </w:r>
          </w:p>
        </w:tc>
      </w:tr>
      <w:tr>
        <w:trPr>
          <w:trHeight w:val="21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40,744</w:t>
            </w:r>
          </w:p>
        </w:tc>
      </w:tr>
      <w:tr>
        <w:trPr>
          <w:trHeight w:val="20"/>
        </w:trPr>
        <w:tc>
          <w:tcPr>
            <w:tcW w:w="3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the weighted average amortization period of both the total intangible assets and liabilities was 8.8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7. PROVISION FOR IMPAIRMENT</w:t>
      </w:r>
    </w:p>
    <w:p>
      <w:pPr>
        <w:spacing w:after="0" w:line="227" w:lineRule="exact"/>
        <w:rPr>
          <w:sz w:val="20"/>
          <w:szCs w:val="20"/>
          <w:color w:val="auto"/>
        </w:rPr>
      </w:pPr>
    </w:p>
    <w:p>
      <w:pPr>
        <w:jc w:val="both"/>
        <w:ind w:left="60" w:right="59"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Income Properties</w:t>
      </w:r>
      <w:r>
        <w:rPr>
          <w:rFonts w:ascii="Times New Roman" w:cs="Times New Roman" w:eastAsia="Times New Roman" w:hAnsi="Times New Roman"/>
          <w:sz w:val="18"/>
          <w:szCs w:val="18"/>
          <w:color w:val="auto"/>
        </w:rPr>
        <w:t>. The Company assesses the impairment of long-lived assets whenever events or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indicate that the carrying amount of an asset may not be recoverable. The fair value of long-lived assets required to be assessed for impairment is determined on a non-recurring basis using Level 3 inputs in the fair value hierarchy. These Level 3 inputs may include, but are not limited to, letters of intent on specific properties, executed purchase and sale agreements on specific properties, third person valuations, discounted cash flow models, and other model-based techniques.</w:t>
      </w:r>
    </w:p>
    <w:p>
      <w:pPr>
        <w:spacing w:after="0" w:line="184"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a $0.6 million impairment charge representing the provision for losses related to three assets within the Company’s income properties segment, which are classified as held for sale. The impairment charge of $0.6 million is equal to the estimated sales prices for these three assets pursuant to a letter of intent for sale executed during the three months ended June 30, 2024, less the book value of the assets as of June 30, 2024, less estimated costs to sell.</w:t>
      </w:r>
    </w:p>
    <w:p>
      <w:pPr>
        <w:spacing w:after="0" w:line="183"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There were no impairment charges on the Company’s income property portfolio during the three or six months ended June 30, 2023.</w:t>
      </w:r>
    </w:p>
    <w:p>
      <w:pPr>
        <w:spacing w:after="0" w:line="16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Commercial Loans and Investments</w:t>
      </w:r>
      <w:r>
        <w:rPr>
          <w:rFonts w:ascii="Times New Roman" w:cs="Times New Roman" w:eastAsia="Times New Roman" w:hAnsi="Times New Roman"/>
          <w:sz w:val="18"/>
          <w:szCs w:val="18"/>
          <w:color w:val="auto"/>
        </w:rPr>
        <w:t>. The Company evaluates the collectability of its commercial loans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on a quarterly basis or whenever events or changes in circumstances indicate that the carrying amount of an asset may not be recoverable. The Company accounts for provisions for expected credit losses in accordance with ASC Topic 326, Measurement of Credit Losses on Financial Instruments. Changes in the Company’s allowance for credit losses are presented within change in provision for impairment in the accompanying consolidated statements of operations.</w:t>
      </w:r>
    </w:p>
    <w:p>
      <w:pPr>
        <w:spacing w:after="0" w:line="185"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a charge of $0.1 million representing the provision for credit losses related to our commercial loans and investments. The charge of $0.1 million was driven by the initial estimated CECL allowance based on our investment activity during the six months ended June 30, 2024. We are unable to use historical data to estimate expected credit losses as we have incurred no losses to date. Management utilizes a loss-rate method and considers macroeconomic factors to estimate its CECL allowance, which is calculated based on the amortized cost basis of the commercial loans.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such charges during the three or six months ended June 30, 2023.</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NOTE 8. OTHER ASSETS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7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4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5780" w:type="dxa"/>
            <w:vAlign w:val="bottom"/>
            <w:tcBorders>
              <w:top w:val="single" w:sz="8" w:color="CCEEFF"/>
            </w:tcBorders>
            <w:gridSpan w:val="4"/>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Tenant Receivables—Net of Allowance for Doubtful Accounts </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on Acquisitions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Prepaid Expenses, Deposits, and Other</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16"/>
        </w:trPr>
        <w:tc>
          <w:tcPr>
            <w:tcW w:w="57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Costs—Net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w:t>
            </w:r>
          </w:p>
        </w:tc>
      </w:tr>
      <w:tr>
        <w:trPr>
          <w:trHeight w:val="216"/>
        </w:trPr>
        <w:tc>
          <w:tcPr>
            <w:tcW w:w="5780" w:type="dxa"/>
            <w:vAlign w:val="bottom"/>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Right-of-Use Asset </w:t>
            </w:r>
            <w:r>
              <w:rPr>
                <w:rFonts w:ascii="Times New Roman" w:cs="Times New Roman" w:eastAsia="Times New Roman" w:hAnsi="Times New Roman"/>
                <w:sz w:val="25"/>
                <w:szCs w:val="25"/>
                <w:color w:val="auto"/>
                <w:vertAlign w:val="superscript"/>
              </w:rPr>
              <w:t>(2)</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r>
      <w:tr>
        <w:trPr>
          <w:trHeight w:val="209"/>
        </w:trPr>
        <w:tc>
          <w:tcPr>
            <w:tcW w:w="57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a $0.2 million and $0.4 million allowance for doubtful accounts as of June 30, 2024 and December 31, 2023, respectively.</w:t>
      </w:r>
    </w:p>
    <w:p>
      <w:pPr>
        <w:spacing w:after="0" w:line="3" w:lineRule="exact"/>
        <w:rPr>
          <w:rFonts w:ascii="Times New Roman" w:cs="Times New Roman" w:eastAsia="Times New Roman" w:hAnsi="Times New Roman"/>
          <w:sz w:val="11"/>
          <w:szCs w:val="11"/>
          <w:color w:val="auto"/>
        </w:rPr>
      </w:pPr>
    </w:p>
    <w:p>
      <w:pPr>
        <w:ind w:left="380" w:hanging="330"/>
        <w:spacing w:after="0"/>
        <w:tabs>
          <w:tab w:leader="none" w:pos="38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right-of-use asset balance as of June 30, 2024.</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9. OPERATING LAND LEASES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is the lessee under operating land leases for certain of its properties. FASB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requires a lessee to recognize right-of-use assets and lease liabilities that arise from leases, whether qualifying as an operating or finance lease. As of June 30, 2024 and December 31, 2023, the Company’s right-of-use assets totaled $1.3 million and $1.4 million, respectively, and the corresponding lease liabilities totaled $1.3 million and $1.5 million, respectively, which balances are reflected within other assets and accounts payable, accrued expenses, and other liabilities, respectively, on the consolidated balance sheets. The right-of-use assets and lease liabilities are measured based on the present value of the lease payments utilizing discount rates estimated to be equal to that which the Company would pay to borrow on a collateralized basis over a similar term, for an amount equal to the lease payments, in a similar economic environment.</w:t>
      </w:r>
    </w:p>
    <w:p>
      <w:pPr>
        <w:spacing w:after="0" w:line="190"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land leases do not include variable lease payments and generally provide renewal options, at the Company’s election, to extend the terms of the respective leases. Renewal option periods are included in the calculation of the right-of-use assets and corresponding lease liabilities when it is reasonably certain that the Company, as lessee, will exercise the option to extend the lease.</w:t>
      </w:r>
    </w:p>
    <w:p>
      <w:pPr>
        <w:spacing w:after="0" w:line="180"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Amortization of right-of-use assets for operating land leases is recognized on a straight-line basis over the term of the lease and is included within real estate expenses in the consolidated statements of operations. Amortization totaled less than $0.1 million and $0.1 million during each of the three and six month periods ended June 30, 2024 and 2023, respectively.</w:t>
      </w:r>
    </w:p>
    <w:p>
      <w:pPr>
        <w:spacing w:after="0" w:line="166"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reflects a summary of operating land leases, under which the Company is the lessee, for the three and six months ended June 30, 2024 and 2023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50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18"/>
                <w:szCs w:val="18"/>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60" w:type="dxa"/>
            <w:vAlign w:val="bottom"/>
          </w:tcPr>
          <w:p>
            <w:pPr>
              <w:spacing w:after="0"/>
              <w:rPr>
                <w:sz w:val="18"/>
                <w:szCs w:val="18"/>
                <w:color w:val="auto"/>
              </w:rPr>
            </w:pPr>
          </w:p>
        </w:tc>
      </w:tr>
      <w:tr>
        <w:trPr>
          <w:trHeight w:val="196"/>
        </w:trPr>
        <w:tc>
          <w:tcPr>
            <w:tcW w:w="35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Outflows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tcPr>
          <w:p>
            <w:pPr>
              <w:spacing w:after="0"/>
              <w:rPr>
                <w:sz w:val="18"/>
                <w:szCs w:val="18"/>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7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198"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Minimum future lease payments under non-cancelable operating land leases, having remaining terms in excess of one year subsequent to June 30, 2024, are summarized as follows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9"/>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16"/>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Imputed Interest</w:t>
            </w:r>
          </w:p>
        </w:tc>
        <w:tc>
          <w:tcPr>
            <w:tcW w:w="10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 Liability</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r>
      <w:tr>
        <w:trPr>
          <w:trHeight w:val="20"/>
        </w:trPr>
        <w:tc>
          <w:tcPr>
            <w:tcW w:w="6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10. ASSETS HELD FOR SALE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Assets held for sale consisted of the following (in thousands):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46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8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09"/>
        </w:trPr>
        <w:tc>
          <w:tcPr>
            <w:tcW w:w="4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18"/>
                <w:szCs w:val="18"/>
                <w:color w:val="auto"/>
              </w:rPr>
            </w:pPr>
          </w:p>
        </w:tc>
        <w:tc>
          <w:tcPr>
            <w:tcW w:w="18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r>
      <w:tr>
        <w:trPr>
          <w:trHeight w:val="209"/>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20" w:type="dxa"/>
            <w:vAlign w:val="bottom"/>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Lease Assets—Net</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Lease Liabilities—Net</w:t>
            </w:r>
          </w:p>
        </w:tc>
        <w:tc>
          <w:tcPr>
            <w:tcW w:w="3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Prior to Provision for Impairment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0" w:type="dxa"/>
            <w:vAlign w:val="bottom"/>
          </w:tcPr>
          <w:p>
            <w:pPr>
              <w:spacing w:after="0"/>
              <w:rPr>
                <w:sz w:val="18"/>
                <w:szCs w:val="18"/>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Impairment</w:t>
            </w:r>
          </w:p>
        </w:tc>
        <w:tc>
          <w:tcPr>
            <w:tcW w:w="3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(3,453)</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20" w:type="dxa"/>
            <w:vAlign w:val="bottom"/>
          </w:tcPr>
          <w:p>
            <w:pPr>
              <w:spacing w:after="0"/>
              <w:rPr>
                <w:sz w:val="18"/>
                <w:szCs w:val="18"/>
                <w:color w:val="auto"/>
              </w:rPr>
            </w:pPr>
          </w:p>
        </w:tc>
      </w:t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11. ACCOUNTS PAYABLE, ACCRUED EXPENSES, AND OTHER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40" w:type="dxa"/>
            <w:vAlign w:val="bottom"/>
            <w:tcBorders>
              <w:bottom w:val="single" w:sz="8" w:color="auto"/>
            </w:tcBorders>
          </w:tcPr>
          <w:p>
            <w:pPr>
              <w:spacing w:after="0"/>
              <w:rPr>
                <w:sz w:val="20"/>
                <w:szCs w:val="20"/>
                <w:color w:val="auto"/>
              </w:rPr>
            </w:pPr>
          </w:p>
        </w:tc>
      </w:tr>
      <w:tr>
        <w:trPr>
          <w:trHeight w:val="210"/>
        </w:trPr>
        <w:tc>
          <w:tcPr>
            <w:tcW w:w="22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18"/>
                <w:szCs w:val="18"/>
                <w:color w:val="auto"/>
              </w:rPr>
            </w:pP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9"/>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Tenant Security Deposits</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CTO</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 Reserves</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16"/>
        </w:trPr>
        <w:tc>
          <w:tcPr>
            <w:tcW w:w="518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7"/>
                <w:szCs w:val="17"/>
                <w:color w:val="auto"/>
              </w:rPr>
              <w:t xml:space="preserve">Operating Leases - Liability </w:t>
            </w:r>
            <w:r>
              <w:rPr>
                <w:rFonts w:ascii="Times New Roman" w:cs="Times New Roman" w:eastAsia="Times New Roman" w:hAnsi="Times New Roman"/>
                <w:sz w:val="25"/>
                <w:szCs w:val="25"/>
                <w:color w:val="auto"/>
                <w:vertAlign w:val="superscript"/>
              </w:rPr>
              <w:t>(1)</w:t>
            </w: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1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Accounts Payable, Accrued Expenses, and Other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r>
      <w:tr>
        <w:trPr>
          <w:trHeight w:val="20"/>
        </w:trPr>
        <w:tc>
          <w:tcPr>
            <w:tcW w:w="22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9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tcPr>
          <w:p>
            <w:pPr>
              <w:spacing w:after="0"/>
              <w:rPr>
                <w:sz w:val="7"/>
                <w:szCs w:val="7"/>
                <w:color w:val="auto"/>
              </w:rPr>
            </w:pPr>
          </w:p>
        </w:tc>
      </w:tr>
    </w:tbl>
    <w:p>
      <w:pPr>
        <w:spacing w:after="0" w:line="58" w:lineRule="exact"/>
        <w:rPr>
          <w:sz w:val="20"/>
          <w:szCs w:val="20"/>
          <w:color w:val="auto"/>
        </w:rPr>
      </w:pPr>
    </w:p>
    <w:p>
      <w:pPr>
        <w:ind w:left="380" w:hanging="330"/>
        <w:spacing w:after="0"/>
        <w:tabs>
          <w:tab w:leader="none" w:pos="3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See Note 9, “Operating Land Leases” for further disclosure related to the Company’s operating lease liability balance as of June 30, 2024.</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12. OBLIGATION UNDER PARTICIPATION AGREEMENT</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 xml:space="preserve">As discussed in Note 2, “Summary of Significant Accounting Policies,” the Company follows the guidance in FASB Topic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when accounting for participation in commercial loans and investments. ASC 860 states, if the sale of a participation does not have all of the characteristics of a participating interest, it does not achieve sale accounting and is treated as a secured borrowing and accordingly, the original commercial loan investment remains on the Company’s consolidated balance sheets and the proceeds are recorded as an obligation under participation agreement. As of June 30, 2024, the Company’s obligation under participation agreement had a carrying value of $13.6 million, and the carrying value of the loan that is associated with this obligation under participation agreement was $13.5 million, net of a CECL reserve of $0.1 million. The interest rate on the obligation under participation agreement was 8.0% as of June 30, 2024. As of December 31, 2023, there were no such obligations under participation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13. LONG-TERM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 Company’s outstanding indebtedness, at face value, was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Wtd. Avg.</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Stated Interest</w:t>
            </w:r>
          </w:p>
        </w:tc>
        <w:tc>
          <w:tcPr>
            <w:tcW w:w="13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Rate as of June</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Face Value Debt</w:t>
            </w:r>
          </w:p>
        </w:tc>
        <w:tc>
          <w:tcPr>
            <w:tcW w:w="140" w:type="dxa"/>
            <w:vAlign w:val="bottom"/>
          </w:tcPr>
          <w:p>
            <w:pPr>
              <w:spacing w:after="0"/>
              <w:rPr>
                <w:sz w:val="20"/>
                <w:szCs w:val="20"/>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Maturity Date</w:t>
            </w:r>
          </w:p>
        </w:tc>
        <w:tc>
          <w:tcPr>
            <w:tcW w:w="0" w:type="dxa"/>
            <w:vAlign w:val="bottom"/>
          </w:tcPr>
          <w:p>
            <w:pPr>
              <w:spacing w:after="0"/>
              <w:rPr>
                <w:sz w:val="1"/>
                <w:szCs w:val="1"/>
                <w:color w:val="auto"/>
              </w:rPr>
            </w:pPr>
          </w:p>
        </w:tc>
      </w:tr>
      <w:tr>
        <w:trPr>
          <w:trHeight w:val="191"/>
        </w:trPr>
        <w:tc>
          <w:tcPr>
            <w:tcW w:w="3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Credit Facility </w:t>
            </w:r>
            <w:r>
              <w:rPr>
                <w:rFonts w:ascii="Times New Roman" w:cs="Times New Roman" w:eastAsia="Times New Roman" w:hAnsi="Times New Roman"/>
                <w:sz w:val="26"/>
                <w:szCs w:val="26"/>
                <w:color w:val="auto"/>
                <w:vertAlign w:val="superscript"/>
              </w:rPr>
              <w:t>(1)</w:t>
            </w:r>
          </w:p>
        </w:tc>
        <w:tc>
          <w:tcPr>
            <w:tcW w:w="4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SOFR + 0.10% +</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5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[1.25% - 2.20%]</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5.39%</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198"/>
        </w:trPr>
        <w:tc>
          <w:tcPr>
            <w:tcW w:w="3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2026 Term Loan </w:t>
            </w:r>
            <w:r>
              <w:rPr>
                <w:rFonts w:ascii="Times New Roman" w:cs="Times New Roman" w:eastAsia="Times New Roman" w:hAnsi="Times New Roman"/>
                <w:sz w:val="26"/>
                <w:szCs w:val="26"/>
                <w:color w:val="auto"/>
                <w:vertAlign w:val="superscript"/>
              </w:rPr>
              <w:t>(2)</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5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[1.35% - 1.95%]</w:t>
            </w:r>
          </w:p>
        </w:tc>
        <w:tc>
          <w:tcPr>
            <w:tcW w:w="1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3.65%</w:t>
            </w:r>
          </w:p>
        </w:tc>
        <w:tc>
          <w:tcPr>
            <w:tcW w:w="16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2026</w:t>
            </w:r>
          </w:p>
        </w:tc>
        <w:tc>
          <w:tcPr>
            <w:tcW w:w="0" w:type="dxa"/>
            <w:vAlign w:val="bottom"/>
          </w:tcPr>
          <w:p>
            <w:pPr>
              <w:spacing w:after="0"/>
              <w:rPr>
                <w:sz w:val="1"/>
                <w:szCs w:val="1"/>
                <w:color w:val="auto"/>
              </w:rPr>
            </w:pPr>
          </w:p>
        </w:tc>
      </w:tr>
      <w:tr>
        <w:trPr>
          <w:trHeight w:val="198"/>
        </w:trPr>
        <w:tc>
          <w:tcPr>
            <w:tcW w:w="33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2027 Term Loan </w:t>
            </w:r>
            <w:r>
              <w:rPr>
                <w:rFonts w:ascii="Times New Roman" w:cs="Times New Roman" w:eastAsia="Times New Roman" w:hAnsi="Times New Roman"/>
                <w:sz w:val="26"/>
                <w:szCs w:val="26"/>
                <w:color w:val="auto"/>
                <w:vertAlign w:val="superscript"/>
              </w:rPr>
              <w:t>(3)</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rPr>
              <w:t>SOFR + 0.10% +</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20" w:type="dxa"/>
            <w:vAlign w:val="bottom"/>
            <w:gridSpan w:val="2"/>
            <w:vMerge w:val="continue"/>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58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[1.25% - 1.90%]</w:t>
            </w:r>
          </w:p>
        </w:tc>
        <w:tc>
          <w:tcPr>
            <w:tcW w:w="16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2.73%</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Debt/Weighted-Average Rate</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269,000</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3.75%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80" w:type="dxa"/>
            <w:vAlign w:val="bottom"/>
          </w:tcPr>
          <w:p>
            <w:pPr>
              <w:spacing w:after="0"/>
              <w:rPr>
                <w:sz w:val="7"/>
                <w:szCs w:val="7"/>
                <w:color w:val="auto"/>
              </w:rPr>
            </w:pPr>
          </w:p>
        </w:tc>
        <w:tc>
          <w:tcPr>
            <w:tcW w:w="4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380" w:right="79" w:hanging="330"/>
        <w:spacing w:after="0" w:line="229"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utilized an interest rate swap to fix SOFR and achieve a fixed interest rate of 3.21% plus 0.10% and the applicable spread on $50 million of the outstanding balance on the Credit Facility (hereinafter defined). See Note 14, “Interest Rate Swaps” for further disclosure related to the Company’s interest rate swap.</w:t>
      </w:r>
    </w:p>
    <w:p>
      <w:pPr>
        <w:jc w:val="both"/>
        <w:ind w:left="380" w:right="79" w:hanging="330"/>
        <w:spacing w:after="0" w:line="221"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interest rate swaps to fix SOFR and achieve a weighted average fixed interest rate of 2.05% plus 0.10% and the applicable spread on the $100 million 2026 Term Loan (hereinafter defined) balance. See Note 14, “Interest Rate Swaps” for further disclosure related to the Company’s interest rate swaps.</w:t>
      </w:r>
    </w:p>
    <w:p>
      <w:pPr>
        <w:jc w:val="both"/>
        <w:ind w:left="380" w:right="79" w:hanging="330"/>
        <w:spacing w:after="0" w:line="233" w:lineRule="auto"/>
        <w:tabs>
          <w:tab w:leader="none" w:pos="3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interest rate swaps to fix SOFR and achieve a weighted average fixed interest rate of 1.18% plus 0.10% and the applicable spread on the $100 million 2027 Term Loan (hereinafter defined) balance. See Note 14, “Interest Rate Swaps” for further disclosure related to the Company’s interest rate swaps.</w:t>
      </w:r>
    </w:p>
    <w:p>
      <w:pPr>
        <w:spacing w:after="0" w:line="179"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Credit Facility. </w:t>
      </w:r>
      <w:r>
        <w:rPr>
          <w:rFonts w:ascii="Times New Roman" w:cs="Times New Roman" w:eastAsia="Times New Roman" w:hAnsi="Times New Roman"/>
          <w:sz w:val="18"/>
          <w:szCs w:val="18"/>
          <w:color w:val="auto"/>
        </w:rPr>
        <w:t>On September 30, 2022, the Company and the Operating Partnership entered into a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“2022 Amended and Restated Credit Agreement” or “Credit Facility”) with KeyBank National Association, as administrative agent, and certain other lenders named therein, which amended and restated the 2027 Term Loan Credit Agreement (hereinafter defined) to include, among other things:</w:t>
      </w:r>
    </w:p>
    <w:p>
      <w:pPr>
        <w:spacing w:after="0" w:line="114" w:lineRule="exact"/>
        <w:rPr>
          <w:sz w:val="20"/>
          <w:szCs w:val="20"/>
          <w:color w:val="auto"/>
        </w:rPr>
      </w:pPr>
    </w:p>
    <w:p>
      <w:pPr>
        <w:ind w:left="1040" w:right="559" w:hanging="315"/>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origination of a new senior unsecured revolving credit facility in the amount of $250 million which matures on January 31, 2027, with the option to extend for one year;</w:t>
      </w:r>
    </w:p>
    <w:p>
      <w:pPr>
        <w:jc w:val="both"/>
        <w:ind w:left="1040" w:right="79" w:hanging="315"/>
        <w:spacing w:after="0" w:line="25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accordion option that allows the Company to request additional revolving loan commitments and additional term loan commitments, provided the aggregate amount of revolving loan commitments and term loan commitments shall not exceed $750 million;</w:t>
      </w:r>
    </w:p>
    <w:p>
      <w:pPr>
        <w:spacing w:after="0" w:line="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certain financial covenants; and</w:t>
      </w:r>
    </w:p>
    <w:p>
      <w:pPr>
        <w:spacing w:after="0" w:line="9"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a sustainability-linked pricing component pursuant to which the Company will receive interest rate reductions up to 0.025% based on performance against sustainability performance targets.</w:t>
      </w:r>
    </w:p>
    <w:p>
      <w:pPr>
        <w:spacing w:after="0" w:line="11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Pursuant to the 2022 Amended and Restated Credit Agreement, the indebtedness outstanding under the Credit Facility accrues at a rate ranging from SOFR plus 0.10% plus 125 basis points to SOFR plus 0.10% plus 220 basis points, based on the total balance outstanding under the Credit Facility as a percentage of the total asset value of the Company, as defined in the 2022 Amended and Restated Credit Agreement. The Company may utilize daily simple SOFR or term SOFR, at its election. The Credit Facility also accrues a fee of 15 or 25 basis points for any unused portion of the borrowing capacity based on whether the unused portion is greater or less than 50% of the total borrowing capacity.</w:t>
      </w:r>
    </w:p>
    <w:p>
      <w:pPr>
        <w:spacing w:after="0" w:line="120" w:lineRule="exact"/>
        <w:rPr>
          <w:sz w:val="20"/>
          <w:szCs w:val="20"/>
          <w:color w:val="auto"/>
        </w:rPr>
      </w:pPr>
    </w:p>
    <w:p>
      <w:pPr>
        <w:jc w:val="both"/>
        <w:ind w:left="60" w:right="59" w:firstLine="369"/>
        <w:spacing w:after="0" w:line="256" w:lineRule="auto"/>
        <w:rPr>
          <w:sz w:val="20"/>
          <w:szCs w:val="20"/>
          <w:color w:val="auto"/>
        </w:rPr>
      </w:pPr>
      <w:r>
        <w:rPr>
          <w:rFonts w:ascii="Times New Roman" w:cs="Times New Roman" w:eastAsia="Times New Roman" w:hAnsi="Times New Roman"/>
          <w:sz w:val="18"/>
          <w:szCs w:val="18"/>
          <w:color w:val="auto"/>
        </w:rPr>
        <w:t>The Company is subject to customary restrictive covenants under the 2022 Amended and Restated Credit Agreement and the 2026 Term Loan Credit Agreement (hereinafter defined), as amended, collectively referred to herein as the “Credit Agreements”, including, but not limited to, limitations on the Company’s ability to: (a) incur indebtedness; (b) make certain investments; (c) incur certain liens; (d) engage in certain affiliate transactions; and (e) engage in certain major transactions such as mergers. The Credit Agreements also contain financial covenants covering the Company, including but not limited to, tangible net worth and fixed charge coverage ratios.</w:t>
      </w:r>
    </w:p>
    <w:p>
      <w:pPr>
        <w:spacing w:after="0" w:line="12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At June 30, 2024, the commitment level under the Credit Facility was $250.0 million and the Company had an outstanding balance of $69.0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2026 Term Loan. </w:t>
      </w:r>
      <w:r>
        <w:rPr>
          <w:rFonts w:ascii="Times New Roman" w:cs="Times New Roman" w:eastAsia="Times New Roman" w:hAnsi="Times New Roman"/>
          <w:sz w:val="18"/>
          <w:szCs w:val="18"/>
          <w:color w:val="auto"/>
        </w:rPr>
        <w:t>On May 21, 2021, the Operating Partnership, the Company and certain subsidiaries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a credit agreement (the “2026 Term Loan Credit Agreement”) with Truist Bank, N.A. as administrative agent, and certain other lenders named therein, for a term loan (the “2026 Term Loan”) in an aggregate principal amount of $60.0 million with a maturity of five years. On April 14, 2022, the Company entered into the Amendment, Increase and Joinder to the 2026 Term Loan Credit Agreement (the “2026 Term Loan Amendment”), which increased the term loan commitment under the 2026 Term Loan by $40 million to an aggregate of $100 million. The 2026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On October 5, 2022, the Company entered into an amendment which, among other things, amended certain financial covenants and added a sustainability-linked pricing component consistent with what is contained in the 2022 Amended and Restated Credit Agreement (the “2026 Term Loan Second Amendment”), effective September 30, 2022.</w:t>
      </w:r>
    </w:p>
    <w:p>
      <w:pPr>
        <w:spacing w:after="0" w:line="10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2027 Term Loan. </w:t>
      </w:r>
      <w:r>
        <w:rPr>
          <w:rFonts w:ascii="Times New Roman" w:cs="Times New Roman" w:eastAsia="Times New Roman" w:hAnsi="Times New Roman"/>
          <w:sz w:val="18"/>
          <w:szCs w:val="18"/>
          <w:color w:val="auto"/>
        </w:rPr>
        <w:t>On September 30, 2021, the Operating Partnership, the Company and certain subsidiaries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entered into a credit agreement (the “2027 Term Loan Credit Agreement”) with KeyBank National Association as administrative agent, and certain other lenders named therein, for a term loan (the “2027 Term Loan”) in an aggregate principal amount of $80.0 million (the “Term Commitment”) maturing in January 2027. On April 14, 2022, the Company entered into the Amendment, Increase and Joinder to the 2027 Term Loan Credit Agreement (the “2027 Term Loan Amendment”), which increased the Term Commitment by $20 million to an aggregate of $100 million. The 2027 Term Loan Amendment also effectuated the transition of the underlying variable interest rate from LIBOR to SOFR.</w:t>
      </w:r>
    </w:p>
    <w:p>
      <w:pPr>
        <w:spacing w:after="0" w:line="11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30, 2022, the Company entered into the 2022 Amended and Restated Credit Agreement which amended and restated the 2027 Term Loan Credit Agreement to include the origination of a new revolving credit facility in the amount of $250.0 million as previously described. The 2022 Amended and Restated Credit Agreement includes an accordion option that allows the Company to request additional revolving loan commitments and additional term loan commitments not to exceed $750.0 million in the aggregate.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Long-term debt as of June 30, 2024 and December 31, 2023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206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87"/>
        </w:trPr>
        <w:tc>
          <w:tcPr>
            <w:tcW w:w="4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Due Within</w:t>
            </w:r>
          </w:p>
        </w:tc>
      </w:t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22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One Year</w:t>
            </w: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Term Loan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Term Loan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2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(680)</w:t>
            </w:r>
          </w:p>
        </w:tc>
        <w:tc>
          <w:tcPr>
            <w:tcW w:w="12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8"/>
                <w:szCs w:val="18"/>
                <w:color w:val="auto"/>
              </w:rPr>
            </w:pPr>
          </w:p>
        </w:tc>
        <w:tc>
          <w:tcPr>
            <w:tcW w:w="9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Payments applicable to reduction of principal amounts as of June 30, 2024 will be required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40" w:type="dxa"/>
            <w:vAlign w:val="bottom"/>
          </w:tcPr>
          <w:p>
            <w:pPr>
              <w:spacing w:after="0"/>
              <w:rPr>
                <w:sz w:val="20"/>
                <w:szCs w:val="20"/>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169,000</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and Thereafter</w:t>
            </w:r>
          </w:p>
        </w:tc>
        <w:tc>
          <w:tcPr>
            <w:tcW w:w="3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Long-Term Debt - Face Value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269,000</w:t>
            </w:r>
          </w:p>
        </w:tc>
      </w:tr>
      <w:tr>
        <w:trPr>
          <w:trHeight w:val="20"/>
        </w:trPr>
        <w:tc>
          <w:tcPr>
            <w:tcW w:w="6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carrying value of long-term debt as of June 30, 2024 consisted of the following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Face Amount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269,000</w:t>
            </w:r>
          </w:p>
        </w:tc>
      </w:tr>
      <w:tr>
        <w:trPr>
          <w:trHeight w:val="216"/>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Costs, net of Accumulated Amortization</w:t>
            </w: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09"/>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268,320</w:t>
            </w:r>
          </w:p>
        </w:tc>
      </w:tr>
      <w:tr>
        <w:trPr>
          <w:trHeight w:val="20"/>
        </w:trPr>
        <w:tc>
          <w:tcPr>
            <w:tcW w:w="7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$0.7 million of financing costs, net of accumulated amortization included in the table above, as of June 30, 2024, the Company also had financing costs, net of accumulated amortization related to the Credit Facility of $1.0 million which is included in other assets on the consolidated balance sheets. These costs are amortized on a straight-line basis over the term of the Credit Facility and are included in interest expense in the consolidated statements of operations.</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reflects a summary of interest expense incurred and paid during the three and six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30, 2024 and 2023 (in thousands):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-119380</wp:posOffset>
            </wp:positionV>
            <wp:extent cx="564896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line="302" w:lineRule="auto"/>
        <w:rPr>
          <w:sz w:val="20"/>
          <w:szCs w:val="20"/>
          <w:color w:val="auto"/>
        </w:rPr>
      </w:pPr>
      <w:r>
        <w:rPr>
          <w:rFonts w:ascii="Times New Roman" w:cs="Times New Roman" w:eastAsia="Times New Roman" w:hAnsi="Times New Roman"/>
          <w:sz w:val="17"/>
          <w:szCs w:val="17"/>
          <w:color w:val="auto"/>
        </w:rPr>
        <w:t>Interest Expense from Obligation Under Participation Agreement Amortization of Deferred Financing Costs to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-157480</wp:posOffset>
            </wp:positionV>
            <wp:extent cx="564896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9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8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87"/>
        </w:trPr>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38"/>
        </w:trPr>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2,557</w:t>
            </w:r>
          </w:p>
        </w:tc>
        <w:tc>
          <w:tcPr>
            <w:tcW w:w="60" w:type="dxa"/>
            <w:vAlign w:val="bottom"/>
          </w:tcPr>
          <w:p>
            <w:pPr>
              <w:spacing w:after="0"/>
              <w:rPr>
                <w:sz w:val="17"/>
                <w:szCs w:val="17"/>
                <w:color w:val="auto"/>
              </w:rPr>
            </w:pPr>
          </w:p>
        </w:tc>
        <w:tc>
          <w:tcPr>
            <w:tcW w:w="1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2,261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5,312</w:t>
            </w:r>
          </w:p>
        </w:tc>
        <w:tc>
          <w:tcPr>
            <w:tcW w:w="60" w:type="dxa"/>
            <w:vAlign w:val="bottom"/>
          </w:tcPr>
          <w:p>
            <w:pPr>
              <w:spacing w:after="0"/>
              <w:rPr>
                <w:sz w:val="17"/>
                <w:szCs w:val="17"/>
                <w:color w:val="auto"/>
              </w:rPr>
            </w:pPr>
          </w:p>
        </w:tc>
        <w:tc>
          <w:tcPr>
            <w:tcW w:w="1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4,700</w:t>
            </w:r>
          </w:p>
        </w:tc>
      </w:tr>
      <w:tr>
        <w:trPr>
          <w:trHeight w:val="229"/>
        </w:trPr>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bl>
    <w:p>
      <w:pPr>
        <w:spacing w:after="0" w:line="20" w:lineRule="exact"/>
        <w:rPr>
          <w:sz w:val="20"/>
          <w:szCs w:val="20"/>
          <w:color w:val="auto"/>
        </w:rPr>
      </w:pPr>
    </w:p>
    <w:p>
      <w:pPr>
        <w:sectPr>
          <w:pgSz w:w="11900" w:h="16838" w:orient="portrait"/>
          <w:cols w:equalWidth="0" w:num="2">
            <w:col w:w="4760" w:space="180"/>
            <w:col w:w="407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30"/>
        </w:trPr>
        <w:tc>
          <w:tcPr>
            <w:tcW w:w="4900" w:type="dxa"/>
            <w:vAlign w:val="bottom"/>
            <w:tcBorders>
              <w:bottom w:val="single" w:sz="8" w:color="CCEEFF"/>
            </w:tcBorders>
          </w:tcPr>
          <w:p>
            <w:pPr>
              <w:ind w:left="20"/>
              <w:spacing w:after="0" w:line="190" w:lineRule="exact"/>
              <w:rPr>
                <w:sz w:val="20"/>
                <w:szCs w:val="20"/>
                <w:color w:val="auto"/>
              </w:rPr>
            </w:pPr>
            <w:r>
              <w:rPr>
                <w:rFonts w:ascii="Times New Roman" w:cs="Times New Roman" w:eastAsia="Times New Roman" w:hAnsi="Times New Roman"/>
                <w:sz w:val="18"/>
                <w:szCs w:val="18"/>
                <w:color w:val="auto"/>
              </w:rPr>
              <w:t>Total Interest Expense</w:t>
            </w:r>
          </w:p>
        </w:tc>
        <w:tc>
          <w:tcPr>
            <w:tcW w:w="300" w:type="dxa"/>
            <w:vAlign w:val="bottom"/>
            <w:tcBorders>
              <w:top w:val="single" w:sz="8" w:color="auto"/>
              <w:bottom w:val="single" w:sz="8" w:color="auto"/>
            </w:tcBorders>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2,831</w:t>
            </w:r>
          </w:p>
        </w:tc>
        <w:tc>
          <w:tcPr>
            <w:tcW w:w="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2,438</w:t>
            </w:r>
          </w:p>
        </w:tc>
        <w:tc>
          <w:tcPr>
            <w:tcW w:w="8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5,766</w:t>
            </w:r>
          </w:p>
        </w:tc>
        <w:tc>
          <w:tcPr>
            <w:tcW w:w="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5,051</w:t>
            </w:r>
          </w:p>
        </w:tc>
      </w:tr>
      <w:tr>
        <w:trPr>
          <w:trHeight w:val="197"/>
        </w:trPr>
        <w:tc>
          <w:tcPr>
            <w:tcW w:w="4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Paid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r>
      <w:tr>
        <w:trPr>
          <w:trHeight w:val="20"/>
        </w:trPr>
        <w:tc>
          <w:tcPr>
            <w:tcW w:w="4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was in compliance with all of its debt covenants as of June 30, 2024.</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14. INTEREST RATE SWAPS</w:t>
      </w:r>
    </w:p>
    <w:p>
      <w:pPr>
        <w:spacing w:after="0" w:line="121" w:lineRule="exact"/>
        <w:rPr>
          <w:sz w:val="20"/>
          <w:szCs w:val="20"/>
          <w:color w:val="auto"/>
        </w:rPr>
      </w:pPr>
    </w:p>
    <w:p>
      <w:pPr>
        <w:jc w:val="both"/>
        <w:ind w:left="60" w:right="59" w:firstLine="389"/>
        <w:spacing w:after="0" w:line="256" w:lineRule="auto"/>
        <w:rPr>
          <w:sz w:val="20"/>
          <w:szCs w:val="20"/>
          <w:color w:val="auto"/>
        </w:rPr>
      </w:pPr>
      <w:r>
        <w:rPr>
          <w:rFonts w:ascii="Times New Roman" w:cs="Times New Roman" w:eastAsia="Times New Roman" w:hAnsi="Times New Roman"/>
          <w:sz w:val="18"/>
          <w:szCs w:val="18"/>
          <w:color w:val="auto"/>
        </w:rPr>
        <w:t>The Company has entered into interest rate swap agreements to hedge against changes in future cash flows resulting from fluctuating interest rates related to the below noted borrowings. The interest rate agreements were 100% effective during the three and six months ended June 30, 2024 and 2023. Accordingly, the changes in fair value on the interest rate swaps have been classified in accumulated other comprehensive income. The fair value of the interest rate swap agreements are included in other assets and accounts payable, accrued expenses and other liabilities, respectively, on the consolidated balance sheets.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related to the Company’s interest rate swap agreements is noted below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Effective</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as of</w:t>
            </w:r>
          </w:p>
        </w:tc>
        <w:tc>
          <w:tcPr>
            <w:tcW w:w="0" w:type="dxa"/>
            <w:vAlign w:val="bottom"/>
          </w:tcPr>
          <w:p>
            <w:pPr>
              <w:spacing w:after="0"/>
              <w:rPr>
                <w:sz w:val="1"/>
                <w:szCs w:val="1"/>
                <w:color w:val="auto"/>
              </w:rPr>
            </w:pPr>
          </w:p>
        </w:tc>
      </w:tr>
      <w:tr>
        <w:trPr>
          <w:trHeight w:val="215"/>
        </w:trPr>
        <w:tc>
          <w:tcPr>
            <w:tcW w:w="27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Hedged Item</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0" w:type="dxa"/>
            <w:vAlign w:val="bottom"/>
            <w:tcBorders>
              <w:bottom w:val="single" w:sz="8" w:color="CCEEFF"/>
            </w:tcBorders>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85"/>
        </w:trPr>
        <w:tc>
          <w:tcPr>
            <w:tcW w:w="360" w:type="dxa"/>
            <w:vAlign w:val="bottom"/>
            <w:shd w:val="clear" w:color="auto" w:fill="CCEEFF"/>
          </w:tcPr>
          <w:p>
            <w:pPr>
              <w:spacing w:after="0"/>
              <w:rPr>
                <w:sz w:val="16"/>
                <w:szCs w:val="16"/>
                <w:color w:val="auto"/>
              </w:rPr>
            </w:pPr>
          </w:p>
        </w:tc>
        <w:tc>
          <w:tcPr>
            <w:tcW w:w="2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(1)</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2.05% + 0.10%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2026</w:t>
            </w:r>
          </w:p>
        </w:tc>
        <w:tc>
          <w:tcPr>
            <w:tcW w:w="2500" w:type="dxa"/>
            <w:vAlign w:val="bottom"/>
            <w:gridSpan w:val="3"/>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5/21/2026</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(2)</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0.51%+ 0.10%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00" w:type="dxa"/>
            <w:vAlign w:val="bottom"/>
            <w:gridSpan w:val="3"/>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9/30/2021</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11/29/2024</w:t>
            </w: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0" w:type="dxa"/>
            <w:vAlign w:val="bottom"/>
          </w:tcPr>
          <w:p>
            <w:pPr>
              <w:spacing w:after="0"/>
              <w:rPr>
                <w:sz w:val="1"/>
                <w:szCs w:val="1"/>
                <w:color w:val="auto"/>
              </w:rPr>
            </w:pPr>
          </w:p>
        </w:tc>
      </w:tr>
      <w:tr>
        <w:trPr>
          <w:trHeight w:val="189"/>
        </w:trPr>
        <w:tc>
          <w:tcPr>
            <w:tcW w:w="360" w:type="dxa"/>
            <w:vAlign w:val="bottom"/>
            <w:shd w:val="clear" w:color="auto" w:fill="CCEEFF"/>
          </w:tcPr>
          <w:p>
            <w:pPr>
              <w:spacing w:after="0"/>
              <w:rPr>
                <w:sz w:val="16"/>
                <w:szCs w:val="16"/>
                <w:color w:val="auto"/>
              </w:rPr>
            </w:pPr>
          </w:p>
        </w:tc>
        <w:tc>
          <w:tcPr>
            <w:tcW w:w="25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(3)</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3.84%+ 0.10% +</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00" w:type="dxa"/>
            <w:vAlign w:val="bottom"/>
            <w:gridSpan w:val="3"/>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9/30/2022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1/31/2027</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 xml:space="preserve">Term Loan </w:t>
            </w:r>
            <w:r>
              <w:rPr>
                <w:rFonts w:ascii="Times New Roman" w:cs="Times New Roman" w:eastAsia="Times New Roman" w:hAnsi="Times New Roman"/>
                <w:sz w:val="24"/>
                <w:szCs w:val="24"/>
                <w:color w:val="auto"/>
                <w:vertAlign w:val="superscript"/>
              </w:rPr>
              <w:t>(4)</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1.61%+ 0.10% +</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2027</w:t>
            </w:r>
          </w:p>
        </w:tc>
        <w:tc>
          <w:tcPr>
            <w:tcW w:w="2500" w:type="dxa"/>
            <w:vAlign w:val="bottom"/>
            <w:gridSpan w:val="3"/>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11/29/2024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1/31/2027</w:t>
            </w:r>
          </w:p>
        </w:tc>
        <w:tc>
          <w:tcPr>
            <w:tcW w:w="12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0" w:type="dxa"/>
            <w:vAlign w:val="bottom"/>
          </w:tcPr>
          <w:p>
            <w:pPr>
              <w:spacing w:after="0"/>
              <w:rPr>
                <w:sz w:val="1"/>
                <w:szCs w:val="1"/>
                <w:color w:val="auto"/>
              </w:rPr>
            </w:pPr>
          </w:p>
        </w:tc>
      </w:tr>
      <w:tr>
        <w:trPr>
          <w:trHeight w:val="189"/>
        </w:trPr>
        <w:tc>
          <w:tcPr>
            <w:tcW w:w="28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Credit Facility </w:t>
            </w:r>
            <w:r>
              <w:rPr>
                <w:rFonts w:ascii="Times New Roman" w:cs="Times New Roman" w:eastAsia="Times New Roman" w:hAnsi="Times New Roman"/>
                <w:sz w:val="24"/>
                <w:szCs w:val="24"/>
                <w:color w:val="auto"/>
                <w:vertAlign w:val="superscript"/>
              </w:rPr>
              <w:t>(5)</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3.21%+ 0.10%+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gridSpan w:val="4"/>
            <w:vMerge w:val="continue"/>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3/1/2028</w:t>
            </w:r>
          </w:p>
        </w:tc>
        <w:tc>
          <w:tcPr>
            <w:tcW w:w="1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applicable spread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0" w:type="dxa"/>
            <w:vAlign w:val="bottom"/>
          </w:tcPr>
          <w:p>
            <w:pPr>
              <w:spacing w:after="0"/>
              <w:rPr>
                <w:sz w:val="1"/>
                <w:szCs w:val="1"/>
                <w:color w:val="auto"/>
              </w:rPr>
            </w:pPr>
          </w:p>
        </w:tc>
      </w:tr>
      <w:tr>
        <w:trPr>
          <w:trHeight w:val="115"/>
        </w:trPr>
        <w:tc>
          <w:tcPr>
            <w:tcW w:w="3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80" w:hanging="330"/>
        <w:spacing w:after="0"/>
        <w:tabs>
          <w:tab w:leader="none" w:pos="38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interest rate swaps to fix SOFR and achieve a weighted average fixed interest rate of 2.05% plus</w:t>
      </w:r>
    </w:p>
    <w:p>
      <w:pPr>
        <w:spacing w:after="0" w:line="3" w:lineRule="exact"/>
        <w:rPr>
          <w:rFonts w:ascii="Times New Roman" w:cs="Times New Roman" w:eastAsia="Times New Roman" w:hAnsi="Times New Roman"/>
          <w:sz w:val="11"/>
          <w:szCs w:val="11"/>
          <w:color w:val="auto"/>
        </w:rPr>
      </w:pPr>
    </w:p>
    <w:p>
      <w:pPr>
        <w:ind w:left="380"/>
        <w:spacing w:after="0" w:line="22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0.10% and the applicable spread on the $100.0 million 2026 Term Loan balance. The weighted average fixed interest rate of 2.05%, is comprised of:</w:t>
      </w:r>
    </w:p>
    <w:p>
      <w:pPr>
        <w:ind w:left="38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 rate swaps on $60.0 million of the 2026 Term Loan balance effective May 21, 2021, as amended on April 14, 2022 in connection with the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0" w:right="79"/>
        <w:spacing w:after="0" w:line="233" w:lineRule="auto"/>
        <w:rPr>
          <w:sz w:val="20"/>
          <w:szCs w:val="20"/>
          <w:color w:val="auto"/>
        </w:rPr>
      </w:pPr>
      <w:r>
        <w:rPr>
          <w:rFonts w:ascii="Times New Roman" w:cs="Times New Roman" w:eastAsia="Times New Roman" w:hAnsi="Times New Roman"/>
          <w:sz w:val="14"/>
          <w:szCs w:val="14"/>
          <w:color w:val="auto"/>
        </w:rPr>
        <w:t>2026 Term Loan Amendment, to fix SOFR (prior to April 14, 2022, the swap was to fix LIBOR), and (ii) a rate swap on $40.0 million of the 2026 Term Loan Balance effective September 30, 2022, to fix SOFR.</w:t>
      </w:r>
    </w:p>
    <w:p>
      <w:pPr>
        <w:jc w:val="both"/>
        <w:ind w:left="380" w:right="79" w:hanging="330"/>
        <w:spacing w:after="0" w:line="221" w:lineRule="auto"/>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interest rate swaps to fix SOFR and achieve a weighted average fixed interest rate of 0.51% plus 0.10% and the applicable spread on $80.0 million of the $100.0 million 2027 Term Loan balance. The weighted average fixed interest rate of 0.51%, is comprised of two rate swaps on $80.0 million of the 2027 Term Loan balance effective September 30, 2021, as amended on April 14, 2022 in connection with the 2027 Term Loan Amendment, to fix SOFR (prior to April 14, 2022, the swap was to fix LIBOR).</w:t>
      </w:r>
    </w:p>
    <w:p>
      <w:pPr>
        <w:spacing w:after="0" w:line="1" w:lineRule="exact"/>
        <w:rPr>
          <w:rFonts w:ascii="Times New Roman" w:cs="Times New Roman" w:eastAsia="Times New Roman" w:hAnsi="Times New Roman"/>
          <w:sz w:val="11"/>
          <w:szCs w:val="11"/>
          <w:color w:val="auto"/>
        </w:rPr>
      </w:pPr>
    </w:p>
    <w:p>
      <w:pPr>
        <w:ind w:left="380" w:right="79" w:hanging="330"/>
        <w:spacing w:after="0" w:line="221" w:lineRule="auto"/>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an interest rate swap to fix SOFR and achieve a fixed interest rate of 3.84% plus 0.10% and the applicable spread on $20.0 million of the $100.0 million 2027 Term Loan balance.</w:t>
      </w:r>
    </w:p>
    <w:p>
      <w:pPr>
        <w:ind w:left="380" w:right="79" w:hanging="330"/>
        <w:spacing w:after="0" w:line="221" w:lineRule="auto"/>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interest rate swap agreement hedges $80.0 million of the $100.0 million 2027 Term Loan balance under different terms and commences concurrent to the interest rate agreements maturing on November 29, 2024 to extend the fixed interest rate through maturity on January 31, 2027.</w:t>
      </w:r>
    </w:p>
    <w:p>
      <w:pPr>
        <w:ind w:left="380" w:right="79" w:hanging="330"/>
        <w:spacing w:after="0" w:line="239" w:lineRule="auto"/>
        <w:tabs>
          <w:tab w:leader="none" w:pos="38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As of June 30, 2024, the Company has utilized an interest rate swap to fix SOFR and achieve a fixed interest rate of 3.21% plus 0.10% and the applicable spread on $50.0 million of the outstanding balance on the Credit Facility. The swap was effective on March 1, 2023.</w:t>
      </w:r>
    </w:p>
    <w:p>
      <w:pPr>
        <w:spacing w:after="0" w:line="194"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The use of interest rate swap agreements carries risks, including the risk that the counterparties to these agreements are not able to perform. To mitigate this risk, the Company enters into interest rate swap agreements with counterparties with high credit ratings and with major financial institutions with which the Company and its affiliates may also have other financial relationships. The Company does not currently anticipate that any of the counterparties to the Company’s interest rate swap agreements will fail to meet their obligations. As of June 30, 2024 and December 31, 2023, there were no events of default related to the Company's interest rate swap agreements.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15. EQUITY</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December 1, 2020, the Company filed a shelf registration statement on Form S-3, relating to the registration and potential issuance of its common stock, preferred stock, warrants, rights, and units with a maximum aggregate offering price of up to $350.0 million (the “2020 Registration Statement”). The Securities and Exchange Commission declared the 2020 Registration Statement effective on December 11, 2020.</w:t>
      </w:r>
    </w:p>
    <w:p>
      <w:pPr>
        <w:spacing w:after="0" w:line="18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2023, the Company filed a shelf registration statement on Form S-3, relating to the registration and potential issuance of common stock, preferred stock, debt securities, warrants, rights, and units with a maximum aggregate offering price of up to $350.0 million (the “2023 Registration Statement”). The 2020 Registration Statement was terminated concurrently with the filing of the 2023 Registration Statement. The Securities and Exchange Commission declared the 2023 Registration Statement effective on September 29, 2023.</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FOLLOW-ON PUBLIC OFFERING</w:t>
      </w:r>
    </w:p>
    <w:p>
      <w:pPr>
        <w:spacing w:after="0" w:line="227"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June 2021, the Company completed a follow-on public offering of 3,220,000 shares of common stock, which included the full exercise of the underwriters’ option to purchase an additional 420,000 shares of common stock. Upon closing, the Company issued 3,220,000 shares and received net proceeds of $54.3 million, after deducting the underwriting discount and expenses.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PROGRAM</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December 14, 2020, the Company implemented a $100.0 million “at-the-market” equity offering program (the “2020 ATM Program”) pursuant to which the Company may sell, from time to time, shares of the Company’s common stock. During the year ended December 31, 2022, the Company sold 446,167 shares under the 2020 ATM Program for gross proceeds of $8.7 million at a weighted average price of $19.44 per share, generating net proceeds of $8.6 million after deducting transaction fees totaling $0.1 million. During the year ended December 31, 2021, the Company sold 761,902 shares under the 2020 ATM Program for gross proceeds of $14.0 million at a weighted average price of $18.36 per share, generating net proceeds of $13.8 million after deducting transaction fees totaling $0.2 million. The 2020 ATM Program was terminated in advance of implementing the 2022 ATM Program, hereinafter defined.</w:t>
      </w:r>
    </w:p>
    <w:p>
      <w:pPr>
        <w:spacing w:after="0" w:line="19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October 21, 2022, the Company implemented a $150.0 million “at-the-market” equity offering program (the “2022 ATM Program”) pursuant to which the Company may sell, from time to time, shares of the Company’s common stock. During the three and six months ended June 30, 2024, the Company sold 3,350 shares under the 2022 ATM Program for gross proceeds of $0.1 million at a weighted average price of $16.02 per share, generating net proceeds of $0.1 million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after deducting transaction fees totaling less than $0.1 million. The Company was not active under the 2022 ATM Program during the three months ended June 30, 2023. During the six months ended June 30, 2023, the Company sold 665,929 shares under the 2022 ATM Program for gross proceeds of $12.6 million at a weighted average price of $18.96 per share, generating net proceeds of $12.4 million after deducting transaction fees totaling $0.2 million. During the year ended December 31, 2023, the Company sold 665,929 shares under the 2022 ATM Program for gross proceeds of $12.6 million at a weighted average price of $18.96 per share, generating net proceeds of $12.4 million after deducting transaction fees totaling $0.2 million. During the year ended December 31, 2022, the Company sold 1,479,241 shares under the 2022 ATM Program for gross proceeds of $27.8 million at a weighted average price of $18.81 per share, generating net proceeds of $27.4 million after deducting transaction fees totaling $0.4 million.</w:t>
      </w:r>
    </w:p>
    <w:p>
      <w:pPr>
        <w:spacing w:after="0" w:line="18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In the aggregate, under the 2020 ATM Program and 2022 ATM Program, during the year ended December 31, 2022, the Company sold 1,925,408 shares for gross proceeds of $36.5 million at a weighted average price of $18.96 per share, generating net proceeds of $36.0 million after deducting transaction fees totaling $0.5 million.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w:t>
      </w:r>
    </w:p>
    <w:p>
      <w:pPr>
        <w:spacing w:after="0" w:line="22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As of June 30, 2024, CTO holds, directly and indirectly, an 8.2% noncontrolling ownership interest in the Operating Partnership as a result of 1,223,854 OP Units issued to CTO at the time of the Company’s IPO.</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The Company has elected to be taxed as a REIT for U.S. federal income tax purposes under the Code. To qualify as a REIT, the Company must annually distribute, at a minimum, an amount equal to 90% of its taxable income, determined without regard to the deduction for dividends paid and excluding net capital gains, and must distribute 100% of its taxable income (including net capital gains) to eliminate U.S. federal corporate income taxes payable by the Company. Because taxable income differs from cash flow from operations due to non-cash revenues and expenses (such as depreciation and other items), in certain circumstances, the Company may generate operating cash flow in excess of its dividends, or alternatively, may need to make dividend payments in excess of operating cash flows. During the six months ended June 30, 2024 and 2023, the Company declared and paid cash dividends on its common stock and OP Units of $0.550 per share.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16. COMMON STOCK AND EARNINGS PER SHARE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Basic earnings per common share are computed by dividing net income attributable to the Company for the period by the weighted average number of shares of common stock outstanding for the period. Diluted earnings per common share are determined based on the assumption of the redemption of OP Units on a one-for-one basis using the treasury stock method at average market prices for the periods.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basic and diluted earnings per common share (in thousands, except share and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78"/>
        </w:trPr>
        <w:tc>
          <w:tcPr>
            <w:tcW w:w="4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 Property</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13,624,932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14,059,173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13,623,070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14,030,025</w:t>
            </w:r>
          </w:p>
        </w:tc>
        <w:tc>
          <w:tcPr>
            <w:tcW w:w="0" w:type="dxa"/>
            <w:vAlign w:val="bottom"/>
          </w:tcPr>
          <w:p>
            <w:pPr>
              <w:spacing w:after="0"/>
              <w:rPr>
                <w:sz w:val="1"/>
                <w:szCs w:val="1"/>
                <w:color w:val="auto"/>
              </w:rPr>
            </w:pPr>
          </w:p>
        </w:tc>
      </w:tr>
      <w:tr>
        <w:trPr>
          <w:trHeight w:val="190"/>
        </w:trPr>
        <w:tc>
          <w:tcPr>
            <w:tcW w:w="44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Weighted Average Number of Common Shares Applicable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80" w:type="dxa"/>
            <w:vAlign w:val="bottom"/>
            <w:tcBorders>
              <w:bottom w:val="single" w:sz="8" w:color="CCEEFF"/>
            </w:tcBorders>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to OP Units using Treasury Stock Method </w:t>
            </w:r>
            <w:r>
              <w:rPr>
                <w:rFonts w:ascii="Times New Roman" w:cs="Times New Roman" w:eastAsia="Times New Roman" w:hAnsi="Times New Roman"/>
                <w:sz w:val="26"/>
                <w:szCs w:val="26"/>
                <w:color w:val="auto"/>
                <w:vertAlign w:val="superscript"/>
              </w:rPr>
              <w:t>(1)</w:t>
            </w: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1,223,854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1,703,494</w:t>
            </w:r>
          </w:p>
        </w:tc>
        <w:tc>
          <w:tcPr>
            <w:tcW w:w="0" w:type="dxa"/>
            <w:vAlign w:val="bottom"/>
          </w:tcPr>
          <w:p>
            <w:pPr>
              <w:spacing w:after="0"/>
              <w:rPr>
                <w:sz w:val="1"/>
                <w:szCs w:val="1"/>
                <w:color w:val="auto"/>
              </w:rPr>
            </w:pPr>
          </w:p>
        </w:tc>
      </w:tr>
      <w:tr>
        <w:trPr>
          <w:trHeight w:val="20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Shares Applicable to Diluted Earnings per Share</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14,848,786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15,762,667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14,846,924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15,733,519</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Alpine Income Property</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57150</wp:posOffset>
            </wp:positionV>
            <wp:extent cx="14141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41" w:lineRule="exact"/>
        <w:rPr>
          <w:sz w:val="20"/>
          <w:szCs w:val="20"/>
          <w:color w:val="auto"/>
        </w:rPr>
      </w:pPr>
    </w:p>
    <w:p>
      <w:pPr>
        <w:jc w:val="both"/>
        <w:ind w:left="380" w:right="79" w:hanging="330"/>
        <w:spacing w:after="0" w:line="236" w:lineRule="auto"/>
        <w:tabs>
          <w:tab w:leader="none" w:pos="38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Includes the weighted average of 1,223,854 during the three and six months ended June 30, 2024 and 1,703,494 shares during the three and six months ended June 30, 2023, in each case, underlying OP Units including (i) 1,223,854 shares underlying OP Units issued to CTO and (ii) 479,640 shares underlying OP Units issued to an unrelated third party, which OP Units were redeemed by PINE for an equivalent number of shares of common stock of PINE during the three months ended December 31, 2023.</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17. SHARE REPURCHASES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May 2023, the Board approved a $5.0 million stock repurchase program (the “2023 $5.0 Million Repurchase Program”). Under the 2023 $5.0 Million Repurchase Program, the Company repurchased 23,889 shares of its common stock on the open market for a total cost of $0.4 million, or an average price per share of $15.22, during the three and six months ended June 30, 2023.</w:t>
      </w:r>
    </w:p>
    <w:p>
      <w:pPr>
        <w:spacing w:after="0" w:line="180" w:lineRule="exact"/>
        <w:rPr>
          <w:sz w:val="20"/>
          <w:szCs w:val="20"/>
          <w:color w:val="auto"/>
        </w:rPr>
      </w:pPr>
    </w:p>
    <w:p>
      <w:pPr>
        <w:jc w:val="both"/>
        <w:ind w:left="60" w:right="59" w:firstLine="383"/>
        <w:spacing w:after="0" w:line="255" w:lineRule="auto"/>
        <w:rPr>
          <w:sz w:val="20"/>
          <w:szCs w:val="20"/>
          <w:color w:val="auto"/>
        </w:rPr>
      </w:pPr>
      <w:r>
        <w:rPr>
          <w:rFonts w:ascii="Times New Roman" w:cs="Times New Roman" w:eastAsia="Times New Roman" w:hAnsi="Times New Roman"/>
          <w:sz w:val="18"/>
          <w:szCs w:val="18"/>
          <w:color w:val="auto"/>
        </w:rPr>
        <w:t>In July 2023, the Board approved a $15.0 million stock repurchase program (the “2023 $15.0 Million Repurchase Program”). The 2023 $15.0 Million Repurchase Program replaced the 2023 $5.0 Million Repurchase Program. Under the 2023 $15.0 Million Repurchase Program, the Company repurchased 875,122 shares of its common stock on the open market for a total cost of $14.2 million, or an average price per share of $16.26, during the year ended December 31, 2023. Under the 2023 $15.0 Million Repurchase Program, the Company repurchased 45,768 shares of its common stock on the open market for a total cost of $0.8 million, or an average price per share of $16.90, during the three months ended March 31, 2024, which completed the 2023 $15.0 Million Repurchase Program.</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repurchases of the Company’s common stock during the three months ended June 30,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18. STOCK-BASED COMPENSATION</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Each non-employee member of the Board has the option to receive his or her annual retainer fee in shares of Company common stock rather than cash. The number of shares issued to the directors making such election is calculated quarterly by dividing the amount of the quarterly retainer fee payment due to such director by the 20-day trailing average closing price of the Company’s common stock as of the last business day of the calendar quarter, rounded down to the nearest whole number of shares. During the six months ended June 30, 2024, the expense recognized for the value of the Company’s common stock received by non-employee directors totaled $0.2 million, or 10,299 shares, of which 5,131 shares were issued on April 1, 2024 and 5,168 shares were issued on July 1, 2024. During the six months ended June 30, 2023, the expense recognized for the value of the Company’s common stock received by non-employee directors totaled $0.2 million, or 9,716 shares, of which 4,776 shares were issued on April 1, 2023 and 4,940 shares were issued on July 3,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Stock compensation expense for the three and six months ended June 30, 2024 and 2023 is summarized as follows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6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2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178"/>
        </w:trPr>
        <w:tc>
          <w:tcPr>
            <w:tcW w:w="3300" w:type="dxa"/>
            <w:vAlign w:val="bottom"/>
            <w:tcBorders>
              <w:top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Stock Compensation Expense – Director</w:t>
            </w: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r>
      <w:tr>
        <w:trPr>
          <w:trHeight w:val="234"/>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Retainers Paid in Stock</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115"/>
        </w:trPr>
        <w:tc>
          <w:tcPr>
            <w:tcW w:w="224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58" w:lineRule="exact"/>
        <w:rPr>
          <w:sz w:val="20"/>
          <w:szCs w:val="20"/>
          <w:color w:val="auto"/>
        </w:rPr>
      </w:pPr>
    </w:p>
    <w:p>
      <w:pPr>
        <w:jc w:val="both"/>
        <w:ind w:left="380" w:right="79" w:hanging="330"/>
        <w:spacing w:after="0" w:line="241" w:lineRule="auto"/>
        <w:tabs>
          <w:tab w:leader="none" w:pos="380" w:val="left"/>
        </w:tabs>
        <w:numPr>
          <w:ilvl w:val="0"/>
          <w:numId w:val="12"/>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Director retainers are issued through additional paid in capital in arrears. Therefore, the change in additional paid in capital during the three and six months ended June 30, 2024 and 2023 reported on the consolidated statements of stockholders’ equity does not agree to the total non-cash compensation reported on the consolidated statements of cash flows.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19. RELATED PARTY MANAGEMENT COMPANY</w:t>
      </w:r>
    </w:p>
    <w:p>
      <w:pPr>
        <w:spacing w:after="0" w:line="20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We are externally managed by the Manager, a wholly owned subsidiary of CTO. Subsequent to the IPO, through June 30, 2024, CTO has purchased an aggregate of 310,007 shares of PINE common stock in the open market including (i) 16,983 shares purchased during the six months ended June 30, 2024 for $0.3 million, or an average price per share of $14.95, (ii) 129,271 shares purchased during the year ended December 31, 2023 for $2.1 million, or an average price per share of $16.21, (iii) 155,665 shares purchased during the year ended December 31, 2022 for $2.7 million, or an average price per share of $17.57 and (iv) 8,088 shares purchased during the year ended December 31, 2021 for $0.1 million, or an average price per share of $17.65.</w:t>
      </w:r>
    </w:p>
    <w:p>
      <w:pPr>
        <w:spacing w:after="0" w:line="18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As of June 30, 2024, CTO owns, in the aggregate, 1,223,854 OP Units and 1,125,797 shares of PINE common stock, inclusive of (i) 394,737 shares of common stock totaling $7.5 million issued in connection with a private placement that closed concurrently with the IPO, (ii) 421,053 shares of common stock totaling $8.0 million issued in connection with the IPO, and (iii) 310,007 shares of common stock totaling $5.2 million purchased by CTO subsequent to the IPO. The aggregate 1,223,854 OP Units and 1,125,797 shares of PINE common stock held by CTO represent an investment totaling $36.6 million, or 15.8% of PINE’s outstanding equity, as of June 30, 2024.</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 Agreement</w:t>
      </w:r>
    </w:p>
    <w:p>
      <w:pPr>
        <w:spacing w:after="0" w:line="227"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On November 26, 2019, the Operating Partnership and PINE entered into a management agreement with the Manager (the “Management Agreement”). Pursuant to the terms of the Management Agreement, our Manager manages, operates and administers our day-to-day operations, business and affairs, subject to the direction and supervision of the Board and in accordance with the investment guidelines approved and monitored by the Board. We pay our Manager a base management fee equal to 0.375% per quarter of our “total equity” (as defined in the Management Agreement and based on a 1.5% annual rate), calculated and payable in cash, quarterly in arrears.</w:t>
      </w:r>
    </w:p>
    <w:p>
      <w:pPr>
        <w:spacing w:after="0" w:line="187"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Manager has the ability to earn an annual incentive fee based on our total stockholder return exceeding an 8% cumulative annual hurdle rate (the “Outperformance Amount”) subject to a high-water mark price. We would pay our Manager an incentive fee with respect to each annual measurement period in the amount of the greater of (i) $0.00 and (ii) the product of (a) 15% multiplied by (b) the Outperformance Amount multiplied by (c) the weighted average shares. No incentive fee was due for the year ended December 31, 2023.</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initial term of the Management Agreement will expire on November 26, 2024 and will automatically renew for an unlimited number of successive one-year periods thereafter, unless the agreement is not renewed or is terminated in accordance with its terms.</w:t>
      </w:r>
    </w:p>
    <w:p>
      <w:pPr>
        <w:spacing w:after="0" w:line="176"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Our independent directors review our Manager’s performance and the management fees annually and, following the initial term, the Management Agreement may be terminated annually upon the affirmative vote of two-thirds of our independent directors or upon a determination by the holders of a majority of the outstanding shares of our common stock, based upon (i) unsatisfactory performance by the Manager that is materially detrimental to us or (ii) a determination that the management fees payable to our Manager are not fair, subject to our Manager’s right to prevent such termination due to unfair fees by accepting a reduction of management fees agreed to by two-thirds of our independent directors. We may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also terminate the Management Agreement for cause at any time, including during the initial term, without the payment of any termination fee, with 30 days’ prior written notice from the Board. During the initial term of the Management Agreement, we may not terminate the Management Agreement except for cause.</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pay directly or reimburse our Manager for certain expenses, if incurred by our Manager. We do not reimburse any compensation expenses incurred by our Manager or its affiliates. Expense reimbursements to our Manager are made in cash on a quarterly basis following the end of each quarter. In addition, we pay all of our operating expenses, except those specifically required to be borne by our Manager pursuant to the Management Agreement.</w:t>
      </w:r>
    </w:p>
    <w:p>
      <w:pPr>
        <w:spacing w:after="0" w:line="18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Company incurred management fee expenses totaling $1.0 million and $2.1 million during the three and six months ended June 30, 2024, respectively. The Company also paid dividends on the common stock and OP Units owned by affiliates of the Manager in the amount of $0.6 million and $1.3 million for the three and six months ended June 30, 2024, respectively. The Company incurred management fee expenses totaling $1.1 million and $2.2 million during the three and six months ended June 30, 2023, respectively. The Company also paid dividends on the common stock and OP Units owned by affiliates of the Manager in the amount of $0.6 million and $1.2 million for the three and six months ended June 30, 2023, respectively.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represents amounts due to (from) CTO (in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Pr>
          <w:p>
            <w:pPr>
              <w:spacing w:after="0"/>
              <w:rPr>
                <w:sz w:val="18"/>
                <w:szCs w:val="18"/>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due to CTO</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gridSpan w:val="3"/>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Total </w:t>
            </w:r>
            <w:r>
              <w:rPr>
                <w:rFonts w:ascii="Times New Roman" w:cs="Times New Roman" w:eastAsia="Times New Roman" w:hAnsi="Times New Roman"/>
                <w:sz w:val="24"/>
                <w:szCs w:val="24"/>
                <w:color w:val="auto"/>
                <w:vertAlign w:val="superscript"/>
              </w:rPr>
              <w:t>(1)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2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380" w:hanging="330"/>
        <w:spacing w:after="0"/>
        <w:tabs>
          <w:tab w:leader="none" w:pos="380" w:val="left"/>
        </w:tabs>
        <w:numPr>
          <w:ilvl w:val="0"/>
          <w:numId w:val="13"/>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Included in accrued expenses, see Note 11, “Accounts Payable, Accrued Expenses, and Other Liabilities”.</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ROFO Agreement</w:t>
      </w:r>
    </w:p>
    <w:p>
      <w:pPr>
        <w:spacing w:after="0" w:line="200"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On November 26, 2019, PINE also entered into an Exclusivity and Right of First Offer Agreement with CTO (the “ROFO Agreement”). During the term of the ROFO Agreement, CTO will not, and will cause each of its affiliates (which for purposes of the ROFO Agreement will not include our company and our subsidiaries) not to, acquire, directly or indirectly, a single-tenant, net leased property, unless CTO has notified us of the opportunity and we have affirmatively rejected the opportunity to acquire the applicable property or properties.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terms of the ROFO Agreement do not restrict CTO or any of its affiliates from providing financing for a third party’s acquisition of single-tenant, net leased properties or from developing and owning any single-tenant, net leased property.</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Pursuant to the ROFO Agreement, neither CTO nor any of its affiliates (which for purposes of the ROFO Agreement does not include our company and our subsidiaries) may sell to any third party any single-tenant, net leased property that was owned by CTO or any of its affiliates as of the closing date of the IPO or that is developed and owned by CTO or any of its affiliates after the closing date of the IPO, without first offering us the right to purchase such property.</w:t>
      </w:r>
    </w:p>
    <w:p>
      <w:pPr>
        <w:spacing w:after="0" w:line="180"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term of the ROFO Agreement will continue for so long as the Management Agreement with our Manager is in effect.</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April 6, 2021, the Company entered into a purchase and sale agreement with a certain subsidiary of CTO for the purchase of one net lease property for $11.5 million. The acquisition was completed on April 23, 2021.</w:t>
      </w:r>
    </w:p>
    <w:p>
      <w:pPr>
        <w:spacing w:after="0" w:line="162"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On April 2, 2021, the Company entered into a purchase and sale agreement with certain subsidiaries of CTO for the purchase of six net lease properties (the “CMBS Portfolio”). The terms of the purchase and sale agreement, as amended on April 20, 2021, provided a total purchase price of $44.5 million for the CMBS Portfolio. The acquisition of the CMBS Portfolio was completed on June 30,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On January 5, 2022, the Company entered into a purchase and sale agreement with a certain subsidiary of CTO for the purchase of one net lease property for $6.9 million. The acquisition was completed on January 7, 2022.</w:t>
      </w:r>
    </w:p>
    <w:p>
      <w:pPr>
        <w:spacing w:after="0" w:line="162"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entry into these purchase and sale agreements, and subsequent completion of the related acquisitions, are a result of the Company exercising its right to purchase the aforementioned properties under the ROFO Agreement.</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Conflicts of Interest</w:t>
      </w:r>
    </w:p>
    <w:p>
      <w:pPr>
        <w:spacing w:after="0" w:line="20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Conflicts of interest may exist or could arise in the future with CTO and its affiliates, including our Manager, the individuals who serve as our executive officers and executive officers of CTO, any individual who serves as a director of our company and as a director of CTO and any limited partner of the Operating Partnership. Conflicts may include, without limitation: conflicts arising from the enforcement of agreements between us and CTO or our Manager; conflicts in the amount of time that executive officers and employees of CTO, who are provided to us through our Manager, will spend on our affairs versus CTO’s affairs; and conflicts in future transactions that we may pursue with CTO and its affiliates. We do not generally expect to enter into joint ventures with CTO, but if we do so, the terms and conditions of our joint venture investment will be subject to the approval of a majority of disinterested directors of the Board.</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In addition, we are subject to conflicts of interest arising out of our relationships with our Manager. Pursuant to the Management Agreement, our Manager is obligated to supply us with our senior management team. However, our Manager is not obligated to dedicate any specific CTO personnel exclusively to us, nor are the CTO personnel provided to us by our Manager obligated to dedicate any specific portion of their time to the management of our business. Additionally, our Manager is a wholly owned subsidiary of CTO. All of our executive officers are executive officers and employees of CTO and one of our officers (John P. Albright) is also a member of CTO’s board of directors. As a result, our Manager and the CTO personnel it provides to us may have conflicts between their duties to us and their duties to, and interests in, CTO.</w:t>
      </w:r>
    </w:p>
    <w:p>
      <w:pPr>
        <w:spacing w:after="0" w:line="18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We may acquire, sell, or finance net leased properties that would potentially fit the investment criteria for our Manager or its affiliates. Similarly, our Manager or its affiliates may acquire, sell, or finance net leased properties that would potentially fit our investment criteria. Although such acquisitions or dispositions could present conflicts of interest, we nonetheless may pursue and consummate such transactions. Additionally, we may engage in transactions directly with our Manager or its affiliates, including the purchase and sale of all or a portion of a portfolio of assets. If we acquire a net leased property from CTO or one of its affiliates or sell a net leased property to CTO or one of its affiliates, the purchase price we pay to CTO or one of its affiliates or the purchase price paid to us by CTO or one of its affiliates may be higher or lower, respectively, than the purchase price that would have been paid to or by us if the transaction were the result of arm’s length negotiations with an unaffiliated third party.</w:t>
      </w:r>
    </w:p>
    <w:p>
      <w:pPr>
        <w:spacing w:after="0" w:line="188"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 deciding whether to issue additional debt or equity securities, we will rely, in part, on recommendations made by our Manager. While such decisions are subject to the approval of the Board, our Manager is entitled to be paid a base management fee that is based on our “total equity” (as defined in the Management Agreement). As a result, our Manager may have an incentive to recommend that we issue additional equity securities at dilutive prices.</w:t>
      </w:r>
    </w:p>
    <w:p>
      <w:pPr>
        <w:spacing w:after="0" w:line="180"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All of our executive officers are executive officers and employees of CTO. These individuals and other CTO personnel provided to us through our Manager devote as much time to us as our Manager deems appropriate. However, our executive officers and other CTO personnel provided to us through our Manager may have conflicts in allocating their time and services between us, on the one hand, and CTO and its affiliates, on the other. During a period of prolonged economic weakness or another economic downturn affecting the real estate industry or at other times when we need focused support and assistance from our Manager and the CTO executive officers and other personnel provided to us through our Manager, we may not receive the necessary support and assistance we require or that we would otherwise receive if we were self-managed.</w:t>
      </w:r>
    </w:p>
    <w:p>
      <w:pPr>
        <w:spacing w:after="0" w:line="192"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Additionally, the ROFO Agreement does contain exceptions to CTO’s exclusivity for opportunities that include only an incidental interest in single-tenant, net leased properties. Accordingly, the ROFO Agreement will not prevent CTO from pursuing certain acquisition opportunities that otherwise satisfy our then-current investment criteria.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52" w:lineRule="auto"/>
        <w:rPr>
          <w:sz w:val="20"/>
          <w:szCs w:val="20"/>
          <w:color w:val="auto"/>
        </w:rPr>
      </w:pPr>
      <w:r>
        <w:rPr>
          <w:rFonts w:ascii="Times New Roman" w:cs="Times New Roman" w:eastAsia="Times New Roman" w:hAnsi="Times New Roman"/>
          <w:sz w:val="18"/>
          <w:szCs w:val="18"/>
          <w:color w:val="auto"/>
        </w:rPr>
        <w:t>Our directors and executive officers have duties to our company under applicable Maryland law in connection with their management of our company. At the same time, PINE GP has fiduciary duties, as the general partner, to the Operating Partnership and to the limited partners under Delaware law in connection with the management of the Operating Partnership. These duties as a general partner to the Operating Partnership and its partners may come into conflict with the duties of our directors and executive officers to us. Unless otherwise provided for in the relevant partnership agreement, Delaware law generally requires a general partner of a Delaware limited partnership to adhere to fiduciary duty standards under which it owes its limited partners the highest duties of loyalty and care and which generally prohibits such general partner from taking any action or engaging in any transaction as to which it has a conflict of interest. The partnership agreement provides that in the event of a conflict between the interests of our stockholders on the one hand and the limited partners of the Operating Partnership on the other hand, PINE GP will endeavor in good faith to resolve the conflict in a manner not adverse to either our stockholders or the limited partners; provided, however, that so long as we own a controlling interest in the Operating Partnership, any such conflict that we, in our sole and absolute discretion, determine cannot be resolved in a manner not adverse to either our stockholders or the limited partners of the Operating Partnership shall be resolved in favor of our stockholders, and we shall not be liable for monetary damages for losses sustained, liabilities incurred or benefits not derived by the limited partners in connection with such decisions.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Sharing Agreement</w:t>
      </w:r>
    </w:p>
    <w:p>
      <w:pPr>
        <w:spacing w:after="0" w:line="227"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On December 4, 2023, CTO entered into an asset management agreement directly with the borrower under the Mortgage Note (as described in Note 4, “Commercial Loans and Investments”) to manage the portfolio of assets secured by the Mortgage Note. The Company entered into a revenue sharing agreement with CTO whereby the Company is expected to receive a share of the asset management fees, disposition management fees, leasing commissions, and other fees related to CTO’s management and administration of the portfolio (the “Revenue Sharing Agreement”). The Company’s share of the fees under the Revenue Sharing Agreement will be based on fees earned by CTO associated with the single tenant properties within the portfolio. The Company recognized $0.2 million and $0.3 million of revenue pursuant to the Revenue Sharing Agreement during the three and six months ended June 30, 2024, respectively, which is included in other revenue on the Company’s consolidated statement of operations.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20. COMMITMENTS AND CONTINGENCIES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14" w:lineRule="exact"/>
        <w:rPr>
          <w:sz w:val="20"/>
          <w:szCs w:val="20"/>
          <w:color w:val="auto"/>
        </w:rPr>
      </w:pPr>
    </w:p>
    <w:p>
      <w:pPr>
        <w:jc w:val="both"/>
        <w:ind w:left="60" w:right="79" w:firstLine="38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COMMITMENTS – EXPENDITURES</w:t>
      </w:r>
    </w:p>
    <w:p>
      <w:pPr>
        <w:spacing w:after="0" w:line="227" w:lineRule="exact"/>
        <w:rPr>
          <w:sz w:val="20"/>
          <w:szCs w:val="20"/>
          <w:color w:val="auto"/>
        </w:rPr>
      </w:pPr>
    </w:p>
    <w:p>
      <w:pPr>
        <w:jc w:val="both"/>
        <w:ind w:left="60" w:right="59" w:firstLine="389"/>
        <w:spacing w:after="0" w:line="282" w:lineRule="auto"/>
        <w:rPr>
          <w:sz w:val="20"/>
          <w:szCs w:val="20"/>
          <w:color w:val="auto"/>
        </w:rPr>
      </w:pPr>
      <w:r>
        <w:rPr>
          <w:rFonts w:ascii="Times New Roman" w:cs="Times New Roman" w:eastAsia="Times New Roman" w:hAnsi="Times New Roman"/>
          <w:sz w:val="18"/>
          <w:szCs w:val="18"/>
          <w:color w:val="auto"/>
        </w:rPr>
        <w:t>The Company is committed to fund four construction loans as described in Note 4, “Commercial Loans and Investments”. The unfunded portion of the construction loans totaled $5.9 million as of June 30,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21. BUSINESS SEGMENT DATA</w:t>
      </w:r>
    </w:p>
    <w:p>
      <w:pPr>
        <w:spacing w:after="0" w:line="2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operates in two primary business segments: income properties and commercial loans and investments.</w:t>
      </w:r>
    </w:p>
    <w:p>
      <w:pPr>
        <w:spacing w:after="0" w:line="185"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Our income property operations consist of lease income from income producing properties and our business plan is focused on investing in additional income-producing properties. Our income property operations accounted for 88% and 89% of our identifiable assets as of June 30, 2024 and December 31, 2023, respectively, and 91% and 100% of our consolidated revenues for the six months ended June 30, 2024 and 2023, respectively. As of June 30, 2024, our commercial loans investment portfolio consisted of five commercial loan investments.</w:t>
      </w:r>
    </w:p>
    <w:p>
      <w:pPr>
        <w:spacing w:after="0" w:line="18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evaluates segment performance based on operating income. The Company’s reportable segments are strategic business units that offer different products. They are managed separately because each segment requires different management techniques, knowledge, and skill.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Information about the Company’s operations in different segments for the three and six months ended June 30, 2024</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2023 is as follows (in thousands):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4"/>
                <w:szCs w:val="24"/>
                <w:color w:val="auto"/>
              </w:rPr>
            </w:pPr>
          </w:p>
        </w:tc>
        <w:tc>
          <w:tcPr>
            <w:tcW w:w="20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1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80" w:type="dxa"/>
            <w:vAlign w:val="bottom"/>
          </w:tcPr>
          <w:p>
            <w:pPr>
              <w:spacing w:after="0"/>
              <w:rPr>
                <w:sz w:val="18"/>
                <w:szCs w:val="18"/>
                <w:color w:val="auto"/>
              </w:rPr>
            </w:pPr>
          </w:p>
        </w:tc>
        <w:tc>
          <w:tcPr>
            <w:tcW w:w="11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8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from Operations: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Commercial Loans and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Corporate Expenses</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(7,954)</w:t>
            </w:r>
          </w:p>
        </w:tc>
        <w:tc>
          <w:tcPr>
            <w:tcW w:w="3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(8,079)</w:t>
            </w:r>
          </w:p>
        </w:tc>
        <w:tc>
          <w:tcPr>
            <w:tcW w:w="2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(688)</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Identifiable assets of each segment as of June 30, 2024 and December 31, 2023 are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80" w:type="dxa"/>
            <w:vAlign w:val="bottom"/>
            <w:tcBorders>
              <w:bottom w:val="single" w:sz="8" w:color="auto"/>
            </w:tcBorders>
          </w:tcPr>
          <w:p>
            <w:pPr>
              <w:spacing w:after="0"/>
              <w:rPr>
                <w:sz w:val="20"/>
                <w:szCs w:val="20"/>
                <w:color w:val="auto"/>
              </w:rPr>
            </w:pPr>
          </w:p>
        </w:tc>
      </w:tr>
      <w:tr>
        <w:trPr>
          <w:trHeight w:val="187"/>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Properties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500,411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503,151</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Loans and Investments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26,189</w:t>
            </w:r>
          </w:p>
        </w:tc>
      </w:tr>
      <w:tr>
        <w:trPr>
          <w:trHeight w:val="210"/>
        </w:trPr>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565,777</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564,560</w:t>
            </w:r>
          </w:p>
        </w:tc>
      </w:tr>
      <w:tr>
        <w:trPr>
          <w:trHeight w:val="20"/>
        </w:trPr>
        <w:tc>
          <w:tcPr>
            <w:tcW w:w="5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60" w:firstLine="324"/>
        <w:spacing w:after="0" w:line="261" w:lineRule="auto"/>
        <w:rPr>
          <w:sz w:val="20"/>
          <w:szCs w:val="20"/>
          <w:color w:val="auto"/>
        </w:rPr>
      </w:pPr>
      <w:r>
        <w:rPr>
          <w:rFonts w:ascii="Times New Roman" w:cs="Times New Roman" w:eastAsia="Times New Roman" w:hAnsi="Times New Roman"/>
          <w:sz w:val="18"/>
          <w:szCs w:val="18"/>
          <w:color w:val="auto"/>
        </w:rPr>
        <w:t>Operating income represents income from continuing operations before interest expense, and investment and other income. General and corporate expenses are an aggregate of general and administrative expenses and depreciation and amortization expense. Identifiable assets by segment are those assets that are used in the Company’s operations in each segment. Corporate and other assets consist primarily of cash and restricted cash as well as the interest rate swaps.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NOTE 22. SUBSEQUENT EVENTS</w:t>
      </w:r>
    </w:p>
    <w:p>
      <w:pPr>
        <w:spacing w:after="0" w:line="243" w:lineRule="exact"/>
        <w:rPr>
          <w:sz w:val="20"/>
          <w:szCs w:val="20"/>
          <w:color w:val="auto"/>
        </w:rPr>
      </w:pPr>
    </w:p>
    <w:p>
      <w:pPr>
        <w:jc w:val="both"/>
        <w:ind w:left="60" w:right="80" w:firstLine="324"/>
        <w:spacing w:after="0" w:line="282" w:lineRule="auto"/>
        <w:rPr>
          <w:sz w:val="20"/>
          <w:szCs w:val="20"/>
          <w:color w:val="auto"/>
        </w:rPr>
      </w:pPr>
      <w:r>
        <w:rPr>
          <w:rFonts w:ascii="Times New Roman" w:cs="Times New Roman" w:eastAsia="Times New Roman" w:hAnsi="Times New Roman"/>
          <w:sz w:val="18"/>
          <w:szCs w:val="18"/>
          <w:color w:val="auto"/>
        </w:rPr>
        <w:t>Subsequent events and transactions were evaluated through July 18, 2024, the date the consolidated financial statements were issued.</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When we refer to “we,” “us,” “our,” or “the Company,” we mean Alpine Income Property Trust, Inc. and its consolidated subsidiaries. References to “Notes to Financial Statements” refer to the Notes to the Consolidated Financial Statements of Alpine Income Property Trust, Inc. included in this Quarterly Report on Form 10-Q. Some of the comments we make in this section are forward-looking statements within the meaning of the federal securities laws. For a complete discussion of forward-looking statements, see the section below entitled “Special Note Regarding Forward-Looking Statements.” Certain factors that could cause actual results or events to differ materially from those the Company anticipates or projects are described in “Item 1A. Risk Factors” of the Company’s Annual Report on Form 10-K for the year ended December 31,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(set forth in Section 27A of the Securities Act of 1933, as amended, and Section 21E of the Securities Exchange Act of 1934, as amended (the “Exchange Act”)). The words “believe,” “estimate,” “expect,” “intend,” “anticipate,” “will,” “could,” “may,” “should,” “plan,” “potential,” “predict,” “forecast,” “project,” and similar expressions and variations thereof identify certain of such forward-looking statements, which speak only as of the dates on which they were made. Forward-looking statements are made based upon management’s expectations and beliefs concerning future developments and their potential effect upon the Company. There can be no assurance that future developments will be in accordance with management’s expectations or that the effect of future developments on the Company will be those anticipated by management.</w:t>
      </w:r>
    </w:p>
    <w:p>
      <w:pPr>
        <w:spacing w:after="0" w:line="188"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Because forward-looking statements relate to the future, by their nature, they are subject to inherent uncertainties, risks and changes in circumstances that are difficult to predict. These risks and uncertainties include, but are not limited to, the strength of the real estate market; the impact of a prolonged recession or downturn in economic conditions; our ability to successfully execute acquisition or development strategies; credit risk associated with us investing in commercial loans and investments; any loss of key management personnel; changes in local, regional, national and global economic conditions affecting the real estate development business and properties, including unstable macroeconomic conditions due to, among other things, geopolitical conflicts, inflation, and rising interest rates; the impact of competitive real estate activity; the loss of any major property tenants; the ultimate geographic spread, severity and duration of pandemics, actions that may be taken by governmental authorities to contain or address the impact of such pandemics, and the potential negative impacts of such pandemics on the global economy and our financial condition and results of operations; and the availability of capital. These risks and uncertainties may cause our actual future results to be materially different than those expressed in our forward-looking statements.</w:t>
      </w:r>
    </w:p>
    <w:p>
      <w:pPr>
        <w:spacing w:after="0" w:line="190"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See “Item 1A. Risk Factors” of the Company’s Annual Report on Form 10-K for the year ended December 31, 2023 for further discussion of these risks, as well as additional risks and uncertainties that could cause actual results or events to differ materially from those described in the Company’s forward-looking statements. Given these risks and uncertainties, readers are cautioned not to place undue reliance on such statements, which speak only as of the date of this Quarterly Report on Form 10-Q. The Company undertakes no obligation to publicly release any revisions to these forward-looking statements that may be made to reflect events or circumstances after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Alpine Income Property Trust, Inc. is a Maryland corporation that conducts its operations so as to qualify as a REIT for U.S. federal income tax purposes. Substantially all of our operations are conducted through our Operating Partnership.</w:t>
      </w:r>
    </w:p>
    <w:p>
      <w:pPr>
        <w:spacing w:after="0" w:line="162"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seek to acquire, own and operate primarily freestanding, commercial retail real estate properties located in the United States primarily leased pursuant to long-term net leases. We target tenants in industries that we believe are favorably impacted by macroeconomic trends that support consumer spending, stable and growing employment, and positive consumer sentiment, as well as tenants in industries that have demonstrated resistance to the impact of the e-commerce retail sector or who use a physical presence as a component of their omnichannel strategy. We also seek to invest in properties that are net leased to tenants that we believe have attractive credit characteristics, stable operating histories, healthy rent coverage levels, are well-located within their respective markets and/or have rents at-or-below market rent levels. Furthermore, we believe that the size of our company allows us, for at least the near term, to focus our investment activities on the acquisition of single properties or smaller portfolios of properties that represent a transaction size that most of our publicly-traded net lease REIT peers will not pursue on a consistent basis.</w:t>
      </w:r>
    </w:p>
    <w:p>
      <w:pPr>
        <w:spacing w:after="0" w:line="194" w:lineRule="exact"/>
        <w:rPr>
          <w:sz w:val="20"/>
          <w:szCs w:val="20"/>
          <w:color w:val="auto"/>
        </w:rPr>
      </w:pPr>
    </w:p>
    <w:p>
      <w:pPr>
        <w:jc w:val="both"/>
        <w:ind w:left="60" w:right="59" w:firstLine="324"/>
        <w:spacing w:after="0" w:line="254" w:lineRule="auto"/>
        <w:rPr>
          <w:sz w:val="20"/>
          <w:szCs w:val="20"/>
          <w:color w:val="auto"/>
        </w:rPr>
      </w:pPr>
      <w:r>
        <w:rPr>
          <w:rFonts w:ascii="Times New Roman" w:cs="Times New Roman" w:eastAsia="Times New Roman" w:hAnsi="Times New Roman"/>
          <w:sz w:val="18"/>
          <w:szCs w:val="18"/>
          <w:color w:val="auto"/>
        </w:rPr>
        <w:t>Our strategy for investing in income-producing properties is focused on factors including, but not limited to, long-term real estate fundamentals, including those markets experiencing significant economic growth. We employ a methodology for evaluating targeted investments in income-producing properties which includes an evaluation of: (i) the attributes of the real estate (e.g., location, market demographics, comparable properties in the market, etc.); (ii) an evaluation of the existing tenant(s) (e.g., credit-worthiness, property level sales, tenant rent levels compared to the market, etc.); (iii) other market-specific conditions (e.g., tenant industry, job and population growth in the market, local economy, etc.); and (iv) considerations relating to the Company’s business and strategy (e.g., strategic fit of the asset type, property management needs, alignment with the Company’s structure, etc.).</w:t>
      </w:r>
    </w:p>
    <w:p>
      <w:pPr>
        <w:spacing w:after="0" w:line="192" w:lineRule="exact"/>
        <w:rPr>
          <w:sz w:val="20"/>
          <w:szCs w:val="20"/>
          <w:color w:val="auto"/>
        </w:rPr>
      </w:pPr>
    </w:p>
    <w:p>
      <w:pPr>
        <w:jc w:val="both"/>
        <w:ind w:left="60" w:right="79"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acquired two properties for a combined purchase price of $15.6 million, or a cost of $15.7 million including capitalized acquisition costs. During the six months ended June 30, 2024, the Company sold two properties for an aggregate sales price of $6.6 million, generating aggregate gains on sale of $0.9 million.</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As of June 30, 2024, we owned 137 properties with an aggregate gross leasable area of 3.8 million square feet, located in 34 states, with a weighted average remaining lease term of 6.6 years. Our portfolio was 99% occupied as of June 30, 2024.</w:t>
      </w:r>
    </w:p>
    <w:p>
      <w:pPr>
        <w:spacing w:after="0" w:line="176"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We may also acquire or originate commercial loans and investments associated with commercial real estate located in the United States. Our investments in commercial loans are generally secured by real estate or the borrower’s pledge of its ownership interest in an entity that owns real estate. As of June 30, 2024, the Company’s commercial loan investments portfolio included four construction loans and one mortgage note with a total carrying value of $44.7 million.</w:t>
      </w:r>
    </w:p>
    <w:p>
      <w:pPr>
        <w:spacing w:after="0" w:line="180"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The Company has no employees and is externally managed by Alpine Income Property Manager, LLC, a Delaware limited liability company and a wholly owned subsidiary of CTO (our “Manager”). CTO is a Maryland corporation that is a publicly traded diversified REIT and the sole member of our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three months ended June 30, 2024, as compared to the three months ended June 30, 2023 (in thousands):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11,330</w:t>
            </w:r>
          </w:p>
        </w:tc>
        <w:tc>
          <w:tcPr>
            <w:tcW w:w="1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 Investments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0" w:type="dxa"/>
            <w:vAlign w:val="bottom"/>
          </w:tcPr>
          <w:p>
            <w:pPr>
              <w:spacing w:after="0"/>
              <w:rPr>
                <w:sz w:val="1"/>
                <w:szCs w:val="1"/>
                <w:color w:val="auto"/>
              </w:rPr>
            </w:pPr>
          </w:p>
        </w:tc>
      </w:tr>
      <w:tr>
        <w:trPr>
          <w:trHeight w:val="198"/>
        </w:trPr>
        <w:tc>
          <w:tcPr>
            <w:tcW w:w="43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178"/>
        </w:trPr>
        <w:tc>
          <w:tcPr>
            <w:tcW w:w="43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Attributable to Alpine Income Property</w:t>
            </w:r>
          </w:p>
        </w:tc>
        <w:tc>
          <w:tcPr>
            <w:tcW w:w="2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5"/>
                <w:szCs w:val="15"/>
                <w:color w:val="auto"/>
              </w:rPr>
            </w:pPr>
          </w:p>
        </w:tc>
        <w:tc>
          <w:tcPr>
            <w:tcW w:w="3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5"/>
                <w:szCs w:val="15"/>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2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Inc.</w:t>
            </w:r>
          </w:p>
        </w:tc>
        <w:tc>
          <w:tcPr>
            <w:tcW w:w="20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6" w:lineRule="auto"/>
        <w:rPr>
          <w:sz w:val="20"/>
          <w:szCs w:val="20"/>
          <w:color w:val="auto"/>
        </w:rPr>
      </w:pPr>
      <w:r>
        <w:rPr>
          <w:rFonts w:ascii="Times New Roman" w:cs="Times New Roman" w:eastAsia="Times New Roman" w:hAnsi="Times New Roman"/>
          <w:sz w:val="18"/>
          <w:szCs w:val="18"/>
          <w:color w:val="auto"/>
        </w:rPr>
        <w:t>Revenue from our property operations totaled $11.3 million during the three months ended June 30, 2024 and 2023. Our relatively flat revenues is primarily due to the Company’s recycling of assets during the periods. The direct costs of revenues for our income properties totaled $1.8 million and $1.6 million during the three months ended June 30, 2024 and 2023, respectively. The $0.2 million increase in the direct cost of revenues is reflective of increased reimbursable expenses as well as a portion of portfolio expenses being non-recoverable pursuant to tenant leases and certain vacancies in our properties currently held for sale.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89"/>
        <w:spacing w:after="0" w:line="261"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$1.0 million for the three months ended June 30, 2024. The income is attributable to three loans originated by the Company during the year ended December 31, 2023 as well as two loans originated during the six months ended June 30, 2024. There were no commercial loans and investments generating interest income during the three months ended June 30,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revenue totaled $0.2 million for the three months ended June 30, 2024. The revenue is attributable to fees earned from a revenue sharing agreement the Company entered into with CTO as further described in Note 19, “Related Party Management Company” in the Notes to the Financial Statements. There were no revenue sharing agreements generating income during the three months ended June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three months ended June 30, 2024, as compared to the three months ended June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totaled $1.6 million and $1.7 million during the three months ended June 30, 2024 and 2023, respectively. The $0.1 million decrease in the management fee is attributable to a decrease in the Company’s equity base as the result of recent share repurchases.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Company recorded a $0.7 million impairment charge of which $0.1 million represents the current expected credit losses (“CECL”) reserve related to our commercial loans and investments and $0.6 million represents the provision for losses related to our income properties as further described in Note 7, “Provision for Impairment”. There were no impairment charges on the Company’s income property portfolio or CECL reserve charges during the three months ended June 30, 2023.</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43"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$6.4 million during the three months ended June 30, 2024 and 2023. Our relatively flat depreciation and amortization expense is primarily due to the Company’s recycling of assets during the relative periods.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sold two properties for an aggregate sales price of $6.6 million, generating aggregate gains on sale of $0.9 million. During the three months ended June 30, 2023, the Company sold four properties for an aggregate sales price of $22.9 million generating aggregate gains on sale of $0.7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79" w:firstLine="355"/>
        <w:spacing w:after="0" w:line="282" w:lineRule="auto"/>
        <w:rPr>
          <w:sz w:val="20"/>
          <w:szCs w:val="20"/>
          <w:color w:val="auto"/>
        </w:rPr>
      </w:pPr>
      <w:r>
        <w:rPr>
          <w:rFonts w:ascii="Times New Roman" w:cs="Times New Roman" w:eastAsia="Times New Roman" w:hAnsi="Times New Roman"/>
          <w:sz w:val="18"/>
          <w:szCs w:val="18"/>
          <w:color w:val="auto"/>
        </w:rPr>
        <w:t>Investment and other income totaled $0.1 million during the three months ended June 30, 2024 and 2023. Investment and other income is attributable to interest earned on bank deposits.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totaled $2.8 million and $2.4 million during the three months ended June 30, 2024 and 2023, respectively. The $0.4 million increase in interest expense is attributable to the higher average outstanding debt balance as well as $0.1 million of interest expense resulting from the sale of participation interest in the Company’s $23.4 million Mortgage Note during the three months ended June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income totaled $0.2 million and $0.1 million during the three months ended June 30, 2024 and 2023, respectively. The $0.1 million increase in net income is attributable to the factors described above, most notably the increase in the gain on disposition of assets of $0.2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Company’s results of operations for the six months ended June 30, 2024, as compared to the six months ended June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Variance</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2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22,794</w:t>
            </w:r>
          </w:p>
        </w:tc>
        <w:tc>
          <w:tcPr>
            <w:tcW w:w="12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from Commercial Loan Investments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24,956</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Real Estate Expenses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Operations</w:t>
            </w: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and Other Income</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(5,766)</w:t>
            </w:r>
          </w:p>
        </w:tc>
        <w:tc>
          <w:tcPr>
            <w:tcW w:w="3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(5,051)</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198"/>
        </w:trPr>
        <w:tc>
          <w:tcPr>
            <w:tcW w:w="43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0" w:type="dxa"/>
            <w:vAlign w:val="bottom"/>
          </w:tcPr>
          <w:p>
            <w:pPr>
              <w:spacing w:after="0"/>
              <w:rPr>
                <w:sz w:val="1"/>
                <w:szCs w:val="1"/>
                <w:color w:val="auto"/>
              </w:rPr>
            </w:pPr>
          </w:p>
        </w:tc>
      </w:tr>
      <w:tr>
        <w:trPr>
          <w:trHeight w:val="178"/>
        </w:trPr>
        <w:tc>
          <w:tcPr>
            <w:tcW w:w="432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Alpine Income</w:t>
            </w:r>
          </w:p>
        </w:tc>
        <w:tc>
          <w:tcPr>
            <w:tcW w:w="2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(3,475)</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0" w:type="dxa"/>
            <w:vAlign w:val="bottom"/>
          </w:tcPr>
          <w:p>
            <w:pPr>
              <w:spacing w:after="0"/>
              <w:rPr>
                <w:sz w:val="1"/>
                <w:szCs w:val="1"/>
                <w:color w:val="auto"/>
              </w:rPr>
            </w:pPr>
          </w:p>
        </w:tc>
      </w:tr>
      <w:tr>
        <w:trPr>
          <w:trHeight w:val="221"/>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Trust, Inc.</w:t>
            </w:r>
          </w:p>
        </w:tc>
        <w:tc>
          <w:tcPr>
            <w:tcW w:w="26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Lease Income and Real Estate Expenses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Revenue from our property operations during the six months ended June 30, 2024 and 2023, totaled $22.8 million and $22.5 million, respectively. The $0.3 million increase in lease income is reflective of the Company’s volume of property acquisitions during the six months ended June 30, 2024 and the year ended December 31, 2023, partially offset by property sales during the same period. The direct costs of revenues for our income properties totaled $3.7 million and $3.0 million during the six months ended June 30, 2024 and 2023, respectively. The $0.7 million increase in the direct cost of revenues is reflective of increased reimbursable expenses as well as a portion of portfolio expenses being non-recoverable pursuant to tenant leases and certain vacancies in our properties currently held for sale.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Commercial Loans and Investments</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income from commercial loans and investments totaled $1.9 million for the six months ended June 30, 2024. The income is attributable to three loans originated by the Company during the year ended December 31, 2023 as well as two loans originated during the six months ended June 30, 2024. There were no commercial loans and investments generating interest income during the six months ended June 30,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Revenue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Other revenue totaled $0.3 million for the six months ended June 30, 2024. The revenue is attributable to fees earned from a revenue sharing agreement the Company entered into with CTO as further described in Note 19, “Related Party Management Company” in the Notes to the Financial Statements. There were no revenue sharing agreements generating income during the six months ended June 30,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left="60" w:right="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general and administrative expenses for the six months ended June 30, 2024, as compared to the six months ended June 30,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0" w:type="dxa"/>
            <w:vAlign w:val="bottom"/>
          </w:tcPr>
          <w:p>
            <w:pPr>
              <w:spacing w:after="0"/>
              <w:rPr>
                <w:sz w:val="20"/>
                <w:szCs w:val="2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 Variance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Variance</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Fee to Manager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Stock Compensation Expense</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&amp; Officer Insurance Expense</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Additional General and Administrative Expense</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totaled $3.1 million and $3.2 million during the six months ended June 30, 2024 and 2023, respectively. The $0.1 million decrease in the management fee is attributable to a decrease in the Company’s equity base as the result of recent share repurchases. The $0.1 million increase in additional general and administrative expense is primarily the result of additional state and local tax payments, as the result of the Company owning more properties in states with franchise tax fees.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Provision for Impairment</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recorded a $0.7 million impairment charge of which $0.1 million represents the CECL reserve related to our commercial loans and investments and $0.6 million represents the provision for losses related to our income properties as further described in Note 7, “Provision for Impairment”. There were no impairment charges on the Company’s income property portfolio during the six months ended June 30, 2023.</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29" w:lineRule="exact"/>
        <w:rPr>
          <w:sz w:val="20"/>
          <w:szCs w:val="20"/>
          <w:color w:val="auto"/>
        </w:rPr>
      </w:pPr>
    </w:p>
    <w:p>
      <w:pPr>
        <w:jc w:val="both"/>
        <w:ind w:left="60" w:right="59" w:firstLine="36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totaled $12.7 million and $12.8 million during the six months ended June 30, 2024 and 2023, respectively. The $0.1 million decrease in the depreciation and amortization expense is reflective of the timing of property acquisitions for the Company's property portfolio each quarter.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Gain on Disposition of Assets</w:t>
      </w:r>
    </w:p>
    <w:p>
      <w:pPr>
        <w:spacing w:after="0" w:line="229" w:lineRule="exact"/>
        <w:rPr>
          <w:sz w:val="20"/>
          <w:szCs w:val="20"/>
          <w:color w:val="auto"/>
        </w:rPr>
      </w:pPr>
    </w:p>
    <w:p>
      <w:pPr>
        <w:jc w:val="both"/>
        <w:ind w:left="60" w:right="59" w:firstLine="423"/>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sold two properties for an aggregate sales price of $6.6 million, generating aggregate gains on sale of $0.9 million. During the six months ended June 30, 2023, the Company sold 14 properties for an aggregate sales price of $79.1 million generating aggregate gains on sale of $5.2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Investment and Other Income</w:t>
      </w:r>
    </w:p>
    <w:p>
      <w:pPr>
        <w:spacing w:after="0" w:line="229" w:lineRule="exact"/>
        <w:rPr>
          <w:sz w:val="20"/>
          <w:szCs w:val="20"/>
          <w:color w:val="auto"/>
        </w:rPr>
      </w:pPr>
    </w:p>
    <w:p>
      <w:pPr>
        <w:jc w:val="both"/>
        <w:ind w:left="60" w:right="59" w:firstLine="315"/>
        <w:spacing w:after="0" w:line="282" w:lineRule="auto"/>
        <w:rPr>
          <w:sz w:val="20"/>
          <w:szCs w:val="20"/>
          <w:color w:val="auto"/>
        </w:rPr>
      </w:pPr>
      <w:r>
        <w:rPr>
          <w:rFonts w:ascii="Times New Roman" w:cs="Times New Roman" w:eastAsia="Times New Roman" w:hAnsi="Times New Roman"/>
          <w:sz w:val="18"/>
          <w:szCs w:val="18"/>
          <w:color w:val="auto"/>
        </w:rPr>
        <w:t>Investment and other income totaled $0.1 million during the six months ended June 30, 2024 and 2023. Investment and other income is attributable to interest earned on bank deposits.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Interest expense totaled $5.8 million and $5.1 million during the six months ended June 30, 2024 and 2023, respectively. The $0.7 million increase in interest expense is attributable to the higher average outstanding debt balance as well as $0.1 million of interest expense resulting from the sale of participation interest in the Company’s $23.3 million Mortgage Note during the six months ended June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Net loss totaled $0.1 million and net income totaled $3.8 million during the six months ended June 30, 2024 and 2023, respectively. The $3.9 million decrease in net income is attributable to the factors described above, most notably the decrease in the gain on disposition of assets of $4.3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Cash totaled $6.4 million as of June 30, 2024, including restricted cash of $3.1 million. See Note 2 “Summary of Significant Accounting Policies” under the heading Restricted Cash for the Company’s disclosure related to its restricted cash balance as of June 30, 2024.</w:t>
      </w:r>
    </w:p>
    <w:p>
      <w:pPr>
        <w:spacing w:after="0" w:line="174"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As of June 30, 2024, the Company had an outstanding balance of $69.0 million on the $250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revolving Credit Facility. The Company also had $200.0 million in term loans outstanding as of June 30, 2024. See Note 13, “Long-Term Debt” for the Company’s disclosure related to its long-term debt balance at June 30, 2024.</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Acquisitions and Dispositions. </w:t>
      </w:r>
      <w:r>
        <w:rPr>
          <w:rFonts w:ascii="Times New Roman" w:cs="Times New Roman" w:eastAsia="Times New Roman" w:hAnsi="Times New Roman"/>
          <w:sz w:val="18"/>
          <w:szCs w:val="18"/>
          <w:color w:val="auto"/>
        </w:rPr>
        <w:t>As further described in Note 3, “Property Portfolio,” the Company acquired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for a combined purchase price of $15.6 million, or a cost of $15.7 million including capitalized acquisition costs, and sold two properties for an aggregate sales price of $6.6 million, generating aggregate gains on sale of $0.9 million.</w:t>
      </w:r>
    </w:p>
    <w:p>
      <w:pPr>
        <w:spacing w:after="0" w:line="173"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ATM Program. </w:t>
      </w:r>
      <w:r>
        <w:rPr>
          <w:rFonts w:ascii="Times New Roman" w:cs="Times New Roman" w:eastAsia="Times New Roman" w:hAnsi="Times New Roman"/>
          <w:sz w:val="18"/>
          <w:szCs w:val="18"/>
          <w:color w:val="auto"/>
        </w:rPr>
        <w:t>During the six months ended June 30, 2024, the Company sold 3,350 shares under the 2022 ATM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for gross proceeds of $0.1 million at a weighted average price of $16.02 per share, generating net proceeds of $0.1 million.</w:t>
      </w:r>
    </w:p>
    <w:p>
      <w:pPr>
        <w:spacing w:after="0" w:line="173"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As of June 30, 2024, the Company had no commitments related to capital expenditures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fixed assets, such as land, buildings, and equipment. The Company is committed to fund four construction loans as described in Note 4, “Commercial Loans and Investments”. The unfunded portion of the construction loans totaled $5.9 million as of June 30, 2024.</w:t>
      </w:r>
    </w:p>
    <w:p>
      <w:pPr>
        <w:spacing w:after="0" w:line="182"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We believe we will have sufficient liquidity to fund our operations, capital requirements, maintenance, and debt service requirements over the next twelve months and into the foreseeable future, with cash on hand, cash flow from our operations, proceeds from the completion of the sale of assets utilizing the reverse like-kind 1031 exchange structure, $109.5 million of availability remaining under the 2022 ATM Program, and $181.0 million of available capacity on the existing $250.0 million Credit Facility.</w:t>
      </w:r>
    </w:p>
    <w:p>
      <w:pPr>
        <w:spacing w:after="0" w:line="183"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The Board and management consistently review the allocation of capital with the goal of providing the best long-term return for our stockholders. These reviews consider various alternatives, including increasing or decreasing regular dividends, repurchasing the Company’s securities, and retaining funds for reinvestment. Annually, the Board reviews our business plan and corporate strategies, and makes adjustments as circumstances warrant. Management’s focus is to continue our strategy of investing in net leased properties by utilizing the capital we raise and available borrowing capacity from the Credit Facility to increase our portfolio of income-producing properties, providing stabilized cash flows with strong risk-adjusted returns primarily in larger metropolitan areas and growth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left="60" w:right="59" w:firstLine="324"/>
        <w:spacing w:after="0" w:line="266" w:lineRule="auto"/>
        <w:rPr>
          <w:sz w:val="20"/>
          <w:szCs w:val="20"/>
          <w:color w:val="auto"/>
        </w:rPr>
      </w:pPr>
      <w:r>
        <w:rPr>
          <w:rFonts w:ascii="Times New Roman" w:cs="Times New Roman" w:eastAsia="Times New Roman" w:hAnsi="Times New Roman"/>
          <w:sz w:val="18"/>
          <w:szCs w:val="18"/>
          <w:color w:val="auto"/>
        </w:rPr>
        <w:t>Our reported results are presented in accordance with GAAP. We also disclose FFO and AFFO, both of which are non-GAAP financial measures. We believe these two non-GAAP financial measures are useful to investors because they are widely accepted industry measures used by analysts and investors to compare the operating performance of REITs.</w:t>
      </w:r>
    </w:p>
    <w:p>
      <w:pPr>
        <w:spacing w:after="0" w:line="189" w:lineRule="exact"/>
        <w:rPr>
          <w:sz w:val="20"/>
          <w:szCs w:val="20"/>
          <w:color w:val="auto"/>
        </w:rPr>
      </w:pPr>
    </w:p>
    <w:p>
      <w:pPr>
        <w:jc w:val="both"/>
        <w:ind w:left="60" w:right="59" w:firstLine="324"/>
        <w:spacing w:after="0" w:line="261" w:lineRule="auto"/>
        <w:rPr>
          <w:sz w:val="20"/>
          <w:szCs w:val="20"/>
          <w:color w:val="auto"/>
        </w:rPr>
      </w:pPr>
      <w:r>
        <w:rPr>
          <w:rFonts w:ascii="Times New Roman" w:cs="Times New Roman" w:eastAsia="Times New Roman" w:hAnsi="Times New Roman"/>
          <w:sz w:val="18"/>
          <w:szCs w:val="18"/>
          <w:color w:val="auto"/>
        </w:rPr>
        <w:t>FFO and AFFO do not represent cash generated from operating activities and are not necessarily indicative of cash available to fund cash requirements; accordingly, they should not be considered alternatives to net income as a performance measure or cash flows from operations as reported on our statement of cash flows as a liquidity measure and should be considered in addition to, and not in lieu of, GAAP financial measures.</w:t>
      </w:r>
    </w:p>
    <w:p>
      <w:pPr>
        <w:spacing w:after="0" w:line="193"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We compute FFO in accordance with the definition adopted by the Board of Governors of the National Association of Real Estate Investment Trusts, or NAREIT. NAREIT defines FFO as GAAP net income or loss adjusted to exclude real estate related depreciation and amortization, as well as extraordinary items (as defined by GAAP) such as net gain or loss from sales of depreciable real estate assets, impairment write-downs associated with depreciable real estate assets and impairments associated with the implementation of current expected credit losses on commercial loans and investments at the time of origination, including the pro rata share of such adjustments of unconsolidated subsidiaries. To derive AFFO, we further modify the NAREIT computation of FFO to include other adjustments to GAAP net income related to non-cash revenues and expenses such as loss on extinguishment of debt, amortization of above- and below-market lease related intangibles, straight-line rental revenue, amortization of deferred financing costs, non-cash compensation, and other non-cash income or expense. Such items may cause short-term fluctuations in net income but have no impact on operating cash flows or long-term operating performance. We use AFFO as one measure of our performance when we formulate corporate goals.</w:t>
      </w:r>
    </w:p>
    <w:p>
      <w:pPr>
        <w:spacing w:after="0" w:line="190" w:lineRule="exact"/>
        <w:rPr>
          <w:sz w:val="20"/>
          <w:szCs w:val="20"/>
          <w:color w:val="auto"/>
        </w:rPr>
      </w:pPr>
    </w:p>
    <w:p>
      <w:pPr>
        <w:jc w:val="both"/>
        <w:ind w:left="60" w:right="59" w:firstLine="324"/>
        <w:spacing w:after="0" w:line="255" w:lineRule="auto"/>
        <w:rPr>
          <w:sz w:val="20"/>
          <w:szCs w:val="20"/>
          <w:color w:val="auto"/>
        </w:rPr>
      </w:pPr>
      <w:r>
        <w:rPr>
          <w:rFonts w:ascii="Times New Roman" w:cs="Times New Roman" w:eastAsia="Times New Roman" w:hAnsi="Times New Roman"/>
          <w:sz w:val="18"/>
          <w:szCs w:val="18"/>
          <w:color w:val="auto"/>
        </w:rPr>
        <w:t>FFO is used by management, investors and analysts to facilitate meaningful comparisons of operating performance between periods and among our peers primarily because it excludes the effect of real estate depreciation and amortization and net gains or losses on sales, which are based on historical costs and implicitly assume that the value of real estate diminishes predictably over time, rather than fluctuating based on existing market conditions. We believe that AFFO is an additional useful supplemental measure for investors to consider because it will help them to better assess our operating performance without the distortions created by other non-cash revenues or expenses. FFO and AFFO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Reconciliation of Non-GAAP Measures (in thousands, except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23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09"/>
        </w:trPr>
        <w:tc>
          <w:tcPr>
            <w:tcW w:w="3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 w:type="dxa"/>
            <w:vAlign w:val="bottom"/>
          </w:tcPr>
          <w:p>
            <w:pPr>
              <w:spacing w:after="0"/>
              <w:rPr>
                <w:sz w:val="18"/>
                <w:szCs w:val="18"/>
                <w:color w:val="auto"/>
              </w:rPr>
            </w:pP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12,758</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Impairment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(743)</w:t>
            </w:r>
          </w:p>
        </w:tc>
        <w:tc>
          <w:tcPr>
            <w:tcW w:w="2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0" w:type="dxa"/>
            <w:vAlign w:val="bottom"/>
          </w:tcPr>
          <w:p>
            <w:pPr>
              <w:spacing w:after="0"/>
              <w:rPr>
                <w:sz w:val="18"/>
                <w:szCs w:val="18"/>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Funds From Operations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2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198"/>
        </w:trPr>
        <w:tc>
          <w:tcPr>
            <w:tcW w:w="3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and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Liabilities to Lease Income</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2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Straight-Line Rent Adjustment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Pr>
          <w:p>
            <w:pPr>
              <w:spacing w:after="0"/>
              <w:rPr>
                <w:sz w:val="18"/>
                <w:szCs w:val="18"/>
                <w:color w:val="auto"/>
              </w:rPr>
            </w:pPr>
          </w:p>
        </w:tc>
      </w:tr>
      <w:tr>
        <w:trPr>
          <w:trHeight w:val="216"/>
        </w:trPr>
        <w:tc>
          <w:tcPr>
            <w:tcW w:w="3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Compensation</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r>
      <w:tr>
        <w:trPr>
          <w:trHeight w:val="198"/>
        </w:trPr>
        <w:tc>
          <w:tcPr>
            <w:tcW w:w="37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Deferred Financing Costs to</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3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0" w:type="dxa"/>
            <w:vAlign w:val="bottom"/>
          </w:tcPr>
          <w:p>
            <w:pPr>
              <w:spacing w:after="0"/>
              <w:rPr>
                <w:sz w:val="20"/>
                <w:szCs w:val="20"/>
                <w:color w:val="auto"/>
              </w:rPr>
            </w:pPr>
          </w:p>
        </w:tc>
      </w:tr>
      <w:tr>
        <w:trPr>
          <w:trHeight w:val="216"/>
        </w:trPr>
        <w:tc>
          <w:tcPr>
            <w:tcW w:w="3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Non-Cash Expense</w:t>
            </w: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r>
      <w:tr>
        <w:trPr>
          <w:trHeight w:val="209"/>
        </w:trPr>
        <w:tc>
          <w:tcPr>
            <w:tcW w:w="3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Funds From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2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14,059,173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13,623,070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14,030,025</w:t>
            </w:r>
          </w:p>
        </w:tc>
        <w:tc>
          <w:tcPr>
            <w:tcW w:w="20" w:type="dxa"/>
            <w:vAlign w:val="bottom"/>
          </w:tcPr>
          <w:p>
            <w:pPr>
              <w:spacing w:after="0"/>
              <w:rPr>
                <w:sz w:val="18"/>
                <w:szCs w:val="18"/>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14,848,786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15,762,667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14,846,924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15,733,519</w:t>
            </w:r>
          </w:p>
        </w:tc>
        <w:tc>
          <w:tcPr>
            <w:tcW w:w="20" w:type="dxa"/>
            <w:vAlign w:val="bottom"/>
          </w:tcPr>
          <w:p>
            <w:pPr>
              <w:spacing w:after="0"/>
              <w:rPr>
                <w:sz w:val="18"/>
                <w:szCs w:val="18"/>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Data (in thousands, except per share data):</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0"/>
                <w:szCs w:val="20"/>
                <w:color w:val="auto"/>
              </w:rPr>
            </w:pPr>
          </w:p>
        </w:tc>
        <w:tc>
          <w:tcPr>
            <w:tcW w:w="21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37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7"/>
              </w:rPr>
              <w:t>June 30, 2023</w:t>
            </w:r>
          </w:p>
        </w:tc>
        <w:tc>
          <w:tcPr>
            <w:tcW w:w="120" w:type="dxa"/>
            <w:vAlign w:val="bottom"/>
          </w:tcPr>
          <w:p>
            <w:pPr>
              <w:spacing w:after="0"/>
              <w:rPr>
                <w:sz w:val="18"/>
                <w:szCs w:val="18"/>
                <w:color w:val="auto"/>
              </w:rPr>
            </w:pPr>
          </w:p>
        </w:tc>
        <w:tc>
          <w:tcPr>
            <w:tcW w:w="130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10"/>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FFO per Diluted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r>
      <w:tr>
        <w:trPr>
          <w:trHeight w:val="216"/>
        </w:trPr>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AFFO</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2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11,478</w:t>
            </w: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AFFO per Diluted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79" w:firstLine="324"/>
        <w:spacing w:after="0" w:line="266" w:lineRule="auto"/>
        <w:rPr>
          <w:sz w:val="20"/>
          <w:szCs w:val="20"/>
          <w:color w:val="auto"/>
        </w:rPr>
      </w:pPr>
      <w:r>
        <w:rPr>
          <w:rFonts w:ascii="Times New Roman" w:cs="Times New Roman" w:eastAsia="Times New Roman" w:hAnsi="Times New Roman"/>
          <w:sz w:val="18"/>
          <w:szCs w:val="18"/>
          <w:color w:val="auto"/>
        </w:rPr>
        <w:t>Critical accounting estimates include those estimates made in accordance with GAAP that involve a significant level of estimation uncertainty and have had or are reasonably likely to have a material impact on the Company’s financial condition or results of operations. Our most significant estimate is as follows:</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Purchase Accounting for Acquisitions of Real Estate Subject to a Lease</w:t>
      </w:r>
      <w:r>
        <w:rPr>
          <w:rFonts w:ascii="Times New Roman" w:cs="Times New Roman" w:eastAsia="Times New Roman" w:hAnsi="Times New Roman"/>
          <w:sz w:val="18"/>
          <w:szCs w:val="18"/>
          <w:color w:val="auto"/>
        </w:rPr>
        <w:t>. As required by GAAP, the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 estate acquired with in-place leases is allocated to the acquired tangible assets, consisting of land, building and tenant improvements, and identified intangible assets and liabilities, consisting of the value of above-market and below-market leases, the value of in-place leases, and the value of leasing costs, based in each case on their relative fair values. In allocating the fair value of the identified intangible assets and liabilities of an acquired property, above-market and below-market in-place lease values are recorded as other assets or liabilities based on the present value. The assumptions underlying the allocation of relative fair values are based on market information including, but not limited to: (i) the estimate of replacement cost of improvements under the cost approach, (ii) the estimate of land values based on comparable sales under the sales comparison approach, and (iii) the estimate of future benefits determined by either a reasonable rate of return over a single year’s net cash flow, or a forecast of net cash flows projected over a reasonable investment horizon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income capitalization approach. The underlying assumptions are subject to uncertainty and thus any changes to the allocation of fair value to each of the various line items within the Company’s consolidated balance sheets could have an impact on the Company’s financial condition as well as results of operations due to resulting changes in depreciation and amortization as a result of the fair value allocation. The acquisitions of real estate subject to this estimate totaled two properties for a combined purchase price of $15.6 million for the six months ended June 30, 2024 and nine properties for a combined purchase price of $60.5 million for the six months ended June 30, 2023.</w:t>
      </w:r>
    </w:p>
    <w:p>
      <w:pPr>
        <w:spacing w:after="0" w:line="187"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for further discussion of the Company’s accounting estimates and policies.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p>
    <w:p>
      <w:pPr>
        <w:spacing w:after="0" w:line="202" w:lineRule="exact"/>
        <w:rPr>
          <w:sz w:val="20"/>
          <w:szCs w:val="20"/>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As a result, pursuant to Item 305(e) of Regulation S-K, we are not required to provide the information required by this Item.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p>
    <w:p>
      <w:pPr>
        <w:spacing w:after="0" w:line="229" w:lineRule="exact"/>
        <w:rPr>
          <w:sz w:val="20"/>
          <w:szCs w:val="20"/>
          <w:color w:val="auto"/>
        </w:rPr>
      </w:pPr>
    </w:p>
    <w:p>
      <w:pPr>
        <w:jc w:val="both"/>
        <w:ind w:left="60" w:right="59" w:firstLine="324"/>
        <w:spacing w:after="0" w:line="253" w:lineRule="auto"/>
        <w:rPr>
          <w:sz w:val="20"/>
          <w:szCs w:val="20"/>
          <w:color w:val="auto"/>
        </w:rPr>
      </w:pPr>
      <w:r>
        <w:rPr>
          <w:rFonts w:ascii="Times New Roman" w:cs="Times New Roman" w:eastAsia="Times New Roman" w:hAnsi="Times New Roman"/>
          <w:sz w:val="18"/>
          <w:szCs w:val="18"/>
          <w:color w:val="auto"/>
        </w:rPr>
        <w:t>As of the end of the period covered by this report, an evaluation, as required by Rules 13(a)-15 and 15(d)-15 of the Exchange Act was carried out under the supervision and with the participation of the Company’s management, including the Chief Executive Officer (“CEO”) and Chief Financial Officer (“CFO”), of the effectiveness of the Company’s disclosure controls and procedures (as defined in Rules 13a-15(e) or 15d-15(e) of the Exchange Act). Based on that evaluation, the CEO and CFO have concluded that the design and operation of the Company’s disclosure controls and procedures are effective to ensure that information required to be disclosed by the Company in reports that it files or submits under the Exchange Act is recorded, processed, summarized, and reported within the time periods specified in SEC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 There were no changes in the Company’s internal control over financial reporting (as defined in Rules 13a-15(f) or 15d-15(f) under the Exchange Act) during the three months ended June 30, 2024, that have materially affected, or are reasonably likely to materially affect, the Company’s internal control over financial reporting.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PART II—OTHER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 LEGAL PROCEEDINGS</w:t>
      </w:r>
    </w:p>
    <w:p>
      <w:pPr>
        <w:spacing w:after="0" w:line="202" w:lineRule="exact"/>
        <w:rPr>
          <w:sz w:val="20"/>
          <w:szCs w:val="20"/>
          <w:color w:val="auto"/>
        </w:rPr>
      </w:pPr>
    </w:p>
    <w:p>
      <w:pPr>
        <w:jc w:val="both"/>
        <w:ind w:left="60" w:right="59" w:firstLine="324"/>
        <w:spacing w:after="0" w:line="250" w:lineRule="auto"/>
        <w:rPr>
          <w:sz w:val="20"/>
          <w:szCs w:val="20"/>
          <w:color w:val="auto"/>
        </w:rPr>
      </w:pPr>
      <w:r>
        <w:rPr>
          <w:rFonts w:ascii="Times New Roman" w:cs="Times New Roman" w:eastAsia="Times New Roman" w:hAnsi="Times New Roman"/>
          <w:sz w:val="18"/>
          <w:szCs w:val="18"/>
          <w:color w:val="auto"/>
        </w:rPr>
        <w:t>From time to time, the Company may be a party to certain legal proceedings, incidental to the normal course of business. The Company is not currently a party to any pending or threatened legal proceedings that we believe could have a material adverse effect on the Company’s business or financial condition.</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9" w:lineRule="exact"/>
        <w:rPr>
          <w:sz w:val="20"/>
          <w:szCs w:val="20"/>
          <w:color w:val="auto"/>
        </w:rPr>
      </w:pPr>
    </w:p>
    <w:p>
      <w:pPr>
        <w:jc w:val="both"/>
        <w:ind w:left="60" w:right="59" w:firstLine="324"/>
        <w:spacing w:after="0" w:line="258" w:lineRule="auto"/>
        <w:rPr>
          <w:sz w:val="20"/>
          <w:szCs w:val="20"/>
          <w:color w:val="auto"/>
        </w:rPr>
      </w:pPr>
      <w:r>
        <w:rPr>
          <w:rFonts w:ascii="Times New Roman" w:cs="Times New Roman" w:eastAsia="Times New Roman" w:hAnsi="Times New Roman"/>
          <w:sz w:val="18"/>
          <w:szCs w:val="18"/>
          <w:color w:val="auto"/>
        </w:rPr>
        <w:t>As of June 30, 2024, there have been no material changes in our risk factors from those set forth under the heading Part I, “Item 1A. Risk Factors” in the Company’s Annual Report on Form 10-K for the year ended December 31, 2023 (the “Form 10-K”). The risks described in the Form 10-K are not the only risks facing the Company. Additional risks and uncertainties not currently known to the Company or that the Company currently deems to be immaterial also may materially adversely affect the Company.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Exhibits: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w:t>
            </w:r>
          </w:p>
        </w:tc>
        <w:tc>
          <w:tcPr>
            <w:tcW w:w="7580" w:type="dxa"/>
            <w:vAlign w:val="bottom"/>
            <w:gridSpan w:val="12"/>
          </w:tcPr>
          <w:p>
            <w:pPr>
              <w:spacing w:after="0"/>
              <w:rPr>
                <w:rFonts w:ascii="Times New Roman" w:cs="Times New Roman" w:eastAsia="Times New Roman" w:hAnsi="Times New Roman"/>
                <w:sz w:val="17"/>
                <w:szCs w:val="17"/>
                <w:color w:val="0000EE"/>
              </w:rPr>
            </w:pPr>
            <w:hyperlink r:id="rId66">
              <w:r>
                <w:rPr>
                  <w:rFonts w:ascii="Times New Roman" w:cs="Times New Roman" w:eastAsia="Times New Roman" w:hAnsi="Times New Roman"/>
                  <w:sz w:val="17"/>
                  <w:szCs w:val="17"/>
                  <w:color w:val="0000EE"/>
                </w:rPr>
                <w:t>Articles of Amendment and Restatement of Alpine Income Property Trust, Inc. (incorporated by reference to</w:t>
              </w:r>
            </w:hyperlink>
          </w:p>
        </w:tc>
      </w:tr>
      <w:tr>
        <w:trPr>
          <w:trHeight w:val="155"/>
        </w:trPr>
        <w:tc>
          <w:tcPr>
            <w:tcW w:w="1420" w:type="dxa"/>
            <w:vAlign w:val="bottom"/>
          </w:tcPr>
          <w:p>
            <w:pPr>
              <w:spacing w:after="0"/>
              <w:rPr>
                <w:sz w:val="13"/>
                <w:szCs w:val="13"/>
                <w:color w:val="auto"/>
              </w:rPr>
            </w:pPr>
          </w:p>
        </w:tc>
        <w:tc>
          <w:tcPr>
            <w:tcW w:w="5980" w:type="dxa"/>
            <w:vAlign w:val="bottom"/>
            <w:tcBorders>
              <w:top w:val="single" w:sz="8" w:color="0000EE"/>
              <w:bottom w:val="single" w:sz="8" w:color="0000EE"/>
            </w:tcBorders>
            <w:gridSpan w:val="6"/>
          </w:tcPr>
          <w:p>
            <w:pPr>
              <w:spacing w:after="0" w:line="155" w:lineRule="exact"/>
              <w:rPr>
                <w:rFonts w:ascii="Times New Roman" w:cs="Times New Roman" w:eastAsia="Times New Roman" w:hAnsi="Times New Roman"/>
                <w:sz w:val="17"/>
                <w:szCs w:val="17"/>
                <w:color w:val="0000EE"/>
                <w:w w:val="99"/>
              </w:rPr>
            </w:pPr>
            <w:hyperlink r:id="rId66">
              <w:r>
                <w:rPr>
                  <w:rFonts w:ascii="Times New Roman" w:cs="Times New Roman" w:eastAsia="Times New Roman" w:hAnsi="Times New Roman"/>
                  <w:sz w:val="17"/>
                  <w:szCs w:val="17"/>
                  <w:color w:val="0000EE"/>
                  <w:w w:val="99"/>
                </w:rPr>
                <w:t>Exhibit 3.1 to the Company’s Current Report on Form 8-K filed on December 3, 2019).</w:t>
              </w:r>
            </w:hyperlink>
          </w:p>
        </w:tc>
        <w:tc>
          <w:tcPr>
            <w:tcW w:w="154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w:t>
            </w:r>
          </w:p>
        </w:tc>
        <w:tc>
          <w:tcPr>
            <w:tcW w:w="7580" w:type="dxa"/>
            <w:vAlign w:val="bottom"/>
            <w:gridSpan w:val="12"/>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 xml:space="preserve">Third </w:t>
              </w:r>
              <w:r>
                <w:rPr>
                  <w:rFonts w:ascii="Times New Roman" w:cs="Times New Roman" w:eastAsia="Times New Roman" w:hAnsi="Times New Roman"/>
                  <w:sz w:val="17"/>
                  <w:szCs w:val="17"/>
                  <w:color w:val="0000EE"/>
                </w:rPr>
                <w:t>Amended and Restated Bylaws of Alpine Income Property Trust, Inc. (incorporated by reference to</w:t>
              </w:r>
            </w:hyperlink>
          </w:p>
        </w:tc>
      </w:tr>
      <w:tr>
        <w:trPr>
          <w:trHeight w:val="156"/>
        </w:trPr>
        <w:tc>
          <w:tcPr>
            <w:tcW w:w="1420" w:type="dxa"/>
            <w:vAlign w:val="bottom"/>
          </w:tcPr>
          <w:p>
            <w:pPr>
              <w:spacing w:after="0"/>
              <w:rPr>
                <w:sz w:val="13"/>
                <w:szCs w:val="13"/>
                <w:color w:val="auto"/>
              </w:rPr>
            </w:pPr>
          </w:p>
        </w:tc>
        <w:tc>
          <w:tcPr>
            <w:tcW w:w="5900" w:type="dxa"/>
            <w:vAlign w:val="bottom"/>
            <w:tcBorders>
              <w:top w:val="single" w:sz="8" w:color="0000EE"/>
              <w:bottom w:val="single" w:sz="8" w:color="0000EE"/>
            </w:tcBorders>
            <w:gridSpan w:val="5"/>
          </w:tcPr>
          <w:p>
            <w:pPr>
              <w:spacing w:after="0" w:line="155" w:lineRule="exact"/>
              <w:rPr>
                <w:rFonts w:ascii="Times New Roman" w:cs="Times New Roman" w:eastAsia="Times New Roman" w:hAnsi="Times New Roman"/>
                <w:sz w:val="17"/>
                <w:szCs w:val="17"/>
                <w:color w:val="0000EE"/>
              </w:rPr>
            </w:pPr>
            <w:hyperlink r:id="rId67">
              <w:r>
                <w:rPr>
                  <w:rFonts w:ascii="Times New Roman" w:cs="Times New Roman" w:eastAsia="Times New Roman" w:hAnsi="Times New Roman"/>
                  <w:sz w:val="17"/>
                  <w:szCs w:val="17"/>
                  <w:color w:val="0000EE"/>
                </w:rPr>
                <w:t>Exhibit 3.1 to the Company’s Current Report on Form 8-K filed on February 3, 2023).</w:t>
              </w:r>
            </w:hyperlink>
          </w:p>
        </w:tc>
        <w:tc>
          <w:tcPr>
            <w:tcW w:w="1600" w:type="dxa"/>
            <w:vAlign w:val="bottom"/>
            <w:tcBorders>
              <w:top w:val="single" w:sz="8" w:color="0000EE"/>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4.1</w:t>
            </w:r>
          </w:p>
        </w:tc>
        <w:tc>
          <w:tcPr>
            <w:tcW w:w="7580" w:type="dxa"/>
            <w:vAlign w:val="bottom"/>
            <w:gridSpan w:val="12"/>
          </w:tcPr>
          <w:p>
            <w:pPr>
              <w:spacing w:after="0"/>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Specimen Common Stock Certificate of Alpine Income Property Trust, Inc. (incorporated by reference to</w:t>
              </w:r>
            </w:hyperlink>
          </w:p>
        </w:tc>
      </w:tr>
      <w:tr>
        <w:trPr>
          <w:trHeight w:val="156"/>
        </w:trPr>
        <w:tc>
          <w:tcPr>
            <w:tcW w:w="1420" w:type="dxa"/>
            <w:vAlign w:val="bottom"/>
          </w:tcPr>
          <w:p>
            <w:pPr>
              <w:spacing w:after="0"/>
              <w:rPr>
                <w:sz w:val="13"/>
                <w:szCs w:val="13"/>
                <w:color w:val="auto"/>
              </w:rPr>
            </w:pPr>
          </w:p>
        </w:tc>
        <w:tc>
          <w:tcPr>
            <w:tcW w:w="7560" w:type="dxa"/>
            <w:vAlign w:val="bottom"/>
            <w:tcBorders>
              <w:top w:val="single" w:sz="8" w:color="0000EE"/>
            </w:tcBorders>
            <w:gridSpan w:val="11"/>
          </w:tcPr>
          <w:p>
            <w:pPr>
              <w:spacing w:after="0" w:line="155" w:lineRule="exact"/>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Exhibit 4.1 to the Registrant’s Registration Statement on Form S-11/A (File No. 333-234304) filed with the</w:t>
              </w:r>
            </w:hyperlink>
          </w:p>
        </w:tc>
        <w:tc>
          <w:tcPr>
            <w:tcW w:w="20" w:type="dxa"/>
            <w:vAlign w:val="bottom"/>
          </w:tcPr>
          <w:p>
            <w:pPr>
              <w:spacing w:after="0"/>
              <w:rPr>
                <w:sz w:val="13"/>
                <w:szCs w:val="13"/>
                <w:color w:val="auto"/>
              </w:rPr>
            </w:pPr>
          </w:p>
        </w:tc>
      </w:tr>
      <w:tr>
        <w:trPr>
          <w:trHeight w:val="169"/>
        </w:trPr>
        <w:tc>
          <w:tcPr>
            <w:tcW w:w="1420" w:type="dxa"/>
            <w:vAlign w:val="bottom"/>
          </w:tcPr>
          <w:p>
            <w:pPr>
              <w:spacing w:after="0"/>
              <w:rPr>
                <w:sz w:val="14"/>
                <w:szCs w:val="14"/>
                <w:color w:val="auto"/>
              </w:rPr>
            </w:pPr>
          </w:p>
        </w:tc>
        <w:tc>
          <w:tcPr>
            <w:tcW w:w="7480" w:type="dxa"/>
            <w:vAlign w:val="bottom"/>
            <w:tcBorders>
              <w:top w:val="single" w:sz="8" w:color="0000EE"/>
            </w:tcBorders>
            <w:gridSpan w:val="7"/>
          </w:tcPr>
          <w:p>
            <w:pPr>
              <w:spacing w:after="0" w:line="169" w:lineRule="exact"/>
              <w:rPr>
                <w:rFonts w:ascii="Times New Roman" w:cs="Times New Roman" w:eastAsia="Times New Roman" w:hAnsi="Times New Roman"/>
                <w:sz w:val="17"/>
                <w:szCs w:val="17"/>
                <w:color w:val="0000EE"/>
              </w:rPr>
            </w:pPr>
            <w:hyperlink r:id="rId68">
              <w:r>
                <w:rPr>
                  <w:rFonts w:ascii="Times New Roman" w:cs="Times New Roman" w:eastAsia="Times New Roman" w:hAnsi="Times New Roman"/>
                  <w:sz w:val="17"/>
                  <w:szCs w:val="17"/>
                  <w:color w:val="0000EE"/>
                </w:rPr>
                <w:t>Commission on October 29, 2019).</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31.1*</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31.2*</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Certification filed pursuant to Section 302 of the Sarbanes-Oxley Act of 2002.</w:t>
            </w: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360" w:type="dxa"/>
            <w:vAlign w:val="bottom"/>
            <w:gridSpan w:val="2"/>
            <w:shd w:val="clear" w:color="auto" w:fill="0000EE"/>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32.1**</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56"/>
        </w:trPr>
        <w:tc>
          <w:tcPr>
            <w:tcW w:w="1420" w:type="dxa"/>
            <w:vAlign w:val="bottom"/>
          </w:tcPr>
          <w:p>
            <w:pPr>
              <w:spacing w:after="0"/>
              <w:rPr>
                <w:sz w:val="13"/>
                <w:szCs w:val="13"/>
                <w:color w:val="auto"/>
              </w:rPr>
            </w:pPr>
          </w:p>
        </w:tc>
        <w:tc>
          <w:tcPr>
            <w:tcW w:w="7540" w:type="dxa"/>
            <w:vAlign w:val="bottom"/>
            <w:tcBorders>
              <w:top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r>
      <w:tr>
        <w:trPr>
          <w:trHeight w:val="25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32.2**</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Certification furnished pursuant to 18 U.S.C. Section 1350, as Adopted pursuant to Section 906 of the</w:t>
            </w:r>
          </w:p>
        </w:tc>
      </w:tr>
      <w:tr>
        <w:trPr>
          <w:trHeight w:val="155"/>
        </w:trPr>
        <w:tc>
          <w:tcPr>
            <w:tcW w:w="1420" w:type="dxa"/>
            <w:vAlign w:val="bottom"/>
          </w:tcPr>
          <w:p>
            <w:pPr>
              <w:spacing w:after="0"/>
              <w:rPr>
                <w:sz w:val="13"/>
                <w:szCs w:val="13"/>
                <w:color w:val="auto"/>
              </w:rPr>
            </w:pPr>
          </w:p>
        </w:tc>
        <w:tc>
          <w:tcPr>
            <w:tcW w:w="7540" w:type="dxa"/>
            <w:vAlign w:val="bottom"/>
            <w:tcBorders>
              <w:top w:val="single" w:sz="8" w:color="0000EE"/>
            </w:tcBorders>
            <w:gridSpan w:val="10"/>
          </w:tcPr>
          <w:p>
            <w:pPr>
              <w:spacing w:after="0" w:line="155" w:lineRule="exact"/>
              <w:rPr>
                <w:sz w:val="20"/>
                <w:szCs w:val="20"/>
                <w:color w:val="auto"/>
              </w:rPr>
            </w:pPr>
            <w:r>
              <w:rPr>
                <w:rFonts w:ascii="Times New Roman" w:cs="Times New Roman" w:eastAsia="Times New Roman" w:hAnsi="Times New Roman"/>
                <w:sz w:val="17"/>
                <w:szCs w:val="17"/>
                <w:color w:val="0000EE"/>
              </w:rPr>
              <w:t>Sarbanes-Oxley Act of 2002.</w:t>
            </w:r>
          </w:p>
        </w:tc>
        <w:tc>
          <w:tcPr>
            <w:tcW w:w="40" w:type="dxa"/>
            <w:vAlign w:val="bottom"/>
            <w:gridSpan w:val="2"/>
          </w:tcPr>
          <w:p>
            <w:pPr>
              <w:spacing w:after="0"/>
              <w:rPr>
                <w:sz w:val="13"/>
                <w:szCs w:val="13"/>
                <w:color w:val="auto"/>
              </w:rPr>
            </w:pPr>
          </w:p>
        </w:tc>
      </w:tr>
      <w:tr>
        <w:trPr>
          <w:trHeight w:val="20"/>
        </w:trPr>
        <w:tc>
          <w:tcPr>
            <w:tcW w:w="14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600" w:type="dxa"/>
            <w:vAlign w:val="bottom"/>
            <w:gridSpan w:val="10"/>
          </w:tcPr>
          <w:p>
            <w:pPr>
              <w:spacing w:after="0" w:line="20" w:lineRule="exact"/>
              <w:rPr>
                <w:sz w:val="1"/>
                <w:szCs w:val="1"/>
                <w:color w:val="auto"/>
              </w:rPr>
            </w:pPr>
          </w:p>
        </w:tc>
      </w:tr>
      <w:tr>
        <w:trPr>
          <w:trHeight w:val="288"/>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101.INS</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101.SCH</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101.CAL</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101.DEF</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Definition Linkbase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101.LAB</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70"/>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101.PRE</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8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Exhibit 104</w:t>
            </w:r>
          </w:p>
        </w:tc>
        <w:tc>
          <w:tcPr>
            <w:tcW w:w="75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 XBRL document)</w:t>
            </w:r>
          </w:p>
        </w:tc>
      </w:tr>
      <w:tr>
        <w:trPr>
          <w:trHeight w:val="97"/>
        </w:trPr>
        <w:tc>
          <w:tcPr>
            <w:tcW w:w="14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343"/>
        </w:trPr>
        <w:tc>
          <w:tcPr>
            <w:tcW w:w="1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Filed herewith</w:t>
            </w: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Furnished herewith</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ALPINE INCOME PROPERTY TRUST, INC.</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18, 2024</w:t>
      </w:r>
      <w:r>
        <w:rPr>
          <w:sz w:val="20"/>
          <w:szCs w:val="20"/>
          <w:color w:val="auto"/>
        </w:rPr>
        <w:tab/>
      </w: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John P. Albright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18, 2024</w:t>
      </w:r>
      <w:r>
        <w:rPr>
          <w:sz w:val="20"/>
          <w:szCs w:val="20"/>
          <w:color w:val="auto"/>
        </w:rPr>
        <w:tab/>
      </w:r>
      <w:r>
        <w:rPr>
          <w:rFonts w:ascii="Times New Roman" w:cs="Times New Roman" w:eastAsia="Times New Roman" w:hAnsi="Times New Roman"/>
          <w:sz w:val="18"/>
          <w:szCs w:val="18"/>
          <w:color w:val="auto"/>
        </w:rPr>
        <w:t>By:  /s/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Philip R. Mays,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34" w:lineRule="exact"/>
        <w:rPr>
          <w:sz w:val="20"/>
          <w:szCs w:val="20"/>
          <w:color w:val="auto"/>
        </w:rPr>
      </w:pPr>
    </w:p>
    <w:p>
      <w:pPr>
        <w:ind w:left="60"/>
        <w:spacing w:after="0"/>
        <w:tabs>
          <w:tab w:leader="none" w:pos="4620" w:val="left"/>
        </w:tabs>
        <w:rPr>
          <w:sz w:val="20"/>
          <w:szCs w:val="20"/>
          <w:color w:val="auto"/>
        </w:rPr>
      </w:pPr>
      <w:r>
        <w:rPr>
          <w:rFonts w:ascii="Times New Roman" w:cs="Times New Roman" w:eastAsia="Times New Roman" w:hAnsi="Times New Roman"/>
          <w:sz w:val="18"/>
          <w:szCs w:val="18"/>
          <w:color w:val="auto"/>
        </w:rPr>
        <w:t>July 18, 2024</w:t>
      </w:r>
      <w:r>
        <w:rPr>
          <w:sz w:val="20"/>
          <w:szCs w:val="20"/>
          <w:color w:val="auto"/>
        </w:rPr>
        <w:tab/>
      </w:r>
      <w:r>
        <w:rPr>
          <w:rFonts w:ascii="Times New Roman" w:cs="Times New Roman" w:eastAsia="Times New Roman" w:hAnsi="Times New Roman"/>
          <w:sz w:val="18"/>
          <w:szCs w:val="18"/>
          <w:color w:val="auto"/>
        </w:rPr>
        <w:t>By:  /s/ Lisa M. Vorakoun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17145</wp:posOffset>
            </wp:positionV>
            <wp:extent cx="24942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Lisa M. Vorakoun, Senior Vice President</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and Chief Accounting Officer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John P. Albright, certify that:</w:t>
      </w:r>
    </w:p>
    <w:p>
      <w:pPr>
        <w:spacing w:after="0" w:line="185"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By: /s/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17145</wp:posOffset>
            </wp:positionV>
            <wp:extent cx="27171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7" w:name="page48"/>
    <w:bookmarkEnd w:id="4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Philip R. Mays, certify that:</w:t>
      </w:r>
    </w:p>
    <w:p>
      <w:pPr>
        <w:spacing w:after="0" w:line="185" w:lineRule="exact"/>
        <w:rPr>
          <w:sz w:val="20"/>
          <w:szCs w:val="20"/>
          <w:color w:val="auto"/>
        </w:rPr>
      </w:pPr>
    </w:p>
    <w:p>
      <w:pPr>
        <w:ind w:left="700" w:hanging="650"/>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Alpine Income Property Trust, Inc.;</w:t>
      </w:r>
    </w:p>
    <w:p>
      <w:pPr>
        <w:spacing w:after="0" w:line="184" w:lineRule="exact"/>
        <w:rPr>
          <w:rFonts w:ascii="Times New Roman" w:cs="Times New Roman" w:eastAsia="Times New Roman" w:hAnsi="Times New Roman"/>
          <w:sz w:val="18"/>
          <w:szCs w:val="18"/>
          <w:color w:val="auto"/>
        </w:rPr>
      </w:pPr>
    </w:p>
    <w:p>
      <w:pPr>
        <w:ind w:left="700" w:right="299" w:hanging="650"/>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700" w:right="179" w:hanging="650"/>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700" w:right="219" w:hanging="650"/>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1680" w:right="219" w:hanging="658"/>
        <w:spacing w:after="0" w:line="261" w:lineRule="auto"/>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9" w:lineRule="exact"/>
        <w:rPr>
          <w:rFonts w:ascii="Times New Roman" w:cs="Times New Roman" w:eastAsia="Times New Roman" w:hAnsi="Times New Roman"/>
          <w:sz w:val="18"/>
          <w:szCs w:val="18"/>
          <w:color w:val="auto"/>
        </w:rPr>
      </w:pPr>
    </w:p>
    <w:p>
      <w:pPr>
        <w:jc w:val="both"/>
        <w:ind w:left="1680" w:right="319" w:hanging="658"/>
        <w:spacing w:after="0" w:line="266" w:lineRule="auto"/>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680" w:right="139" w:hanging="658"/>
        <w:spacing w:after="0" w:line="261" w:lineRule="auto"/>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Times New Roman" w:cs="Times New Roman" w:eastAsia="Times New Roman" w:hAnsi="Times New Roman"/>
          <w:sz w:val="18"/>
          <w:szCs w:val="18"/>
          <w:color w:val="auto"/>
        </w:rPr>
      </w:pPr>
    </w:p>
    <w:p>
      <w:pPr>
        <w:ind w:left="700" w:right="379" w:hanging="650"/>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680" w:right="359" w:hanging="658"/>
        <w:spacing w:after="0" w:line="266" w:lineRule="auto"/>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680" w:right="579" w:hanging="658"/>
        <w:spacing w:after="0" w:line="282" w:lineRule="auto"/>
        <w:tabs>
          <w:tab w:leader="none" w:pos="16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198" w:lineRule="exact"/>
        <w:rPr>
          <w:sz w:val="20"/>
          <w:szCs w:val="20"/>
          <w:color w:val="auto"/>
        </w:rPr>
      </w:pPr>
    </w:p>
    <w:p>
      <w:pPr>
        <w:ind w:left="60"/>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7000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8" w:name="page49"/>
    <w:bookmarkEnd w:id="4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60" w:right="3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June 30, 2024, as filed with the Securities and Exchange Commission on the date hereof (the “Report”), I, John P. Albright, President and Chief Executive Officer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39" w:lineRule="exact"/>
        <w:rPr>
          <w:sz w:val="20"/>
          <w:szCs w:val="20"/>
          <w:color w:val="auto"/>
        </w:rPr>
      </w:pPr>
    </w:p>
    <w:p>
      <w:pPr>
        <w:ind w:left="60"/>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John P. Albright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17145</wp:posOffset>
            </wp:positionV>
            <wp:extent cx="26917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John P. Albright</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9" w:name="page50"/>
    <w:bookmarkEnd w:id="4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60" w:right="35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Alpine Income Property Trust, Inc. (the “Company”) on Form 10-Q for the period ended June 30, 2024, as filed with the Securities and Exchange Commission on the date hereof (the “Report”), I, Philip R. Mays, Senior Vice President, Chief Financial Officer and Treasurer of the Company, certify, pursuant to 18 U.S.C. Section 1350, as adopted pursuant to Section 906 of the Sarbanes-Oxley Act of 2002, that:</w:t>
      </w:r>
    </w:p>
    <w:p>
      <w:pPr>
        <w:spacing w:after="0" w:line="180" w:lineRule="exact"/>
        <w:rPr>
          <w:sz w:val="20"/>
          <w:szCs w:val="20"/>
          <w:color w:val="auto"/>
        </w:rPr>
      </w:pPr>
    </w:p>
    <w:p>
      <w:pPr>
        <w:ind w:left="1340" w:right="359" w:hanging="642"/>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340" w:right="279" w:hanging="642"/>
        <w:spacing w:after="0" w:line="282"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July 18, 2024</w:t>
      </w:r>
    </w:p>
    <w:p>
      <w:pPr>
        <w:spacing w:after="0" w:line="239" w:lineRule="exact"/>
        <w:rPr>
          <w:sz w:val="20"/>
          <w:szCs w:val="20"/>
          <w:color w:val="auto"/>
        </w:rPr>
      </w:pPr>
    </w:p>
    <w:p>
      <w:pPr>
        <w:ind w:left="60"/>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Philip R. Mays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2674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Philip R. Mays, Senior Vice President,</w:t>
      </w:r>
    </w:p>
    <w:p>
      <w:pPr>
        <w:spacing w:after="0" w:line="2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66" Type="http://schemas.openxmlformats.org/officeDocument/2006/relationships/hyperlink" Target="https://www.sec.gov/Archives/edgar/data/0001786117/000155837019011294/ex-3d1.htm" TargetMode="External"/><Relationship Id="rId67" Type="http://schemas.openxmlformats.org/officeDocument/2006/relationships/hyperlink" Target="https://www.sec.gov/Archives/edgar/data/1786117/000155837023000881/pine-20230201xex3d1.htm" TargetMode="External"/><Relationship Id="rId68" Type="http://schemas.openxmlformats.org/officeDocument/2006/relationships/hyperlink" Target="https://www.sec.gov/Archives/edgar/data/0001786117/000119312519277917/d79379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2024-07-18T15:50:48Z</dcterms:created>
  <dcterms:modified xsi:type="dcterms:W3CDTF">2024-07-18T15:50:48Z</dcterms:modified>
</cp:coreProperties>
</file>