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86995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5" w:lineRule="exact"/>
        <w:rPr>
          <w:sz w:val="24"/>
          <w:szCs w:val="24"/>
          <w:color w:val="auto"/>
        </w:rPr>
      </w:pPr>
    </w:p>
    <w:p>
      <w:pPr>
        <w:ind w:left="440" w:right="180" w:hanging="430"/>
        <w:spacing w:after="0" w:line="273" w:lineRule="auto"/>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4" w:lineRule="exact"/>
        <w:rPr>
          <w:sz w:val="24"/>
          <w:szCs w:val="24"/>
          <w:color w:val="auto"/>
        </w:rPr>
      </w:pPr>
    </w:p>
    <w:p>
      <w:pPr>
        <w:ind w:left="440" w:right="180" w:hanging="430"/>
        <w:spacing w:after="0" w:line="273" w:lineRule="auto"/>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6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95885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ALPINE INCOME PROPERTY TRUST,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8"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84-2769895</w:t>
            </w:r>
          </w:p>
        </w:tc>
      </w:tr>
      <w:tr>
        <w:trPr>
          <w:trHeight w:val="203"/>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87"/>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w w:val="99"/>
              </w:rPr>
              <w:t>369 N. New York Avenue, Suite 201</w:t>
            </w:r>
          </w:p>
        </w:tc>
        <w:tc>
          <w:tcPr>
            <w:tcW w:w="1380" w:type="dxa"/>
            <w:vAlign w:val="bottom"/>
          </w:tcPr>
          <w:p>
            <w:pPr>
              <w:spacing w:after="0"/>
              <w:rPr>
                <w:sz w:val="24"/>
                <w:szCs w:val="24"/>
                <w:color w:val="auto"/>
              </w:rPr>
            </w:pPr>
          </w:p>
        </w:tc>
      </w:tr>
      <w:tr>
        <w:trPr>
          <w:trHeight w:val="203"/>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Winter Park, Florida</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32789</w:t>
            </w:r>
          </w:p>
        </w:tc>
      </w:tr>
      <w:tr>
        <w:trPr>
          <w:trHeight w:val="212"/>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60"/>
        </w:trPr>
        <w:tc>
          <w:tcPr>
            <w:tcW w:w="5840" w:type="dxa"/>
            <w:vAlign w:val="bottom"/>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(407) 904-3324</w:t>
            </w:r>
          </w:p>
        </w:tc>
        <w:tc>
          <w:tcPr>
            <w:tcW w:w="1380" w:type="dxa"/>
            <w:vAlign w:val="bottom"/>
          </w:tcPr>
          <w:p>
            <w:pPr>
              <w:spacing w:after="0"/>
              <w:rPr>
                <w:sz w:val="22"/>
                <w:szCs w:val="22"/>
                <w:color w:val="auto"/>
              </w:rPr>
            </w:pPr>
          </w:p>
        </w:tc>
      </w:tr>
      <w:tr>
        <w:trPr>
          <w:trHeight w:val="212"/>
        </w:trPr>
        <w:tc>
          <w:tcPr>
            <w:tcW w:w="584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80" w:type="dxa"/>
            <w:vAlign w:val="bottom"/>
          </w:tcPr>
          <w:p>
            <w:pPr>
              <w:spacing w:after="0"/>
              <w:rPr>
                <w:sz w:val="18"/>
                <w:szCs w:val="18"/>
                <w:color w:val="auto"/>
              </w:rPr>
            </w:pPr>
          </w:p>
        </w:tc>
      </w:tr>
    </w:tbl>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81915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351"/>
        </w:trPr>
        <w:tc>
          <w:tcPr>
            <w:tcW w:w="41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PINE</w:t>
            </w:r>
          </w:p>
        </w:tc>
        <w:tc>
          <w:tcPr>
            <w:tcW w:w="200" w:type="dxa"/>
            <w:vAlign w:val="bottom"/>
          </w:tcPr>
          <w:p>
            <w:pPr>
              <w:spacing w:after="0"/>
              <w:rPr>
                <w:sz w:val="16"/>
                <w:szCs w:val="16"/>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214" w:lineRule="exact"/>
        <w:rPr>
          <w:sz w:val="24"/>
          <w:szCs w:val="24"/>
          <w:color w:val="auto"/>
        </w:rPr>
      </w:pPr>
    </w:p>
    <w:p>
      <w:pPr>
        <w:jc w:val="both"/>
        <w:ind w:left="2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2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20" w:firstLine="441"/>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firstLine="441"/>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60" w:right="126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outstanding on October 16, 2025 was 14,164,662.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0" w:type="dxa"/>
            <w:vAlign w:val="bottom"/>
            <w:gridSpan w:val="10"/>
          </w:tcPr>
          <w:p>
            <w:pPr>
              <w:ind w:left="1120"/>
              <w:spacing w:after="0"/>
              <w:rPr>
                <w:sz w:val="20"/>
                <w:szCs w:val="20"/>
                <w:color w:val="auto"/>
              </w:rPr>
            </w:pPr>
            <w:r>
              <w:rPr>
                <w:rFonts w:ascii="Times New Roman" w:cs="Times New Roman" w:eastAsia="Times New Roman" w:hAnsi="Times New Roman"/>
                <w:sz w:val="18"/>
                <w:szCs w:val="18"/>
                <w:color w:val="auto"/>
              </w:rPr>
              <w:t>INDEX</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29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5080" w:type="dxa"/>
            <w:vAlign w:val="bottom"/>
            <w:gridSpan w:val="11"/>
            <w:vMerge w:val="restart"/>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0000EE"/>
            </w:tcBorders>
            <w:gridSpan w:val="15"/>
            <w:vMerge w:val="continue"/>
          </w:tcPr>
          <w:p>
            <w:pPr>
              <w:spacing w:after="0"/>
              <w:rPr>
                <w:sz w:val="13"/>
                <w:szCs w:val="13"/>
                <w:color w:val="auto"/>
              </w:rPr>
            </w:pPr>
          </w:p>
        </w:tc>
        <w:tc>
          <w:tcPr>
            <w:tcW w:w="5080" w:type="dxa"/>
            <w:vAlign w:val="bottom"/>
            <w:gridSpan w:val="11"/>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7360" w:type="dxa"/>
            <w:vAlign w:val="bottom"/>
            <w:gridSpan w:val="24"/>
          </w:tcPr>
          <w:p>
            <w:pPr>
              <w:ind w:left="40"/>
              <w:spacing w:after="0"/>
              <w:rPr>
                <w:sz w:val="20"/>
                <w:szCs w:val="20"/>
                <w:color w:val="auto"/>
              </w:rPr>
            </w:pPr>
            <w:r>
              <w:rPr>
                <w:rFonts w:ascii="Times New Roman" w:cs="Times New Roman" w:eastAsia="Times New Roman" w:hAnsi="Times New Roman"/>
                <w:sz w:val="18"/>
                <w:szCs w:val="18"/>
                <w:color w:val="0000EE"/>
              </w:rPr>
              <w:t>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Balance Sheets – September 30, 2025 (Unaudited) and December 31,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3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 Three and nine months ended September 30, 2025 and 2024</w:t>
            </w:r>
          </w:p>
        </w:tc>
        <w:tc>
          <w:tcPr>
            <w:tcW w:w="40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 Three and nine months ended September 30,</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2025 and 2024 (Unaudited)</w:t>
            </w:r>
          </w:p>
        </w:tc>
        <w:tc>
          <w:tcPr>
            <w:tcW w:w="5140" w:type="dxa"/>
            <w:vAlign w:val="bottom"/>
            <w:tcBorders>
              <w:top w:val="single" w:sz="8" w:color="0000EE"/>
            </w:tcBorders>
            <w:gridSpan w:val="12"/>
          </w:tcPr>
          <w:p>
            <w:pPr>
              <w:spacing w:after="0"/>
              <w:rPr>
                <w:sz w:val="17"/>
                <w:szCs w:val="17"/>
                <w:color w:val="auto"/>
              </w:rPr>
            </w:pPr>
          </w:p>
        </w:tc>
        <w:tc>
          <w:tcPr>
            <w:tcW w:w="60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 Three and nine months ended September 30, 2025</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and 2024 (Unaudited)</w:t>
            </w:r>
          </w:p>
        </w:tc>
        <w:tc>
          <w:tcPr>
            <w:tcW w:w="5760" w:type="dxa"/>
            <w:vAlign w:val="bottom"/>
            <w:tcBorders>
              <w:top w:val="single" w:sz="8" w:color="0000EE"/>
            </w:tcBorders>
            <w:gridSpan w:val="18"/>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Statements of Cash Flows – Nine months ended September 30, 2025 and 2024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64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8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6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2"/>
        </w:trPr>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412"/>
        </w:trPr>
        <w:tc>
          <w:tcPr>
            <w:tcW w:w="5100" w:type="dxa"/>
            <w:vAlign w:val="bottom"/>
            <w:tcBorders>
              <w:top w:val="single" w:sz="8" w:color="0000EE"/>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3"/>
          </w:tcPr>
          <w:p>
            <w:pPr>
              <w:spacing w:after="0"/>
              <w:rPr>
                <w:sz w:val="24"/>
                <w:szCs w:val="24"/>
                <w:color w:val="auto"/>
              </w:rPr>
            </w:pPr>
          </w:p>
        </w:tc>
        <w:tc>
          <w:tcPr>
            <w:tcW w:w="8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52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PART II—OTHER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1380" w:type="dxa"/>
            <w:vAlign w:val="bottom"/>
            <w:tcBorders>
              <w:top w:val="single" w:sz="8" w:color="0000EE"/>
              <w:bottom w:val="single" w:sz="8" w:color="0000EE"/>
            </w:tcBorders>
            <w:gridSpan w:val="7"/>
          </w:tcPr>
          <w:p>
            <w:pPr>
              <w:ind w:left="4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80" w:type="dxa"/>
            <w:vAlign w:val="bottom"/>
            <w:tcBorders>
              <w:top w:val="single" w:sz="8" w:color="0000EE"/>
            </w:tcBorders>
            <w:gridSpan w:val="5"/>
          </w:tcPr>
          <w:p>
            <w:pPr>
              <w:spacing w:after="0"/>
              <w:rPr>
                <w:sz w:val="24"/>
                <w:szCs w:val="24"/>
                <w:color w:val="auto"/>
              </w:rPr>
            </w:pPr>
          </w:p>
        </w:tc>
        <w:tc>
          <w:tcPr>
            <w:tcW w:w="540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1A.</w:t>
            </w:r>
          </w:p>
        </w:tc>
        <w:tc>
          <w:tcPr>
            <w:tcW w:w="7360" w:type="dxa"/>
            <w:vAlign w:val="bottom"/>
            <w:gridSpan w:val="24"/>
          </w:tcPr>
          <w:p>
            <w:pPr>
              <w:ind w:left="40"/>
              <w:spacing w:after="0"/>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96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80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25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tcBorders>
              <w:top w:val="single" w:sz="8" w:color="0000EE"/>
            </w:tcBorders>
            <w:gridSpan w:val="4"/>
          </w:tcPr>
          <w:p>
            <w:pPr>
              <w:spacing w:after="0"/>
              <w:rPr>
                <w:sz w:val="24"/>
                <w:szCs w:val="24"/>
                <w:color w:val="auto"/>
              </w:rPr>
            </w:pPr>
          </w:p>
        </w:tc>
        <w:tc>
          <w:tcPr>
            <w:tcW w:w="500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1360" w:type="dxa"/>
            <w:vAlign w:val="bottom"/>
            <w:tcBorders>
              <w:bottom w:val="single" w:sz="8" w:color="0000EE"/>
            </w:tcBorders>
            <w:gridSpan w:val="6"/>
          </w:tcPr>
          <w:p>
            <w:pPr>
              <w:ind w:left="40"/>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00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7360" w:type="dxa"/>
            <w:vAlign w:val="bottom"/>
            <w:gridSpan w:val="24"/>
          </w:tcPr>
          <w:p>
            <w:pPr>
              <w:ind w:left="40"/>
              <w:spacing w:after="0"/>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220" w:type="dxa"/>
            <w:vAlign w:val="bottom"/>
            <w:tcBorders>
              <w:top w:val="single" w:sz="8" w:color="0000EE"/>
            </w:tcBorders>
            <w:gridSpan w:val="2"/>
          </w:tcPr>
          <w:p>
            <w:pPr>
              <w:spacing w:after="0"/>
              <w:rPr>
                <w:sz w:val="24"/>
                <w:szCs w:val="24"/>
                <w:color w:val="auto"/>
              </w:rPr>
            </w:pPr>
          </w:p>
        </w:tc>
        <w:tc>
          <w:tcPr>
            <w:tcW w:w="6720" w:type="dxa"/>
            <w:vAlign w:val="bottom"/>
            <w:gridSpan w:val="21"/>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440" w:type="dxa"/>
            <w:vAlign w:val="bottom"/>
            <w:gridSpan w:val="3"/>
          </w:tcPr>
          <w:p>
            <w:pPr>
              <w:jc w:val="right"/>
              <w:ind w:right="2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at Cost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147,912</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Building and Improvements, at Cost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350,299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341,955</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at Cost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489,867</w:t>
            </w: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(53,955)</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(45,850)</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Estate—Net</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447,844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444,017</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89,629</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43,925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0" w:type="dxa"/>
            <w:vAlign w:val="bottom"/>
          </w:tcPr>
          <w:p>
            <w:pPr>
              <w:spacing w:after="0"/>
              <w:rPr>
                <w:sz w:val="1"/>
                <w:szCs w:val="1"/>
                <w:color w:val="auto"/>
              </w:rPr>
            </w:pPr>
          </w:p>
        </w:tc>
      </w:tr>
      <w:tr>
        <w:trPr>
          <w:trHeight w:val="209"/>
        </w:trPr>
        <w:tc>
          <w:tcPr>
            <w:tcW w:w="6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621,424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604,995</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Rent and Deferred Revenue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Obligation Under Participation Agreement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Debt—Net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358,155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328,500</w:t>
            </w: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Contingencies—See Note 20</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per share, 100 million shares authorized, no shares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September 30, 2025 and December 31, 2024</w:t>
            </w:r>
          </w:p>
        </w:tc>
        <w:tc>
          <w:tcPr>
            <w:tcW w:w="1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500 million shares authorized,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14,158,190 shares issued and outstanding as of September 30, 2025 and 14,691,982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as of December 31, 2024</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261,831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in Excess of Net Income</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(32,067)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6,771</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253,027</w:t>
            </w: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23,468</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245,217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276,495</w:t>
            </w:r>
          </w:p>
        </w:tc>
        <w:tc>
          <w:tcPr>
            <w:tcW w:w="0" w:type="dxa"/>
            <w:vAlign w:val="bottom"/>
          </w:tcPr>
          <w:p>
            <w:pPr>
              <w:spacing w:after="0"/>
              <w:rPr>
                <w:sz w:val="1"/>
                <w:szCs w:val="1"/>
                <w:color w:val="auto"/>
              </w:rPr>
            </w:pPr>
          </w:p>
        </w:tc>
      </w:tr>
      <w:tr>
        <w:trPr>
          <w:trHeight w:val="20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621,424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604,995</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2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3960" w:type="dxa"/>
            <w:vAlign w:val="bottom"/>
          </w:tcPr>
          <w:p>
            <w:pPr>
              <w:spacing w:after="0"/>
              <w:rPr>
                <w:sz w:val="16"/>
                <w:szCs w:val="16"/>
                <w:color w:val="auto"/>
              </w:rPr>
            </w:pPr>
          </w:p>
        </w:tc>
        <w:tc>
          <w:tcPr>
            <w:tcW w:w="122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0" w:type="dxa"/>
            <w:vAlign w:val="bottom"/>
          </w:tcPr>
          <w:p>
            <w:pPr>
              <w:spacing w:after="0"/>
              <w:rPr>
                <w:sz w:val="16"/>
                <w:szCs w:val="16"/>
                <w:color w:val="auto"/>
              </w:rPr>
            </w:pPr>
          </w:p>
        </w:tc>
        <w:tc>
          <w:tcPr>
            <w:tcW w:w="12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Less: Net Loss (Income) Attributable to</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9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Alpine Income</w:t>
            </w:r>
          </w:p>
        </w:tc>
        <w:tc>
          <w:tcPr>
            <w:tcW w:w="1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vMerge w:val="restart"/>
          </w:tcPr>
          <w:p>
            <w:pPr>
              <w:spacing w:after="0"/>
              <w:rPr>
                <w:sz w:val="15"/>
                <w:szCs w:val="15"/>
                <w:color w:val="auto"/>
              </w:rPr>
            </w:pPr>
          </w:p>
        </w:tc>
        <w:tc>
          <w:tcPr>
            <w:tcW w:w="1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20" w:type="dxa"/>
            <w:vAlign w:val="bottom"/>
          </w:tcPr>
          <w:p>
            <w:pPr>
              <w:spacing w:after="0"/>
              <w:rPr>
                <w:sz w:val="15"/>
                <w:szCs w:val="15"/>
                <w:color w:val="auto"/>
              </w:rPr>
            </w:pPr>
          </w:p>
        </w:tc>
        <w:tc>
          <w:tcPr>
            <w:tcW w:w="16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vMerge w:val="restart"/>
          </w:tcPr>
          <w:p>
            <w:pPr>
              <w:spacing w:after="0"/>
              <w:rPr>
                <w:sz w:val="15"/>
                <w:szCs w:val="15"/>
                <w:color w:val="auto"/>
              </w:rPr>
            </w:pPr>
          </w:p>
        </w:tc>
        <w:tc>
          <w:tcPr>
            <w:tcW w:w="18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Trust, Inc.</w:t>
            </w:r>
          </w:p>
        </w:tc>
        <w:tc>
          <w:tcPr>
            <w:tcW w:w="18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Alpine Income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Trust, Inc.</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14,158,190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13,744,232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14,328,245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13,663,752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15,382,044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14,968,086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15,552,099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680" w:right="170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COMPREHENSIVE INCOME (Unaudited,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rPr>
                <w:sz w:val="16"/>
                <w:szCs w:val="16"/>
                <w:color w:val="auto"/>
              </w:rPr>
            </w:pPr>
          </w:p>
        </w:tc>
        <w:tc>
          <w:tcPr>
            <w:tcW w:w="132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6"/>
                <w:szCs w:val="16"/>
                <w:color w:val="auto"/>
              </w:rPr>
            </w:pPr>
          </w:p>
        </w:tc>
        <w:tc>
          <w:tcPr>
            <w:tcW w:w="1320" w:type="dxa"/>
            <w:vAlign w:val="bottom"/>
            <w:gridSpan w:val="3"/>
          </w:tcPr>
          <w:p>
            <w:pPr>
              <w:jc w:val="right"/>
              <w:ind w:right="220"/>
              <w:spacing w:after="0" w:line="187"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1180" w:type="dxa"/>
            <w:vAlign w:val="bottom"/>
            <w:gridSpan w:val="3"/>
          </w:tcPr>
          <w:p>
            <w:pPr>
              <w:jc w:val="right"/>
              <w:ind w:right="80"/>
              <w:spacing w:after="0" w:line="187" w:lineRule="exact"/>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38"/>
        </w:trPr>
        <w:tc>
          <w:tcPr>
            <w:tcW w:w="37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Cash Flow Hedging Derivative - Interest Rate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Swaps</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(4,860)</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(9,343)</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7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Less: Comprehensive Loss Attributable to</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Net Loss (Income) Attributable to</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(274)</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Loss Attributable to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7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Comprehensive Loss Attributable to</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2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7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Comprehensive Loss Attributable to Alpine</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(2,375)</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(3,059)</w:t>
            </w:r>
          </w:p>
        </w:tc>
        <w:tc>
          <w:tcPr>
            <w:tcW w:w="24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(8,609)</w:t>
            </w:r>
          </w:p>
        </w:tc>
        <w:tc>
          <w:tcPr>
            <w:tcW w:w="26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(1,610)</w:t>
            </w:r>
          </w:p>
        </w:tc>
        <w:tc>
          <w:tcPr>
            <w:tcW w:w="0" w:type="dxa"/>
            <w:vAlign w:val="bottom"/>
          </w:tcPr>
          <w:p>
            <w:pPr>
              <w:spacing w:after="0"/>
              <w:rPr>
                <w:sz w:val="1"/>
                <w:szCs w:val="1"/>
                <w:color w:val="auto"/>
              </w:rPr>
            </w:pPr>
          </w:p>
        </w:tc>
      </w:tr>
      <w:tr>
        <w:trPr>
          <w:trHeight w:val="22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Property Trust, Inc.</w:t>
            </w:r>
          </w:p>
        </w:tc>
        <w:tc>
          <w:tcPr>
            <w:tcW w:w="2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STOCKHOLDERS’ EQUITY (Unaudited, in thousands, except per share data)</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September 30, 2025:</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gridSpan w:val="2"/>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 Excess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Stock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4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Net</w:t>
            </w:r>
          </w:p>
        </w:tc>
        <w:tc>
          <w:tcPr>
            <w:tcW w:w="1280" w:type="dxa"/>
            <w:vAlign w:val="bottom"/>
            <w:gridSpan w:val="3"/>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w w:val="98"/>
              </w:rPr>
              <w:t>Stockholders'</w:t>
            </w:r>
          </w:p>
        </w:tc>
        <w:tc>
          <w:tcPr>
            <w:tcW w:w="140" w:type="dxa"/>
            <w:vAlign w:val="bottom"/>
          </w:tcPr>
          <w:p>
            <w:pPr>
              <w:spacing w:after="0"/>
              <w:rPr>
                <w:sz w:val="17"/>
                <w:szCs w:val="17"/>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20" w:type="dxa"/>
            <w:vAlign w:val="bottom"/>
          </w:tcPr>
          <w:p>
            <w:pPr>
              <w:spacing w:after="0"/>
              <w:rPr>
                <w:sz w:val="17"/>
                <w:szCs w:val="17"/>
                <w:color w:val="auto"/>
              </w:rPr>
            </w:pP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Par</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20" w:type="dxa"/>
            <w:vAlign w:val="bottom"/>
          </w:tcPr>
          <w:p>
            <w:pPr>
              <w:spacing w:after="0"/>
              <w:rPr>
                <w:sz w:val="19"/>
                <w:szCs w:val="19"/>
                <w:color w:val="auto"/>
              </w:rPr>
            </w:pP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98"/>
        </w:trPr>
        <w:tc>
          <w:tcPr>
            <w:tcW w:w="1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July 1, 2025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253,067</w:t>
            </w: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(26,721)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229,845</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22,242</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$ 252,087</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0" w:type="dxa"/>
            <w:vAlign w:val="bottom"/>
          </w:tcPr>
          <w:p>
            <w:pPr>
              <w:spacing w:after="0"/>
              <w:rPr>
                <w:sz w:val="1"/>
                <w:szCs w:val="1"/>
                <w:color w:val="auto"/>
              </w:rPr>
            </w:pPr>
          </w:p>
        </w:tc>
      </w:tr>
      <w:tr>
        <w:trPr>
          <w:trHeight w:val="181"/>
        </w:trPr>
        <w:tc>
          <w:tcPr>
            <w:tcW w:w="17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Stock Issuance to</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181"/>
        </w:trPr>
        <w:tc>
          <w:tcPr>
            <w:tcW w:w="17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Cash Dividends ($0.285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per share)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(4,385)</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Other Comprehensive</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0" w:type="dxa"/>
            <w:vAlign w:val="bottom"/>
          </w:tcPr>
          <w:p>
            <w:pPr>
              <w:spacing w:after="0"/>
              <w:rPr>
                <w:sz w:val="1"/>
                <w:szCs w:val="1"/>
                <w:color w:val="auto"/>
              </w:rPr>
            </w:pPr>
          </w:p>
        </w:tc>
      </w:tr>
      <w:tr>
        <w:trPr>
          <w:trHeight w:val="161"/>
        </w:trPr>
        <w:tc>
          <w:tcPr>
            <w:tcW w:w="1740" w:type="dxa"/>
            <w:vAlign w:val="bottom"/>
          </w:tcPr>
          <w:p>
            <w:pPr>
              <w:spacing w:after="0" w:line="161" w:lineRule="exact"/>
              <w:rPr>
                <w:sz w:val="20"/>
                <w:szCs w:val="20"/>
                <w:color w:val="auto"/>
              </w:rPr>
            </w:pPr>
            <w:r>
              <w:rPr>
                <w:rFonts w:ascii="Times New Roman" w:cs="Times New Roman" w:eastAsia="Times New Roman" w:hAnsi="Times New Roman"/>
                <w:sz w:val="17"/>
                <w:szCs w:val="17"/>
                <w:color w:val="auto"/>
              </w:rPr>
              <w:t>Balance September 30,</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253,162</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 (32,067)</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223,529</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21,688</w:t>
            </w:r>
          </w:p>
        </w:tc>
        <w:tc>
          <w:tcPr>
            <w:tcW w:w="12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$ 245,217</w:t>
            </w:r>
          </w:p>
        </w:tc>
        <w:tc>
          <w:tcPr>
            <w:tcW w:w="0" w:type="dxa"/>
            <w:vAlign w:val="bottom"/>
          </w:tcPr>
          <w:p>
            <w:pPr>
              <w:spacing w:after="0"/>
              <w:rPr>
                <w:sz w:val="1"/>
                <w:szCs w:val="1"/>
                <w:color w:val="auto"/>
              </w:rPr>
            </w:pPr>
          </w:p>
        </w:tc>
      </w:tr>
      <w:tr>
        <w:trPr>
          <w:trHeight w:val="21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September 30, 2024:</w:t>
      </w:r>
    </w:p>
    <w:p>
      <w:pPr>
        <w:spacing w:after="0" w:line="231"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0" w:type="dxa"/>
            <w:vAlign w:val="bottom"/>
            <w:gridSpan w:val="3"/>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Dividends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40" w:type="dxa"/>
            <w:vAlign w:val="bottom"/>
          </w:tcPr>
          <w:p>
            <w:pPr>
              <w:spacing w:after="0"/>
              <w:rPr>
                <w:sz w:val="17"/>
                <w:szCs w:val="17"/>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 Excess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Stock at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of Net</w:t>
            </w:r>
          </w:p>
        </w:tc>
        <w:tc>
          <w:tcPr>
            <w:tcW w:w="1280" w:type="dxa"/>
            <w:vAlign w:val="bottom"/>
            <w:gridSpan w:val="3"/>
          </w:tcPr>
          <w:p>
            <w:pPr>
              <w:jc w:val="center"/>
              <w:ind w:left="55"/>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114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w w:val="98"/>
              </w:rPr>
              <w:t>Stockholders'</w:t>
            </w:r>
          </w:p>
        </w:tc>
        <w:tc>
          <w:tcPr>
            <w:tcW w:w="14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Noncontrolling</w:t>
            </w:r>
          </w:p>
        </w:tc>
        <w:tc>
          <w:tcPr>
            <w:tcW w:w="120" w:type="dxa"/>
            <w:vAlign w:val="bottom"/>
          </w:tcPr>
          <w:p>
            <w:pPr>
              <w:spacing w:after="0"/>
              <w:rPr>
                <w:sz w:val="17"/>
                <w:szCs w:val="17"/>
                <w:color w:val="auto"/>
              </w:rPr>
            </w:pPr>
          </w:p>
        </w:tc>
        <w:tc>
          <w:tcPr>
            <w:tcW w:w="78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6"/>
        </w:trPr>
        <w:tc>
          <w:tcPr>
            <w:tcW w:w="17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8"/>
              </w:rPr>
              <w:t>Par</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98"/>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July 1, 2024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243,019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244,028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24,326</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$ 268,354</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0" w:type="dxa"/>
            <w:vAlign w:val="bottom"/>
          </w:tcPr>
          <w:p>
            <w:pPr>
              <w:spacing w:after="0"/>
              <w:rPr>
                <w:sz w:val="1"/>
                <w:szCs w:val="1"/>
                <w:color w:val="auto"/>
              </w:rPr>
            </w:pPr>
          </w:p>
        </w:tc>
      </w:tr>
      <w:tr>
        <w:trPr>
          <w:trHeight w:val="181"/>
        </w:trPr>
        <w:tc>
          <w:tcPr>
            <w:tcW w:w="17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Stock Issuance to</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181"/>
        </w:trPr>
        <w:tc>
          <w:tcPr>
            <w:tcW w:w="17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Stock Issuance, Net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Equity Issuance Costs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11,019</w:t>
            </w:r>
          </w:p>
        </w:tc>
        <w:tc>
          <w:tcPr>
            <w:tcW w:w="0" w:type="dxa"/>
            <w:vAlign w:val="bottom"/>
          </w:tcPr>
          <w:p>
            <w:pPr>
              <w:spacing w:after="0"/>
              <w:rPr>
                <w:sz w:val="1"/>
                <w:szCs w:val="1"/>
                <w:color w:val="auto"/>
              </w:rPr>
            </w:pPr>
          </w:p>
        </w:tc>
      </w:tr>
      <w:tr>
        <w:trPr>
          <w:trHeight w:val="183"/>
        </w:trPr>
        <w:tc>
          <w:tcPr>
            <w:tcW w:w="17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Cash Dividends ($0.280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share)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(4,166)</w:t>
            </w:r>
          </w:p>
        </w:tc>
        <w:tc>
          <w:tcPr>
            <w:tcW w:w="0" w:type="dxa"/>
            <w:vAlign w:val="bottom"/>
          </w:tcPr>
          <w:p>
            <w:pPr>
              <w:spacing w:after="0"/>
              <w:rPr>
                <w:sz w:val="1"/>
                <w:szCs w:val="1"/>
                <w:color w:val="auto"/>
              </w:rPr>
            </w:pPr>
          </w:p>
        </w:tc>
      </w:tr>
      <w:tr>
        <w:trPr>
          <w:trHeight w:val="181"/>
        </w:trPr>
        <w:tc>
          <w:tcPr>
            <w:tcW w:w="17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Other Comprehensive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1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Loss</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(6,139)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(6,686)</w:t>
            </w:r>
          </w:p>
        </w:tc>
        <w:tc>
          <w:tcPr>
            <w:tcW w:w="0" w:type="dxa"/>
            <w:vAlign w:val="bottom"/>
          </w:tcPr>
          <w:p>
            <w:pPr>
              <w:spacing w:after="0"/>
              <w:rPr>
                <w:sz w:val="1"/>
                <w:szCs w:val="1"/>
                <w:color w:val="auto"/>
              </w:rPr>
            </w:pPr>
          </w:p>
        </w:tc>
      </w:tr>
      <w:tr>
        <w:trPr>
          <w:trHeight w:val="163"/>
        </w:trPr>
        <w:tc>
          <w:tcPr>
            <w:tcW w:w="174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Balance September 30,</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2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254,110</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(10,652)</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4,641</w:t>
            </w: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248,242</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23,712</w:t>
            </w:r>
          </w:p>
        </w:tc>
        <w:tc>
          <w:tcPr>
            <w:tcW w:w="9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$ 271,954</w:t>
            </w:r>
          </w:p>
        </w:tc>
        <w:tc>
          <w:tcPr>
            <w:tcW w:w="0" w:type="dxa"/>
            <w:vAlign w:val="bottom"/>
          </w:tcPr>
          <w:p>
            <w:pPr>
              <w:spacing w:after="0"/>
              <w:rPr>
                <w:sz w:val="1"/>
                <w:szCs w:val="1"/>
                <w:color w:val="auto"/>
              </w:rPr>
            </w:pPr>
          </w:p>
        </w:tc>
      </w:tr>
      <w:tr>
        <w:trPr>
          <w:trHeight w:val="211"/>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600"/>
        <w:spacing w:after="0" w:line="26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STOCKHOLDERS’ EQUITY (Continued) (Unaudited, in thousands, except per share data)</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nine months ended September 30, 2025:</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Dividends</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Excess</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Stock at</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of Net</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Par</w:t>
            </w:r>
          </w:p>
        </w:tc>
        <w:tc>
          <w:tcPr>
            <w:tcW w:w="1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62"/>
        </w:trPr>
        <w:tc>
          <w:tcPr>
            <w:tcW w:w="184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Balance January 1,</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261,831</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(15,722)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253,027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23,468</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$ 276,495</w:t>
            </w:r>
          </w:p>
        </w:tc>
        <w:tc>
          <w:tcPr>
            <w:tcW w:w="0" w:type="dxa"/>
            <w:vAlign w:val="bottom"/>
          </w:tcPr>
          <w:p>
            <w:pPr>
              <w:spacing w:after="0"/>
              <w:rPr>
                <w:sz w:val="1"/>
                <w:szCs w:val="1"/>
                <w:color w:val="auto"/>
              </w:rPr>
            </w:pPr>
          </w:p>
        </w:tc>
      </w:tr>
      <w:tr>
        <w:trPr>
          <w:trHeight w:val="202"/>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(4,130)</w:t>
            </w: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(4,130)</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(353)</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(4,483)</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Repurchases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(8,793)</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(8,798)</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(8,798)</w:t>
            </w: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Stock Issuance to</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182"/>
        </w:trPr>
        <w:tc>
          <w:tcPr>
            <w:tcW w:w="18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Payment of Equity</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Costs</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(71)</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(71)</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Cash Dividends ($0.855</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 share)</w:t>
            </w:r>
          </w:p>
        </w:tc>
        <w:tc>
          <w:tcPr>
            <w:tcW w:w="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(12,215)</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(12,215)</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(1,046)</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(13,261)</w:t>
            </w:r>
          </w:p>
        </w:tc>
        <w:tc>
          <w:tcPr>
            <w:tcW w:w="0" w:type="dxa"/>
            <w:vAlign w:val="bottom"/>
          </w:tcPr>
          <w:p>
            <w:pPr>
              <w:spacing w:after="0"/>
              <w:rPr>
                <w:sz w:val="1"/>
                <w:szCs w:val="1"/>
                <w:color w:val="auto"/>
              </w:rPr>
            </w:pPr>
          </w:p>
        </w:tc>
      </w:tr>
      <w:tr>
        <w:trPr>
          <w:trHeight w:val="182"/>
        </w:trPr>
        <w:tc>
          <w:tcPr>
            <w:tcW w:w="18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Other Comprehensive</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(4,479)</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(381)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(4,860)</w:t>
            </w:r>
          </w:p>
        </w:tc>
        <w:tc>
          <w:tcPr>
            <w:tcW w:w="0" w:type="dxa"/>
            <w:vAlign w:val="bottom"/>
          </w:tcPr>
          <w:p>
            <w:pPr>
              <w:spacing w:after="0"/>
              <w:rPr>
                <w:sz w:val="1"/>
                <w:szCs w:val="1"/>
                <w:color w:val="auto"/>
              </w:rPr>
            </w:pPr>
          </w:p>
        </w:tc>
      </w:tr>
      <w:tr>
        <w:trPr>
          <w:trHeight w:val="20"/>
        </w:trPr>
        <w:tc>
          <w:tcPr>
            <w:tcW w:w="184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auto"/>
              </w:rPr>
              <w:t>Balance September 30,</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840" w:type="dxa"/>
            <w:vAlign w:val="bottom"/>
            <w:vMerge w:val="continue"/>
          </w:tcPr>
          <w:p>
            <w:pPr>
              <w:spacing w:after="0"/>
              <w:rPr>
                <w:sz w:val="13"/>
                <w:szCs w:val="13"/>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2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253,162</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 (32,067)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2,292</w:t>
            </w:r>
          </w:p>
        </w:tc>
        <w:tc>
          <w:tcPr>
            <w:tcW w:w="12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223,529</w:t>
            </w:r>
          </w:p>
        </w:tc>
        <w:tc>
          <w:tcPr>
            <w:tcW w:w="14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21,688</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$ 245,217</w:t>
            </w:r>
          </w:p>
        </w:tc>
        <w:tc>
          <w:tcPr>
            <w:tcW w:w="0" w:type="dxa"/>
            <w:vAlign w:val="bottom"/>
          </w:tcPr>
          <w:p>
            <w:pPr>
              <w:spacing w:after="0"/>
              <w:rPr>
                <w:sz w:val="1"/>
                <w:szCs w:val="1"/>
                <w:color w:val="auto"/>
              </w:rPr>
            </w:pPr>
          </w:p>
        </w:tc>
      </w:tr>
      <w:tr>
        <w:trPr>
          <w:trHeight w:val="211"/>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nine months ended September 30, 2024:</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Dividends</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in Excess</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rPr>
                <w:sz w:val="17"/>
                <w:szCs w:val="17"/>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Stock at</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0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of Net</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76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7"/>
        </w:trPr>
        <w:tc>
          <w:tcPr>
            <w:tcW w:w="1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Par</w:t>
            </w:r>
          </w:p>
        </w:tc>
        <w:tc>
          <w:tcPr>
            <w:tcW w:w="1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00" w:type="dxa"/>
            <w:vAlign w:val="bottom"/>
          </w:tcPr>
          <w:p>
            <w:pPr>
              <w:spacing w:after="0"/>
              <w:rPr>
                <w:sz w:val="19"/>
                <w:szCs w:val="19"/>
                <w:color w:val="auto"/>
              </w:rPr>
            </w:pPr>
          </w:p>
        </w:tc>
        <w:tc>
          <w:tcPr>
            <w:tcW w:w="7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Income</w:t>
            </w:r>
          </w:p>
        </w:tc>
        <w:tc>
          <w:tcPr>
            <w:tcW w:w="1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7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62"/>
        </w:trPr>
        <w:tc>
          <w:tcPr>
            <w:tcW w:w="184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7"/>
                <w:szCs w:val="17"/>
                <w:color w:val="auto"/>
              </w:rPr>
              <w:t>Balance January 1,</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243,690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250,743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$ 275,613</w:t>
            </w:r>
          </w:p>
        </w:tc>
        <w:tc>
          <w:tcPr>
            <w:tcW w:w="0" w:type="dxa"/>
            <w:vAlign w:val="bottom"/>
          </w:tcPr>
          <w:p>
            <w:pPr>
              <w:spacing w:after="0"/>
              <w:rPr>
                <w:sz w:val="1"/>
                <w:szCs w:val="1"/>
                <w:color w:val="auto"/>
              </w:rPr>
            </w:pPr>
          </w:p>
        </w:tc>
      </w:tr>
      <w:tr>
        <w:trPr>
          <w:trHeight w:val="203"/>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3,293</w:t>
            </w: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Repurchases</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(774)</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(775)</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Stock Issuance to</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Directors</w:t>
            </w:r>
          </w:p>
        </w:tc>
        <w:tc>
          <w:tcPr>
            <w:tcW w:w="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182"/>
        </w:trPr>
        <w:tc>
          <w:tcPr>
            <w:tcW w:w="18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Stock Issuance, Net of</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Issuance Costs</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10,963</w:t>
            </w: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Cash Dividends ($0.830</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 share)</w:t>
            </w:r>
          </w:p>
        </w:tc>
        <w:tc>
          <w:tcPr>
            <w:tcW w:w="1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(11,317)</w:t>
            </w: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(11,317)</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(1,015)</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(12,332)</w:t>
            </w:r>
          </w:p>
        </w:tc>
        <w:tc>
          <w:tcPr>
            <w:tcW w:w="0" w:type="dxa"/>
            <w:vAlign w:val="bottom"/>
          </w:tcPr>
          <w:p>
            <w:pPr>
              <w:spacing w:after="0"/>
              <w:rPr>
                <w:sz w:val="1"/>
                <w:szCs w:val="1"/>
                <w:color w:val="auto"/>
              </w:rPr>
            </w:pPr>
          </w:p>
        </w:tc>
      </w:tr>
      <w:tr>
        <w:trPr>
          <w:trHeight w:val="182"/>
        </w:trPr>
        <w:tc>
          <w:tcPr>
            <w:tcW w:w="18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color w:val="auto"/>
              </w:rPr>
              <w:t>Other Comprehensive</w:t>
            </w: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(4,634)</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(5,046)</w:t>
            </w:r>
          </w:p>
        </w:tc>
        <w:tc>
          <w:tcPr>
            <w:tcW w:w="0" w:type="dxa"/>
            <w:vAlign w:val="bottom"/>
          </w:tcPr>
          <w:p>
            <w:pPr>
              <w:spacing w:after="0"/>
              <w:rPr>
                <w:sz w:val="1"/>
                <w:szCs w:val="1"/>
                <w:color w:val="auto"/>
              </w:rPr>
            </w:pPr>
          </w:p>
        </w:tc>
      </w:tr>
      <w:tr>
        <w:trPr>
          <w:trHeight w:val="20"/>
        </w:trPr>
        <w:tc>
          <w:tcPr>
            <w:tcW w:w="1840" w:type="dxa"/>
            <w:vAlign w:val="bottom"/>
            <w:vMerge w:val="restart"/>
          </w:tcPr>
          <w:p>
            <w:pPr>
              <w:ind w:left="20"/>
              <w:spacing w:after="0" w:line="181" w:lineRule="exact"/>
              <w:rPr>
                <w:sz w:val="20"/>
                <w:szCs w:val="20"/>
                <w:color w:val="auto"/>
              </w:rPr>
            </w:pPr>
            <w:r>
              <w:rPr>
                <w:rFonts w:ascii="Times New Roman" w:cs="Times New Roman" w:eastAsia="Times New Roman" w:hAnsi="Times New Roman"/>
                <w:sz w:val="17"/>
                <w:szCs w:val="17"/>
                <w:color w:val="auto"/>
              </w:rPr>
              <w:t>Balance September 30,</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840" w:type="dxa"/>
            <w:vAlign w:val="bottom"/>
            <w:vMerge w:val="continue"/>
          </w:tcPr>
          <w:p>
            <w:pPr>
              <w:spacing w:after="0"/>
              <w:rPr>
                <w:sz w:val="13"/>
                <w:szCs w:val="13"/>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12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254,110</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(10,652)</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4,641</w:t>
            </w:r>
          </w:p>
        </w:tc>
        <w:tc>
          <w:tcPr>
            <w:tcW w:w="12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248,242</w:t>
            </w:r>
          </w:p>
        </w:tc>
        <w:tc>
          <w:tcPr>
            <w:tcW w:w="14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23,712</w:t>
            </w:r>
          </w:p>
        </w:tc>
        <w:tc>
          <w:tcPr>
            <w:tcW w:w="1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$ 271,954</w:t>
            </w:r>
          </w:p>
        </w:tc>
        <w:tc>
          <w:tcPr>
            <w:tcW w:w="0" w:type="dxa"/>
            <w:vAlign w:val="bottom"/>
          </w:tcPr>
          <w:p>
            <w:pPr>
              <w:spacing w:after="0"/>
              <w:rPr>
                <w:sz w:val="1"/>
                <w:szCs w:val="1"/>
                <w:color w:val="auto"/>
              </w:rPr>
            </w:pPr>
          </w:p>
        </w:tc>
      </w:tr>
      <w:tr>
        <w:trPr>
          <w:trHeight w:val="211"/>
        </w:trPr>
        <w:tc>
          <w:tcPr>
            <w:tcW w:w="1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7"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5"/>
          <w:szCs w:val="15"/>
          <w:b w:val="1"/>
          <w:bCs w:val="1"/>
          <w:color w:val="auto"/>
        </w:rPr>
        <w:t>Nine Months Ended</w:t>
      </w:r>
    </w:p>
    <w:p>
      <w:pPr>
        <w:spacing w:after="0" w:line="11" w:lineRule="exact"/>
        <w:rPr>
          <w:sz w:val="20"/>
          <w:szCs w:val="20"/>
          <w:color w:val="auto"/>
        </w:rPr>
      </w:pPr>
    </w:p>
    <w:tbl>
      <w:tblPr>
        <w:tblLayout w:type="fixed"/>
        <w:tblInd w:w="50" w:type="dxa"/>
        <w:tblCellMar>
          <w:top w:w="0" w:type="dxa"/>
          <w:left w:w="0" w:type="dxa"/>
          <w:bottom w:w="0" w:type="dxa"/>
          <w:right w:w="0" w:type="dxa"/>
        </w:tblCellMar>
      </w:tblPr>
      <w:tr>
        <w:trPr>
          <w:trHeight w:val="142"/>
        </w:trPr>
        <w:tc>
          <w:tcPr>
            <w:tcW w:w="3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2"/>
                <w:szCs w:val="12"/>
                <w:color w:val="auto"/>
              </w:rPr>
            </w:pPr>
          </w:p>
        </w:tc>
      </w:tr>
      <w:tr>
        <w:trPr>
          <w:trHeight w:val="142"/>
        </w:trPr>
        <w:tc>
          <w:tcPr>
            <w:tcW w:w="5700" w:type="dxa"/>
            <w:vAlign w:val="bottom"/>
            <w:tcBorders>
              <w:top w:val="single" w:sz="8" w:color="CCEEFF"/>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1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(4,483)</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3,293</w:t>
            </w:r>
          </w:p>
        </w:tc>
        <w:tc>
          <w:tcPr>
            <w:tcW w:w="20" w:type="dxa"/>
            <w:vAlign w:val="bottom"/>
          </w:tcPr>
          <w:p>
            <w:pPr>
              <w:spacing w:after="0"/>
              <w:rPr>
                <w:sz w:val="12"/>
                <w:szCs w:val="12"/>
                <w:color w:val="auto"/>
              </w:rPr>
            </w:pPr>
          </w:p>
        </w:tc>
      </w:tr>
      <w:tr>
        <w:trPr>
          <w:trHeight w:val="148"/>
        </w:trPr>
        <w:tc>
          <w:tcPr>
            <w:tcW w:w="570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20,609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19,074</w:t>
            </w:r>
          </w:p>
        </w:tc>
        <w:tc>
          <w:tcPr>
            <w:tcW w:w="20" w:type="dxa"/>
            <w:vAlign w:val="bottom"/>
          </w:tcPr>
          <w:p>
            <w:pPr>
              <w:spacing w:after="0"/>
              <w:rPr>
                <w:sz w:val="12"/>
                <w:szCs w:val="12"/>
                <w:color w:val="auto"/>
              </w:rPr>
            </w:pPr>
          </w:p>
        </w:tc>
      </w:tr>
      <w:tr>
        <w:trPr>
          <w:trHeight w:val="149"/>
        </w:trPr>
        <w:tc>
          <w:tcPr>
            <w:tcW w:w="57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Intangible Lease Assets and Liabilities to Lease Income</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20" w:type="dxa"/>
            <w:vAlign w:val="bottom"/>
          </w:tcPr>
          <w:p>
            <w:pPr>
              <w:spacing w:after="0"/>
              <w:rPr>
                <w:sz w:val="12"/>
                <w:szCs w:val="12"/>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20" w:type="dxa"/>
            <w:vAlign w:val="bottom"/>
          </w:tcPr>
          <w:p>
            <w:pPr>
              <w:spacing w:after="0"/>
              <w:rPr>
                <w:sz w:val="12"/>
                <w:szCs w:val="12"/>
                <w:color w:val="auto"/>
              </w:rPr>
            </w:pPr>
          </w:p>
        </w:tc>
      </w:tr>
      <w:tr>
        <w:trPr>
          <w:trHeight w:val="148"/>
        </w:trPr>
        <w:tc>
          <w:tcPr>
            <w:tcW w:w="57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Commercial Loans and Investments Origination Fees</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20" w:type="dxa"/>
            <w:vAlign w:val="bottom"/>
          </w:tcPr>
          <w:p>
            <w:pPr>
              <w:spacing w:after="0"/>
              <w:rPr>
                <w:sz w:val="12"/>
                <w:szCs w:val="12"/>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120" w:type="dxa"/>
            <w:vAlign w:val="bottom"/>
          </w:tcPr>
          <w:p>
            <w:pPr>
              <w:spacing w:after="0"/>
              <w:rPr>
                <w:sz w:val="12"/>
                <w:szCs w:val="12"/>
                <w:color w:val="auto"/>
              </w:rPr>
            </w:pPr>
          </w:p>
        </w:tc>
        <w:tc>
          <w:tcPr>
            <w:tcW w:w="1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(2,043)</w:t>
            </w: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(4,344)</w:t>
            </w:r>
          </w:p>
        </w:tc>
        <w:tc>
          <w:tcPr>
            <w:tcW w:w="20" w:type="dxa"/>
            <w:vAlign w:val="bottom"/>
          </w:tcPr>
          <w:p>
            <w:pPr>
              <w:spacing w:after="0"/>
              <w:rPr>
                <w:sz w:val="12"/>
                <w:szCs w:val="12"/>
                <w:color w:val="auto"/>
              </w:rPr>
            </w:pPr>
          </w:p>
        </w:tc>
      </w:tr>
      <w:tr>
        <w:trPr>
          <w:trHeight w:val="148"/>
        </w:trPr>
        <w:tc>
          <w:tcPr>
            <w:tcW w:w="57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Provision for Impairment</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6,749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w:t>
            </w:r>
          </w:p>
        </w:tc>
        <w:tc>
          <w:tcPr>
            <w:tcW w:w="20" w:type="dxa"/>
            <w:vAlign w:val="bottom"/>
          </w:tcPr>
          <w:p>
            <w:pPr>
              <w:spacing w:after="0"/>
              <w:rPr>
                <w:sz w:val="12"/>
                <w:szCs w:val="12"/>
                <w:color w:val="auto"/>
              </w:rPr>
            </w:pPr>
          </w:p>
        </w:tc>
      </w:tr>
      <w:tr>
        <w:trPr>
          <w:trHeight w:val="149"/>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20" w:type="dxa"/>
            <w:vAlign w:val="bottom"/>
          </w:tcPr>
          <w:p>
            <w:pPr>
              <w:spacing w:after="0"/>
              <w:rPr>
                <w:sz w:val="12"/>
                <w:szCs w:val="12"/>
                <w:color w:val="auto"/>
              </w:rPr>
            </w:pPr>
          </w:p>
        </w:tc>
      </w:tr>
      <w:tr>
        <w:trPr>
          <w:trHeight w:val="148"/>
        </w:trPr>
        <w:tc>
          <w:tcPr>
            <w:tcW w:w="57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Decrease (Increase) in Assets:</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Straight-Line Rent Adjustment</w:t>
            </w:r>
          </w:p>
        </w:tc>
        <w:tc>
          <w:tcPr>
            <w:tcW w:w="120" w:type="dxa"/>
            <w:vAlign w:val="bottom"/>
          </w:tcPr>
          <w:p>
            <w:pPr>
              <w:spacing w:after="0"/>
              <w:rPr>
                <w:sz w:val="12"/>
                <w:szCs w:val="12"/>
                <w:color w:val="auto"/>
              </w:rPr>
            </w:pPr>
          </w:p>
        </w:tc>
        <w:tc>
          <w:tcPr>
            <w:tcW w:w="1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(539)</w:t>
            </w: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20" w:type="dxa"/>
            <w:vAlign w:val="bottom"/>
          </w:tcPr>
          <w:p>
            <w:pPr>
              <w:spacing w:after="0"/>
              <w:rPr>
                <w:sz w:val="12"/>
                <w:szCs w:val="12"/>
                <w:color w:val="auto"/>
              </w:rPr>
            </w:pPr>
          </w:p>
        </w:tc>
      </w:tr>
      <w:tr>
        <w:trPr>
          <w:trHeight w:val="148"/>
        </w:trPr>
        <w:tc>
          <w:tcPr>
            <w:tcW w:w="57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0" w:type="dxa"/>
            <w:vAlign w:val="bottom"/>
          </w:tcPr>
          <w:p>
            <w:pPr>
              <w:spacing w:after="0"/>
              <w:rPr>
                <w:sz w:val="12"/>
                <w:szCs w:val="12"/>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7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20" w:type="dxa"/>
            <w:vAlign w:val="bottom"/>
          </w:tcPr>
          <w:p>
            <w:pPr>
              <w:spacing w:after="0"/>
              <w:rPr>
                <w:sz w:val="12"/>
                <w:szCs w:val="12"/>
                <w:color w:val="auto"/>
              </w:rPr>
            </w:pPr>
          </w:p>
        </w:tc>
      </w:tr>
      <w:tr>
        <w:trPr>
          <w:trHeight w:val="149"/>
        </w:trPr>
        <w:tc>
          <w:tcPr>
            <w:tcW w:w="5700" w:type="dxa"/>
            <w:vAlign w:val="bottom"/>
            <w:tcBorders>
              <w:bottom w:val="single" w:sz="8" w:color="CCEEFF"/>
            </w:tcBorders>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Rent and Deferred Revenue</w:t>
            </w: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2,898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20" w:type="dxa"/>
            <w:vAlign w:val="bottom"/>
          </w:tcPr>
          <w:p>
            <w:pPr>
              <w:spacing w:after="0"/>
              <w:rPr>
                <w:sz w:val="12"/>
                <w:szCs w:val="12"/>
                <w:color w:val="auto"/>
              </w:rPr>
            </w:pPr>
          </w:p>
        </w:tc>
      </w:tr>
      <w:tr>
        <w:trPr>
          <w:trHeight w:val="142"/>
        </w:trPr>
        <w:tc>
          <w:tcPr>
            <w:tcW w:w="5700" w:type="dxa"/>
            <w:vAlign w:val="bottom"/>
            <w:tcBorders>
              <w:left w:val="single" w:sz="8" w:color="CCEEFF"/>
            </w:tcBorders>
            <w:gridSpan w:val="2"/>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1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23,654</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21,005</w:t>
            </w:r>
          </w:p>
        </w:tc>
        <w:tc>
          <w:tcPr>
            <w:tcW w:w="20" w:type="dxa"/>
            <w:vAlign w:val="bottom"/>
          </w:tcPr>
          <w:p>
            <w:pPr>
              <w:spacing w:after="0"/>
              <w:rPr>
                <w:sz w:val="12"/>
                <w:szCs w:val="12"/>
                <w:color w:val="auto"/>
              </w:rPr>
            </w:pPr>
          </w:p>
        </w:tc>
      </w:tr>
      <w:tr>
        <w:trPr>
          <w:trHeight w:val="142"/>
        </w:trPr>
        <w:tc>
          <w:tcPr>
            <w:tcW w:w="5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Real Estate, Including Capitalized Expenditures</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(67,514)</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(22,523)</w:t>
            </w:r>
          </w:p>
        </w:tc>
        <w:tc>
          <w:tcPr>
            <w:tcW w:w="20" w:type="dxa"/>
            <w:vAlign w:val="bottom"/>
          </w:tcPr>
          <w:p>
            <w:pPr>
              <w:spacing w:after="0"/>
              <w:rPr>
                <w:sz w:val="12"/>
                <w:szCs w:val="12"/>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Disposition of Assets</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32,644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53,702</w:t>
            </w:r>
          </w:p>
        </w:tc>
        <w:tc>
          <w:tcPr>
            <w:tcW w:w="20" w:type="dxa"/>
            <w:vAlign w:val="bottom"/>
          </w:tcPr>
          <w:p>
            <w:pPr>
              <w:spacing w:after="0"/>
              <w:rPr>
                <w:sz w:val="12"/>
                <w:szCs w:val="12"/>
                <w:color w:val="auto"/>
              </w:rPr>
            </w:pPr>
          </w:p>
        </w:tc>
      </w:tr>
      <w:tr>
        <w:trPr>
          <w:trHeight w:val="148"/>
        </w:trPr>
        <w:tc>
          <w:tcPr>
            <w:tcW w:w="57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Acquisition of Commercial Loans and Investments</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(63,418)</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(52,993)</w:t>
            </w:r>
          </w:p>
        </w:tc>
        <w:tc>
          <w:tcPr>
            <w:tcW w:w="20" w:type="dxa"/>
            <w:vAlign w:val="bottom"/>
          </w:tcPr>
          <w:p>
            <w:pPr>
              <w:spacing w:after="0"/>
              <w:rPr>
                <w:sz w:val="12"/>
                <w:szCs w:val="12"/>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Principal Payments Received on Commercial Loans and Investments</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50,465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14,292</w:t>
            </w:r>
          </w:p>
        </w:tc>
        <w:tc>
          <w:tcPr>
            <w:tcW w:w="20" w:type="dxa"/>
            <w:vAlign w:val="bottom"/>
          </w:tcPr>
          <w:p>
            <w:pPr>
              <w:spacing w:after="0"/>
              <w:rPr>
                <w:sz w:val="12"/>
                <w:szCs w:val="12"/>
                <w:color w:val="auto"/>
              </w:rPr>
            </w:pPr>
          </w:p>
        </w:tc>
      </w:tr>
      <w:tr>
        <w:trPr>
          <w:trHeight w:val="148"/>
        </w:trPr>
        <w:tc>
          <w:tcPr>
            <w:tcW w:w="57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Participation Obligation</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(11,403)</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2"/>
        </w:trPr>
        <w:tc>
          <w:tcPr>
            <w:tcW w:w="570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12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(59,226)</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(7,522)</w:t>
            </w:r>
          </w:p>
        </w:tc>
        <w:tc>
          <w:tcPr>
            <w:tcW w:w="20" w:type="dxa"/>
            <w:vAlign w:val="bottom"/>
          </w:tcPr>
          <w:p>
            <w:pPr>
              <w:spacing w:after="0"/>
              <w:rPr>
                <w:sz w:val="12"/>
                <w:szCs w:val="12"/>
                <w:color w:val="auto"/>
              </w:rPr>
            </w:pPr>
          </w:p>
        </w:tc>
      </w:tr>
      <w:tr>
        <w:trPr>
          <w:trHeight w:val="142"/>
        </w:trPr>
        <w:tc>
          <w:tcPr>
            <w:tcW w:w="570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2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67,900</w:t>
            </w:r>
          </w:p>
        </w:tc>
        <w:tc>
          <w:tcPr>
            <w:tcW w:w="20" w:type="dxa"/>
            <w:vAlign w:val="bottom"/>
          </w:tcPr>
          <w:p>
            <w:pPr>
              <w:spacing w:after="0"/>
              <w:rPr>
                <w:sz w:val="12"/>
                <w:szCs w:val="12"/>
                <w:color w:val="auto"/>
              </w:rPr>
            </w:pPr>
          </w:p>
        </w:tc>
      </w:tr>
      <w:tr>
        <w:trPr>
          <w:trHeight w:val="148"/>
        </w:trPr>
        <w:tc>
          <w:tcPr>
            <w:tcW w:w="57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(59,000)</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(64,900)</w:t>
            </w:r>
          </w:p>
        </w:tc>
        <w:tc>
          <w:tcPr>
            <w:tcW w:w="20" w:type="dxa"/>
            <w:vAlign w:val="bottom"/>
          </w:tcPr>
          <w:p>
            <w:pPr>
              <w:spacing w:after="0"/>
              <w:rPr>
                <w:sz w:val="12"/>
                <w:szCs w:val="12"/>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Loan Fees</w:t>
            </w:r>
          </w:p>
        </w:tc>
        <w:tc>
          <w:tcPr>
            <w:tcW w:w="120" w:type="dxa"/>
            <w:vAlign w:val="bottom"/>
          </w:tcPr>
          <w:p>
            <w:pPr>
              <w:spacing w:after="0"/>
              <w:rPr>
                <w:sz w:val="12"/>
                <w:szCs w:val="12"/>
                <w:color w:val="auto"/>
              </w:rPr>
            </w:pPr>
          </w:p>
        </w:tc>
        <w:tc>
          <w:tcPr>
            <w:tcW w:w="1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2"/>
                <w:szCs w:val="12"/>
                <w:color w:val="auto"/>
              </w:rPr>
            </w:pPr>
          </w:p>
        </w:tc>
      </w:tr>
      <w:tr>
        <w:trPr>
          <w:trHeight w:val="149"/>
        </w:trPr>
        <w:tc>
          <w:tcPr>
            <w:tcW w:w="57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(8,798)</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20" w:type="dxa"/>
            <w:vAlign w:val="bottom"/>
          </w:tcPr>
          <w:p>
            <w:pPr>
              <w:spacing w:after="0"/>
              <w:rPr>
                <w:sz w:val="12"/>
                <w:szCs w:val="12"/>
                <w:color w:val="auto"/>
              </w:rPr>
            </w:pPr>
          </w:p>
        </w:tc>
      </w:tr>
      <w:tr>
        <w:trPr>
          <w:trHeight w:val="148"/>
        </w:trPr>
        <w:tc>
          <w:tcPr>
            <w:tcW w:w="57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Stock Issuance, Net (Payment of Equity Issuance Costs)</w:t>
            </w:r>
          </w:p>
        </w:tc>
        <w:tc>
          <w:tcPr>
            <w:tcW w:w="120" w:type="dxa"/>
            <w:vAlign w:val="bottom"/>
          </w:tcPr>
          <w:p>
            <w:pPr>
              <w:spacing w:after="0"/>
              <w:rPr>
                <w:sz w:val="12"/>
                <w:szCs w:val="12"/>
                <w:color w:val="auto"/>
              </w:rPr>
            </w:pPr>
          </w:p>
        </w:tc>
        <w:tc>
          <w:tcPr>
            <w:tcW w:w="15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10,963</w:t>
            </w:r>
          </w:p>
        </w:tc>
        <w:tc>
          <w:tcPr>
            <w:tcW w:w="20" w:type="dxa"/>
            <w:vAlign w:val="bottom"/>
          </w:tcPr>
          <w:p>
            <w:pPr>
              <w:spacing w:after="0"/>
              <w:rPr>
                <w:sz w:val="12"/>
                <w:szCs w:val="12"/>
                <w:color w:val="auto"/>
              </w:rPr>
            </w:pPr>
          </w:p>
        </w:tc>
      </w:tr>
      <w:tr>
        <w:trPr>
          <w:trHeight w:val="148"/>
        </w:trPr>
        <w:tc>
          <w:tcPr>
            <w:tcW w:w="5700" w:type="dxa"/>
            <w:vAlign w:val="bottom"/>
            <w:tcBorders>
              <w:left w:val="single" w:sz="8" w:color="CCEEFF"/>
            </w:tcBorders>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(13,261)</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(12,332)</w:t>
            </w:r>
          </w:p>
        </w:tc>
        <w:tc>
          <w:tcPr>
            <w:tcW w:w="20" w:type="dxa"/>
            <w:vAlign w:val="bottom"/>
          </w:tcPr>
          <w:p>
            <w:pPr>
              <w:spacing w:after="0"/>
              <w:rPr>
                <w:sz w:val="12"/>
                <w:szCs w:val="12"/>
                <w:color w:val="auto"/>
              </w:rPr>
            </w:pPr>
          </w:p>
        </w:tc>
      </w:tr>
      <w:tr>
        <w:trPr>
          <w:trHeight w:val="142"/>
        </w:trPr>
        <w:tc>
          <w:tcPr>
            <w:tcW w:w="5700" w:type="dxa"/>
            <w:vAlign w:val="bottom"/>
            <w:tcBorders>
              <w:bottom w:val="single" w:sz="8" w:color="CCEEFF"/>
            </w:tcBorders>
            <w:gridSpan w:val="2"/>
          </w:tcPr>
          <w:p>
            <w:pPr>
              <w:ind w:left="34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34,259</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841</w:t>
            </w:r>
          </w:p>
        </w:tc>
        <w:tc>
          <w:tcPr>
            <w:tcW w:w="20" w:type="dxa"/>
            <w:vAlign w:val="bottom"/>
          </w:tcPr>
          <w:p>
            <w:pPr>
              <w:spacing w:after="0"/>
              <w:rPr>
                <w:sz w:val="12"/>
                <w:szCs w:val="12"/>
                <w:color w:val="auto"/>
              </w:rPr>
            </w:pPr>
          </w:p>
        </w:tc>
      </w:tr>
      <w:tr>
        <w:trPr>
          <w:trHeight w:val="142"/>
        </w:trPr>
        <w:tc>
          <w:tcPr>
            <w:tcW w:w="570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 and Restricted Cash</w:t>
            </w: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(1,313)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14,324</w:t>
            </w:r>
          </w:p>
        </w:tc>
        <w:tc>
          <w:tcPr>
            <w:tcW w:w="20" w:type="dxa"/>
            <w:vAlign w:val="bottom"/>
          </w:tcPr>
          <w:p>
            <w:pPr>
              <w:spacing w:after="0"/>
              <w:rPr>
                <w:sz w:val="12"/>
                <w:szCs w:val="12"/>
                <w:color w:val="auto"/>
              </w:rPr>
            </w:pPr>
          </w:p>
        </w:tc>
      </w:tr>
      <w:tr>
        <w:trPr>
          <w:trHeight w:val="148"/>
        </w:trPr>
        <w:tc>
          <w:tcPr>
            <w:tcW w:w="570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1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7,951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13,731</w:t>
            </w:r>
          </w:p>
        </w:tc>
        <w:tc>
          <w:tcPr>
            <w:tcW w:w="20" w:type="dxa"/>
            <w:vAlign w:val="bottom"/>
          </w:tcPr>
          <w:p>
            <w:pPr>
              <w:spacing w:after="0"/>
              <w:rPr>
                <w:sz w:val="12"/>
                <w:szCs w:val="12"/>
                <w:color w:val="auto"/>
              </w:rPr>
            </w:pPr>
          </w:p>
        </w:tc>
      </w:tr>
      <w:tr>
        <w:trPr>
          <w:trHeight w:val="142"/>
        </w:trPr>
        <w:tc>
          <w:tcPr>
            <w:tcW w:w="5700" w:type="dxa"/>
            <w:vAlign w:val="bottom"/>
            <w:tcBorders>
              <w:left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6,638</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28,055</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9"/>
        </w:trPr>
        <w:tc>
          <w:tcPr>
            <w:tcW w:w="34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700" w:type="dxa"/>
            <w:vAlign w:val="bottom"/>
            <w:tcBorders>
              <w:left w:val="single" w:sz="8" w:color="CCEEFF"/>
            </w:tcBorders>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Reconciliation of Cash to the Consolidated Balance Sheets:</w:t>
            </w:r>
          </w:p>
        </w:tc>
        <w:tc>
          <w:tcPr>
            <w:tcW w:w="1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3440" w:type="dxa"/>
            <w:vAlign w:val="bottom"/>
            <w:tcBorders>
              <w:left w:val="single" w:sz="8" w:color="CCEEFF"/>
            </w:tcBorders>
            <w:shd w:val="clear" w:color="auto" w:fill="000000"/>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w:t>
            </w:r>
          </w:p>
        </w:tc>
        <w:tc>
          <w:tcPr>
            <w:tcW w:w="1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2,560</w:t>
            </w:r>
          </w:p>
        </w:tc>
        <w:tc>
          <w:tcPr>
            <w:tcW w:w="20" w:type="dxa"/>
            <w:vAlign w:val="bottom"/>
          </w:tcPr>
          <w:p>
            <w:pPr>
              <w:spacing w:after="0"/>
              <w:rPr>
                <w:sz w:val="12"/>
                <w:szCs w:val="12"/>
                <w:color w:val="auto"/>
              </w:rPr>
            </w:pPr>
          </w:p>
        </w:tc>
      </w:tr>
      <w:tr>
        <w:trPr>
          <w:trHeight w:val="149"/>
        </w:trPr>
        <w:tc>
          <w:tcPr>
            <w:tcW w:w="5700" w:type="dxa"/>
            <w:vAlign w:val="bottom"/>
            <w:tcBorders>
              <w:left w:val="single" w:sz="8" w:color="CCEEFF"/>
            </w:tcBorders>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2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5,455</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25,495</w:t>
            </w:r>
          </w:p>
        </w:tc>
        <w:tc>
          <w:tcPr>
            <w:tcW w:w="20" w:type="dxa"/>
            <w:vAlign w:val="bottom"/>
          </w:tcPr>
          <w:p>
            <w:pPr>
              <w:spacing w:after="0"/>
              <w:rPr>
                <w:sz w:val="12"/>
                <w:szCs w:val="12"/>
                <w:color w:val="auto"/>
              </w:rPr>
            </w:pPr>
          </w:p>
        </w:tc>
      </w:tr>
      <w:tr>
        <w:trPr>
          <w:trHeight w:val="142"/>
        </w:trPr>
        <w:tc>
          <w:tcPr>
            <w:tcW w:w="570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w:t>
            </w: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6,638</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28,055</w:t>
            </w:r>
          </w:p>
        </w:tc>
        <w:tc>
          <w:tcPr>
            <w:tcW w:w="20" w:type="dxa"/>
            <w:vAlign w:val="bottom"/>
          </w:tcPr>
          <w:p>
            <w:pPr>
              <w:spacing w:after="0"/>
              <w:rPr>
                <w:sz w:val="12"/>
                <w:szCs w:val="12"/>
                <w:color w:val="auto"/>
              </w:rPr>
            </w:pPr>
          </w:p>
        </w:tc>
      </w:tr>
      <w:tr>
        <w:trPr>
          <w:trHeight w:val="20"/>
        </w:trPr>
        <w:tc>
          <w:tcPr>
            <w:tcW w:w="3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640" w:right="184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CASH FLOWS (Continued) (Unaudited,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5620" w:type="dxa"/>
            <w:vAlign w:val="bottom"/>
          </w:tcPr>
          <w:p>
            <w:pPr>
              <w:spacing w:after="0"/>
              <w:rPr>
                <w:sz w:val="12"/>
                <w:szCs w:val="12"/>
                <w:color w:val="auto"/>
              </w:rPr>
            </w:pPr>
          </w:p>
        </w:tc>
        <w:tc>
          <w:tcPr>
            <w:tcW w:w="1640" w:type="dxa"/>
            <w:vAlign w:val="bottom"/>
            <w:tcBorders>
              <w:top w:val="single" w:sz="8" w:color="auto"/>
            </w:tcBorders>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2"/>
                <w:szCs w:val="12"/>
                <w:color w:val="auto"/>
              </w:rPr>
            </w:pPr>
          </w:p>
        </w:tc>
      </w:tr>
      <w:tr>
        <w:trPr>
          <w:trHeight w:val="142"/>
        </w:trPr>
        <w:tc>
          <w:tcPr>
            <w:tcW w:w="56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5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56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10,962</w:t>
            </w:r>
          </w:p>
        </w:tc>
        <w:tc>
          <w:tcPr>
            <w:tcW w:w="1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8,996</w:t>
            </w:r>
          </w:p>
        </w:tc>
        <w:tc>
          <w:tcPr>
            <w:tcW w:w="20" w:type="dxa"/>
            <w:vAlign w:val="bottom"/>
          </w:tcPr>
          <w:p>
            <w:pPr>
              <w:spacing w:after="0"/>
              <w:rPr>
                <w:sz w:val="12"/>
                <w:szCs w:val="12"/>
                <w:color w:val="auto"/>
              </w:rPr>
            </w:pPr>
          </w:p>
        </w:tc>
      </w:tr>
      <w:tr>
        <w:trPr>
          <w:trHeight w:val="148"/>
        </w:trPr>
        <w:tc>
          <w:tcPr>
            <w:tcW w:w="56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56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Loss on Cash Flow Hedge</w:t>
            </w:r>
          </w:p>
        </w:tc>
        <w:tc>
          <w:tcPr>
            <w:tcW w:w="560" w:type="dxa"/>
            <w:vAlign w:val="bottom"/>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(4,860)</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(5,046)</w:t>
            </w:r>
          </w:p>
        </w:tc>
        <w:tc>
          <w:tcPr>
            <w:tcW w:w="20" w:type="dxa"/>
            <w:vAlign w:val="bottom"/>
          </w:tcPr>
          <w:p>
            <w:pPr>
              <w:spacing w:after="0"/>
              <w:rPr>
                <w:sz w:val="12"/>
                <w:szCs w:val="12"/>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BUSINESS AND ORGANIZATION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(the “Company” or “PINE”) is a real estate investment trust (“REIT”) that owns and operates a high-quality portfolio of commercial net lease properties. The terms “us,” “we,” “our,” and “the Company” as used in this report refer to Alpine Income Property Trust, Inc. together with our consolidated subsidiaries.</w:t>
      </w:r>
    </w:p>
    <w:p>
      <w:pPr>
        <w:spacing w:after="0" w:line="1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income property portfolio consists of 128 net leased properties located in 34 states. The properties in our portfolio are primarily subject to long-term, net leases, which generally require the tenant to pay directly or reimburse us for property operating expenses such as real estate taxes, insurance, assessments and other governmental fees, utilities, repairs and maintenance and certain capital expenditures. The Company may also acquire or originate commercial loans and investments. Our investments in commercial loans are generally secured by real estate or the borrower’s pledge of its ownership interest in an entity that owns real estate. As more fully described in Note 4, “Commercial Loans and Investments,” the three Tampa Properties (defined in Note 4 below), which were purchased during the year ended December 31, 2024 through a sale-leaseback transaction that includes a tenant repurchase option are, for GAAP purposes, accounted for as a financing arrangement. However, because the Tampa Properties constitute real estate assets for both legal and tax purposes, we include the Tampa Properties in the property portfolio when describing our property portfolio and for purposes of providing statistics related thereto.</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operates in two primary business segments: income properties and commercial loans and investments.</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REIT and the sole member of our Manager (“CTO”). All of our executive officers also serve as executive officers of CTO, and one of our executive officers and directors, John P. Albright, also serves as an executive officer and director of CTO.</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is a Maryland corporation that was formed on August 19, 2019. On November 26, 2019, the Company closed its initial public offering (“IPO”). We are externally managed by our Manager and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September 30, 2025, we have a total ownership interest in the Operating Partnership of 92.0%, with CTO holding, directly and indirectly, an 8.0%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oversees our business and affairs.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85"/>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its wholly owned subsidiaries, and other entities in which we have a controlling interest. All inter-company balances and transactions have been eliminated in the consolidated financial statements.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12"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 xml:space="preserve">Financial Accounting Standards Board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(“FASB ASC”) Topic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establishes standards related to the manner in which enterprises report operating segment information.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operates in two primary business segments including income properties and commercial loans and investments, as further discussed within Note 21, “Business Segment Data”. The Company has no other reportable segments. The Company’s chief executive officer, who is the Company’s chief operating decision maker (“CODM”), reviews financial information on a disaggregated basis for purposes of allocating and evaluating financial performance.</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 IN THE PREPARATION OF FINANCIAL STATEMENTS</w:t>
      </w:r>
    </w:p>
    <w:p>
      <w:pPr>
        <w:spacing w:after="0" w:line="21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7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jc w:val="both"/>
        <w:ind w:left="60" w:right="59" w:firstLine="324"/>
        <w:spacing w:after="0" w:line="248" w:lineRule="auto"/>
        <w:rPr>
          <w:sz w:val="20"/>
          <w:szCs w:val="20"/>
          <w:color w:val="auto"/>
        </w:rPr>
      </w:pPr>
      <w:r>
        <w:rPr>
          <w:rFonts w:ascii="Times New Roman" w:cs="Times New Roman" w:eastAsia="Times New Roman" w:hAnsi="Times New Roman"/>
          <w:sz w:val="18"/>
          <w:szCs w:val="18"/>
          <w:color w:val="auto"/>
        </w:rPr>
        <w:t>The Company’s real estate assets are comprised of the properties in its portfolio, and are carried at cost, less accumulated depreciation, amortization, and impairment losses, if any.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three months ended September 30, 2025 and 2024, was $4.5 million and $4.2 million, respectively. The amount of depreciation of real estate, exclusive of amortization related to intangible assets, recognized for the nine months ended September 30, 2025 and 2024, was $14.0 million and $12.7 million, respectively.</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5" w:lineRule="exact"/>
        <w:rPr>
          <w:sz w:val="20"/>
          <w:szCs w:val="20"/>
          <w:color w:val="auto"/>
        </w:rPr>
      </w:pPr>
    </w:p>
    <w:p>
      <w:pPr>
        <w:jc w:val="both"/>
        <w:ind w:left="60" w:right="59" w:firstLine="396"/>
        <w:spacing w:after="0" w:line="265" w:lineRule="auto"/>
        <w:rPr>
          <w:sz w:val="20"/>
          <w:szCs w:val="20"/>
          <w:color w:val="auto"/>
        </w:rPr>
      </w:pPr>
      <w:r>
        <w:rPr>
          <w:rFonts w:ascii="Times New Roman" w:cs="Times New Roman" w:eastAsia="Times New Roman" w:hAnsi="Times New Roman"/>
          <w:sz w:val="17"/>
          <w:szCs w:val="17"/>
          <w:color w:val="auto"/>
        </w:rPr>
        <w:t xml:space="preserve">The Company follows FASB ASC Topic 360-10,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the difference of carrying value and fair value less cost to sell.</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p>
    <w:p>
      <w:pPr>
        <w:spacing w:after="0" w:line="227" w:lineRule="exact"/>
        <w:rPr>
          <w:sz w:val="20"/>
          <w:szCs w:val="20"/>
          <w:color w:val="auto"/>
        </w:rPr>
      </w:pPr>
    </w:p>
    <w:p>
      <w:pPr>
        <w:jc w:val="both"/>
        <w:ind w:left="60" w:right="59" w:firstLine="387"/>
        <w:spacing w:after="0" w:line="253" w:lineRule="auto"/>
        <w:rPr>
          <w:sz w:val="20"/>
          <w:szCs w:val="20"/>
          <w:color w:val="auto"/>
        </w:rPr>
      </w:pPr>
      <w:r>
        <w:rPr>
          <w:rFonts w:ascii="Times New Roman" w:cs="Times New Roman" w:eastAsia="Times New Roman" w:hAnsi="Times New Roman"/>
          <w:sz w:val="18"/>
          <w:szCs w:val="18"/>
          <w:color w:val="auto"/>
        </w:rPr>
        <w:t>Investments in real estate are carried at cost less accumulated depreciation, amortization,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Clarifying the Definition of a Business,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the lease includes bargain renewal options that are likely to be exercised, in which case the Company includes such renewal periods in the amortization period utilized. The Company considers both qualitative and quantitative factors in considering if a lease contains a bargain renewal option and the likelihood of a tenant exercising such option.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25"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Investments in real estate which are determined to be “held for sale” pursuant to FASB Topic 360-10, </w:t>
      </w:r>
      <w:r>
        <w:rPr>
          <w:rFonts w:ascii="Times New Roman" w:cs="Times New Roman" w:eastAsia="Times New Roman" w:hAnsi="Times New Roman"/>
          <w:sz w:val="18"/>
          <w:szCs w:val="18"/>
          <w:i w:val="1"/>
          <w:iCs w:val="1"/>
          <w:color w:val="auto"/>
        </w:rPr>
        <w:t>Property, Plant,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Equipment </w:t>
      </w:r>
      <w:r>
        <w:rPr>
          <w:rFonts w:ascii="Times New Roman" w:cs="Times New Roman" w:eastAsia="Times New Roman" w:hAnsi="Times New Roman"/>
          <w:sz w:val="18"/>
          <w:szCs w:val="18"/>
          <w:color w:val="auto"/>
        </w:rPr>
        <w:t>are reported separately on the consolidated balance sheets at the lesser of carrying value or fair value,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to sell. Real estate investments classified as held for sale are not depreciated.</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OF REAL ESTATE</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LEASE REVENUE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September 30, 2025 and December 31, 2024, the Company’s allowance for doubtful accounts totaled $0.4 million and $0.3 million, respectively.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COMMERCIAL LOANS AND INVESTMENTS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Investments in commercial loans and investments held for investment are recorded at historical cost, net of unaccreted origination costs and current expected credit losses (“CECL”) reserve.</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Pursuant to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Sales of participations in commercial loans and investments are evaluated for achievement of the characteristics of participating interest pursuant to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If the sale of a participation has all of the characteristics of a participating interest, it achieves sale accounting, and the commercial loan or investment is presented net of the participating interest. If the sale of a participation does not have all of the characteristics of a participating interest, it does not achieve sale accounting and is treated as a secured borrowing. As of September 30, 2025, the Company’s participation in commercial loans and investments purchased by a third-party, did not achieve sale accounting and has been presented as an Obligation under Participation Agreement within the liabilities portion of the Company’s consolidated balance sheets. The participation in commercial loans and investments had been repaid with no remaining outstanding balance as of September 30, 2025.</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RECOGNITION OF INTEREST INCOME FROM COMMERCIAL LOANS AND INVESTMENTS</w:t>
      </w:r>
    </w:p>
    <w:p>
      <w:pPr>
        <w:spacing w:after="0" w:line="227"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Interest income on commercial loans and investments includes interest payments made by the borrower and the accretion of loan origination fees, offset by the amortization of loan costs, if any. Interest payments are accrued based on the actual coupon rate and the outstanding principal balance and purchase discounts and loan origination fees are accreted into income using the effective yield method, adjusted for prepayments.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LAND LEASE EXPENSE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which leases are classified as operating leases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corresponding lease expense is recognized on a straight-line basis over the term of the lease and is included in real estate expenses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cash on hand, bank demand accounts, and money market accounts having original maturities of 90 days or less. The Company’s bank balances as of September 30, 2025 and December 31, 2024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ind w:left="60" w:right="59" w:firstLine="441"/>
        <w:spacing w:after="0" w:line="266" w:lineRule="auto"/>
        <w:rPr>
          <w:sz w:val="20"/>
          <w:szCs w:val="20"/>
          <w:color w:val="auto"/>
        </w:rPr>
      </w:pPr>
      <w:r>
        <w:rPr>
          <w:rFonts w:ascii="Times New Roman" w:cs="Times New Roman" w:eastAsia="Times New Roman" w:hAnsi="Times New Roman"/>
          <w:sz w:val="18"/>
          <w:szCs w:val="18"/>
          <w:color w:val="auto"/>
        </w:rPr>
        <w:t>Restricted cash totaled $5.5 million as of September 30, 2025, all of which is being held in interest, real estate tax, insurance, and/or capital expenditure reserve accounts related to the Company’s portfolio of commercial loans and investments.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cash flow hedging derivatives in accordance with FASB ASC Topic 815-20,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Depending upon the hedge’s value at each balance sheet date, the derivatives are included in either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14, “Interest Rate Swaps”).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restricted cash, accounts receivable included in other assets, accounts payable, and accrued expenses and other liabilities at September 30, 2025 and December 31, 2024,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70"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21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3"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214"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(loss) attributable to the Company for the period by the weighted average number of shares of common stock outstanding for the period. Diluted earnings per common share is determined based on the assumption that the OP Units issued are redeemed for shares of our common stock on a one-for-one basis.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Code. We believe the Company has been organized and has operated in such a manner as to qualify for taxation as a REIT under the U.S. federal income tax laws. The Company intends to continue to operate in such a manner. As a REIT, the Company will be subject to U.S. federal and state income taxation at corporate rates on its net taxable income; the Company, however, may claim a deduction for the amount of dividends paid to its stockholders. Amounts distributed as dividends by the Company will be subject to taxation at the stockholder level only. While the Company must distribute at least 90% of its REIT taxable income, determined without regard to the dividends paid deduction and excluding any net capital gain, to qualify as a REIT, the Company intends to distribute all of its net taxable income. The Company is allowed certain other non-cash deductions or adjustments, such as depreciation expense, when computing its REIT taxable income and distribution requirement. These deductions permit the Company to reduce its dividend payout requirement under U.S. federal income tax laws. Certain states may impose minimum franchise taxes. The Company may form one or more taxable REIT subsidiaries (“TRSs”), which will be subject to applicable U.S. federal, state and local corporate income tax on their taxable income. For the periods presented, the Company did not have any TRSs that would be subject to taxation.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14"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Certain individual tenants in the Company’s portfolio of properties accounted for more than 10% of lease income from the Company’s income properties during the nine months ended September 30, 2025 and 2024.</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Lowe’s and Dick’s Sporting Goods each accounted for 11% of lease income revenue. During the nine months ended September 30, 2024, Walgreens accounted for 11% of lease income revenue.</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12% of the Company’s income property portfolio, based on square footage, was located in the state of Texas. As of December 31, 2024, 11% of the Company’s income property portfolio, based on square footage, was located in each of the states of New Jersey and Michigan.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PROPERTY PORTFOLIO</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Company’s income property portfolio consisted of 128 properties, including three properties classified as commercial loans and investments, with total square footage of 4.1 million.</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8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26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26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2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29,815</w:t>
            </w:r>
          </w:p>
        </w:tc>
      </w:tr>
      <w:tr>
        <w:trPr>
          <w:trHeight w:val="216"/>
        </w:trPr>
        <w:tc>
          <w:tcPr>
            <w:tcW w:w="2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34,512</w:t>
            </w:r>
          </w:p>
        </w:tc>
      </w:tr>
      <w:tr>
        <w:trPr>
          <w:trHeight w:val="20"/>
        </w:trPr>
        <w:tc>
          <w:tcPr>
            <w:tcW w:w="2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Minimum Future Rental Receipts. </w:t>
      </w:r>
      <w:r>
        <w:rPr>
          <w:rFonts w:ascii="Times New Roman" w:cs="Times New Roman" w:eastAsia="Times New Roman" w:hAnsi="Times New Roman"/>
          <w:sz w:val="18"/>
          <w:szCs w:val="18"/>
          <w:color w:val="auto"/>
        </w:rPr>
        <w:t>Minimum future rental receipts under non-cancelable operating leases, excluding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rent and other lease payments that are not fixed and determinable, having remaining terms in excess of one year subsequent to September 30, 2025, are summarized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6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0"/>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41,289</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38,167</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25,905</w:t>
            </w: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 (Cumulative)</w:t>
            </w: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113,652</w:t>
            </w:r>
          </w:p>
        </w:tc>
      </w:tr>
      <w:tr>
        <w:trPr>
          <w:trHeight w:val="21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292,671</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2025 Activity. </w:t>
      </w:r>
      <w:r>
        <w:rPr>
          <w:rFonts w:ascii="Times New Roman" w:cs="Times New Roman" w:eastAsia="Times New Roman" w:hAnsi="Times New Roman"/>
          <w:sz w:val="18"/>
          <w:szCs w:val="18"/>
          <w:color w:val="auto"/>
        </w:rPr>
        <w:t>During the nine months ended September 30, 2025, the Company acquired five properties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purchase price of $60.8 million, or a cost of $61.1 million including capitalized acquisition costs. The properties are located in five different states, leased to four different tenants, and had a weighted average remaining lease term of 13.6 years at the time of acquisition. Of the total acquisition cost, $24.3 million was allocated to land, $28.8 million was allocated to buildings and improvements, and $8.0 million was allocated to intangible assets pertaining to the in-place lease value, leasing fees, and above market lease value. The weighted average amortization period for the intangible assets was 13.6 years at acquisition.</w:t>
      </w:r>
    </w:p>
    <w:p>
      <w:pPr>
        <w:spacing w:after="0" w:line="18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sold 11 properties for an aggregate sales price of $34.3 million, generating aggregate gains on sale of $2.0 million.</w:t>
      </w:r>
    </w:p>
    <w:p>
      <w:pPr>
        <w:spacing w:after="0" w:line="16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2024 Activity. </w:t>
      </w:r>
      <w:r>
        <w:rPr>
          <w:rFonts w:ascii="Times New Roman" w:cs="Times New Roman" w:eastAsia="Times New Roman" w:hAnsi="Times New Roman"/>
          <w:sz w:val="18"/>
          <w:szCs w:val="18"/>
          <w:color w:val="auto"/>
        </w:rPr>
        <w:t>During the nine months ended September 30, 2024, the Company acquired six properties for a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$53.1 million, or a cost of $53.2 million including capitalized acquisition costs. The properties are located in four different states, leased to three different tenants, and had a weighted average remaining lease term of 21.7 years at the time of acquisition. Of the total acquisition cost, $5.7 million was allocated to land, $15.0 million was allocated to buildings and improvements, $2.0 million was allocated to intangible assets pertaining to the in-place lease value, leasing fees, and above market lease value, and $0.9 million was allocated to intangible liabilities for the below market lease value. The weighted average amortization period for the intangible assets and liabilities was 4.8 years at acquisition.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remaining $31.4 million of acquisition costs is attributable to the three Tampa Properties (defined in Note 4 below), which were purchased during the three months ended September 30, 2024 through a sale-leaseback transaction that includes a tenant repurchase option. Due to the tenant repurchase option, and pursuant to FASB ASC Topic 842, Leases, GAAP requires that the $31.4 million investment be accounted for as a financing arrangement, and accordingly the related assets and corresponding revenue are included in the Company’s commercial loans and investments in the accompanying consolidated balance sheets and consolidated statement of operations. However, because the Tampa Properties constitute real estate assets for both legal and tax purposes, we include the Tampa Properties in the property portfolio when describing our property portfolio and for purposes of providing statistics related thereto.</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sold 10 properties for an aggregate sales price of $55.2 million, generating aggregate gains on sale of $4.3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COMMERCIAL LOANS AND INVESTMENTS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2025 Activity. </w:t>
      </w:r>
      <w:r>
        <w:rPr>
          <w:rFonts w:ascii="Times New Roman" w:cs="Times New Roman" w:eastAsia="Times New Roman" w:hAnsi="Times New Roman"/>
          <w:sz w:val="18"/>
          <w:szCs w:val="18"/>
          <w:color w:val="auto"/>
        </w:rPr>
        <w:t>During the nine months ended September 30, 2025, the Company originated six commercial loans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volume of $56.3 million at a weighted average initial cash yield of 10.1% and one, $2.0 million short-term mortgage note with an initial cash yield of 16.5%, that was originated on June 5, 2025 and repaid in full on July 2, 2025. Additionally, during the nine months ended September 30, 2025, the Company amended four existing commercial loan investments whereby certain maturity dates were extended and three loan investments total face amounts were upsized by an aggregate of $18.4 million. In the aggregate, during the nine months ended September 30, 2025, commercial loan and investment volume for new loan originations totaled $74.8 million, of which $51.0 million was funded and $0.5 million of origination fees were received during the same period. Additionally, the Company funded $12.9 million for existing construction loans and received $50.5 million of principal repayments from borrowers during the nine months ended September 30, 2025.</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Activity. </w:t>
      </w:r>
      <w:r>
        <w:rPr>
          <w:rFonts w:ascii="Times New Roman" w:cs="Times New Roman" w:eastAsia="Times New Roman" w:hAnsi="Times New Roman"/>
          <w:sz w:val="18"/>
          <w:szCs w:val="18"/>
          <w:color w:val="auto"/>
        </w:rPr>
        <w:t>During the nine months ended September 30, 2024, the Company originated three commercial loans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investment volume of $31.1 million at a weighted average initial cash yield of 10.7%. During the nine months ended September 30, 2024, the Company funded a total of $53.2 million to borrowers (inclusive of the $31.4 million investment in the Tampa Properties, hereinafter defined) and received $0.2 million of origination fees. Additionally, during the nine months ended September 30, 2024, the Company received $14.3 million of principal repayments from borrowers.</w:t>
      </w:r>
    </w:p>
    <w:p>
      <w:pPr>
        <w:spacing w:after="0" w:line="183"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Other Activity. </w:t>
      </w:r>
      <w:r>
        <w:rPr>
          <w:rFonts w:ascii="Times New Roman" w:cs="Times New Roman" w:eastAsia="Times New Roman" w:hAnsi="Times New Roman"/>
          <w:sz w:val="18"/>
          <w:szCs w:val="18"/>
          <w:color w:val="auto"/>
        </w:rPr>
        <w:t>During the year ended December 31, 2024, the Company acquired three single-tenant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properties (the “Tampa Properties”) in the greater Tampa Bay, Florida area, which acquisition was structured as a sale-leaseback transaction whereby the Company entered into three new 30-year lease agreements which include annual base rent escalations and a repurchase right by the tenant upon completion of the fifth lease year, i.e., on August 1, 2029.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future repurchase rights present in the lease agreements preclude the transaction from being accounted for as a real estate acquisition. Accordingly, for GAAP purposes, the acquisition of the Tampa Properties is accounted for as a financing arrangement, and the related assets and corresponding revenue are included in the Company’s commercial loans and investments on its consolidated balance sheets and consolidated statements of operations. The Company has imputed interest on the 30-year leases which is recognized as interest income from commercial loans and investments on the accompanying consolidated statements of operations.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originated a $24.0 million first mortgage secured by a portfolio of assets and related improvements (the “Mortgage Note”). The Mortgage Note is being repaid by the borrower as the underlying assets within the portfolio are sold. During the year ended December 31, 2024, the Company sold a $13.6 million A-1 participation interest (the “Loan Participation Sale”) in its Mortgage Note, which is entitled to an 8.0% yield on its respective portion of the outstanding principal balance and has priority preference with respect to all principal and interest payments of the Mortgage Note. This sale did not achieve sale accounting pursuant to ASC 860, </w:t>
      </w:r>
      <w:r>
        <w:rPr>
          <w:rFonts w:ascii="Times New Roman" w:cs="Times New Roman" w:eastAsia="Times New Roman" w:hAnsi="Times New Roman"/>
          <w:sz w:val="18"/>
          <w:szCs w:val="18"/>
          <w:i w:val="1"/>
          <w:iCs w:val="1"/>
          <w:color w:val="auto"/>
        </w:rPr>
        <w:t>Transfers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 and accordingly, is treated as a secured borrowing. See Note 12, “Obligation Under Participation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further information. As of September 30, 2025, the obligation under participation agreement had been fully repaid. Accordingly, the Company’s remaining investment in the Mortgage Note is $3.9 million as of September 30,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September 30, 2025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Original</w:t>
            </w:r>
          </w:p>
        </w:tc>
        <w:tc>
          <w:tcPr>
            <w:tcW w:w="8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Date of</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80" w:type="dxa"/>
            <w:vAlign w:val="bottom"/>
          </w:tcPr>
          <w:p>
            <w:pPr>
              <w:spacing w:after="0"/>
              <w:rPr>
                <w:sz w:val="14"/>
                <w:szCs w:val="14"/>
                <w:color w:val="auto"/>
              </w:rPr>
            </w:pPr>
          </w:p>
        </w:tc>
        <w:tc>
          <w:tcPr>
            <w:tcW w:w="8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80" w:type="dxa"/>
            <w:vAlign w:val="bottom"/>
          </w:tcPr>
          <w:p>
            <w:pPr>
              <w:spacing w:after="0"/>
              <w:rPr>
                <w:sz w:val="14"/>
                <w:szCs w:val="14"/>
                <w:color w:val="auto"/>
              </w:rPr>
            </w:pPr>
          </w:p>
        </w:tc>
        <w:tc>
          <w:tcPr>
            <w:tcW w:w="8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8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8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w w:val="99"/>
              </w:rPr>
              <w:t>Coupon Rate</w:t>
            </w:r>
          </w:p>
        </w:tc>
        <w:tc>
          <w:tcPr>
            <w:tcW w:w="0" w:type="dxa"/>
            <w:vAlign w:val="bottom"/>
          </w:tcPr>
          <w:p>
            <w:pPr>
              <w:spacing w:after="0"/>
              <w:rPr>
                <w:sz w:val="1"/>
                <w:szCs w:val="1"/>
                <w:color w:val="auto"/>
              </w:rPr>
            </w:pPr>
          </w:p>
        </w:tc>
      </w:tr>
      <w:tr>
        <w:trPr>
          <w:trHeight w:val="138"/>
        </w:trPr>
        <w:tc>
          <w:tcPr>
            <w:tcW w:w="2760" w:type="dxa"/>
            <w:vAlign w:val="bottom"/>
            <w:tcBorders>
              <w:top w:val="single" w:sz="8" w:color="auto"/>
            </w:tcBorders>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Greenwood, IN</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July 2023</w:t>
            </w:r>
          </w:p>
        </w:tc>
        <w:tc>
          <w:tcPr>
            <w:tcW w:w="1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July 2026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14,800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7,585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7,599</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9.50%</w:t>
            </w:r>
          </w:p>
        </w:tc>
        <w:tc>
          <w:tcPr>
            <w:tcW w:w="0" w:type="dxa"/>
            <w:vAlign w:val="bottom"/>
          </w:tcPr>
          <w:p>
            <w:pPr>
              <w:spacing w:after="0"/>
              <w:rPr>
                <w:sz w:val="1"/>
                <w:szCs w:val="1"/>
                <w:color w:val="auto"/>
              </w:rPr>
            </w:pPr>
          </w:p>
        </w:tc>
      </w:tr>
      <w:tr>
        <w:trPr>
          <w:trHeight w:val="145"/>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Development – Antioch, TN</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October 2023</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October 2026</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7,425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5,390</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10.25%</w:t>
            </w:r>
          </w:p>
        </w:tc>
        <w:tc>
          <w:tcPr>
            <w:tcW w:w="0" w:type="dxa"/>
            <w:vAlign w:val="bottom"/>
          </w:tcPr>
          <w:p>
            <w:pPr>
              <w:spacing w:after="0"/>
              <w:rPr>
                <w:sz w:val="1"/>
                <w:szCs w:val="1"/>
                <w:color w:val="auto"/>
              </w:rPr>
            </w:pPr>
          </w:p>
        </w:tc>
      </w:tr>
      <w:tr>
        <w:trPr>
          <w:trHeight w:val="162"/>
        </w:trPr>
        <w:tc>
          <w:tcPr>
            <w:tcW w:w="292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Portfolio</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2023</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2026</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3,861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3,816</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9.00%</w:t>
            </w:r>
          </w:p>
        </w:tc>
        <w:tc>
          <w:tcPr>
            <w:tcW w:w="0" w:type="dxa"/>
            <w:vAlign w:val="bottom"/>
          </w:tcPr>
          <w:p>
            <w:pPr>
              <w:spacing w:after="0"/>
              <w:rPr>
                <w:sz w:val="1"/>
                <w:szCs w:val="1"/>
                <w:color w:val="auto"/>
              </w:rPr>
            </w:pPr>
          </w:p>
        </w:tc>
      </w:tr>
      <w:tr>
        <w:trPr>
          <w:trHeight w:val="145"/>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Retail Outparcels –</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Lawrenceville, GA</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January 2024</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January 2026</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1,084</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11.25%</w:t>
            </w:r>
          </w:p>
        </w:tc>
        <w:tc>
          <w:tcPr>
            <w:tcW w:w="0" w:type="dxa"/>
            <w:vAlign w:val="bottom"/>
          </w:tcPr>
          <w:p>
            <w:pPr>
              <w:spacing w:after="0"/>
              <w:rPr>
                <w:sz w:val="1"/>
                <w:szCs w:val="1"/>
                <w:color w:val="auto"/>
              </w:rPr>
            </w:pPr>
          </w:p>
        </w:tc>
      </w:tr>
      <w:tr>
        <w:trPr>
          <w:trHeight w:val="145"/>
        </w:trPr>
        <w:tc>
          <w:tcPr>
            <w:tcW w:w="29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Mount Carmel, OH</w:t>
            </w: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June 2024</w:t>
            </w:r>
          </w:p>
        </w:tc>
        <w:tc>
          <w:tcPr>
            <w:tcW w:w="11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5"/>
                <w:szCs w:val="15"/>
                <w:color w:val="auto"/>
              </w:rPr>
              <w:t>September 2026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6,126</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11.50%</w:t>
            </w:r>
          </w:p>
        </w:tc>
        <w:tc>
          <w:tcPr>
            <w:tcW w:w="0" w:type="dxa"/>
            <w:vAlign w:val="bottom"/>
          </w:tcPr>
          <w:p>
            <w:pPr>
              <w:spacing w:after="0"/>
              <w:rPr>
                <w:sz w:val="1"/>
                <w:szCs w:val="1"/>
                <w:color w:val="auto"/>
              </w:rPr>
            </w:pPr>
          </w:p>
        </w:tc>
      </w:tr>
      <w:tr>
        <w:trPr>
          <w:trHeight w:val="20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Sale-Leaseback - Bradenton Beach, FL</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80"/>
              <w:spacing w:after="0" w:line="203" w:lineRule="exact"/>
              <w:rPr>
                <w:sz w:val="20"/>
                <w:szCs w:val="20"/>
                <w:color w:val="auto"/>
              </w:rPr>
            </w:pPr>
            <w:r>
              <w:rPr>
                <w:rFonts w:ascii="Times New Roman" w:cs="Times New Roman" w:eastAsia="Times New Roman" w:hAnsi="Times New Roman"/>
                <w:sz w:val="15"/>
                <w:szCs w:val="15"/>
                <w:color w:val="auto"/>
                <w:w w:val="97"/>
              </w:rPr>
              <w:t xml:space="preserve">August 2029 </w:t>
            </w:r>
            <w:r>
              <w:rPr>
                <w:rFonts w:ascii="Times New Roman" w:cs="Times New Roman" w:eastAsia="Times New Roman" w:hAnsi="Times New Roman"/>
                <w:sz w:val="22"/>
                <w:szCs w:val="22"/>
                <w:color w:val="auto"/>
                <w:w w:val="97"/>
                <w:vertAlign w:val="superscript"/>
              </w:rPr>
              <w:t>(1)</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9,537</w:t>
            </w: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8.30%</w:t>
            </w:r>
          </w:p>
        </w:tc>
        <w:tc>
          <w:tcPr>
            <w:tcW w:w="0" w:type="dxa"/>
            <w:vAlign w:val="bottom"/>
          </w:tcPr>
          <w:p>
            <w:pPr>
              <w:spacing w:after="0"/>
              <w:rPr>
                <w:sz w:val="1"/>
                <w:szCs w:val="1"/>
                <w:color w:val="auto"/>
              </w:rPr>
            </w:pPr>
          </w:p>
        </w:tc>
      </w:tr>
      <w:tr>
        <w:trPr>
          <w:trHeight w:val="162"/>
        </w:trPr>
        <w:tc>
          <w:tcPr>
            <w:tcW w:w="292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Anna Maria, FL</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shd w:val="clear" w:color="auto" w:fill="CCEEFF"/>
          </w:tcPr>
          <w:p>
            <w:pPr>
              <w:jc w:val="center"/>
              <w:ind w:right="18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16,408</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16,287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16,287</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8.30%</w:t>
            </w:r>
          </w:p>
        </w:tc>
        <w:tc>
          <w:tcPr>
            <w:tcW w:w="0" w:type="dxa"/>
            <w:vAlign w:val="bottom"/>
          </w:tcPr>
          <w:p>
            <w:pPr>
              <w:spacing w:after="0"/>
              <w:rPr>
                <w:sz w:val="1"/>
                <w:szCs w:val="1"/>
                <w:color w:val="auto"/>
              </w:rPr>
            </w:pPr>
          </w:p>
        </w:tc>
      </w:tr>
      <w:tr>
        <w:trPr>
          <w:trHeight w:val="162"/>
        </w:trPr>
        <w:tc>
          <w:tcPr>
            <w:tcW w:w="2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Long Boat Key, FL</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5,408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5,368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5,368</w:t>
            </w:r>
          </w:p>
        </w:tc>
        <w:tc>
          <w:tcPr>
            <w:tcW w:w="16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8.30%</w:t>
            </w:r>
          </w:p>
        </w:tc>
        <w:tc>
          <w:tcPr>
            <w:tcW w:w="0" w:type="dxa"/>
            <w:vAlign w:val="bottom"/>
          </w:tcPr>
          <w:p>
            <w:pPr>
              <w:spacing w:after="0"/>
              <w:rPr>
                <w:sz w:val="1"/>
                <w:szCs w:val="1"/>
                <w:color w:val="auto"/>
              </w:rPr>
            </w:pPr>
          </w:p>
        </w:tc>
      </w:tr>
      <w:tr>
        <w:trPr>
          <w:trHeight w:val="145"/>
        </w:trPr>
        <w:tc>
          <w:tcPr>
            <w:tcW w:w="29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Mortgage Note – At Home Plaza - North</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Canton, OH</w:t>
            </w: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March 2025</w:t>
            </w: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March 2028</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6,200</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8.65%</w:t>
            </w:r>
          </w:p>
        </w:tc>
        <w:tc>
          <w:tcPr>
            <w:tcW w:w="0" w:type="dxa"/>
            <w:vAlign w:val="bottom"/>
          </w:tcPr>
          <w:p>
            <w:pPr>
              <w:spacing w:after="0"/>
              <w:rPr>
                <w:sz w:val="1"/>
                <w:szCs w:val="1"/>
                <w:color w:val="auto"/>
              </w:rPr>
            </w:pPr>
          </w:p>
        </w:tc>
      </w:tr>
      <w:tr>
        <w:trPr>
          <w:trHeight w:val="145"/>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Retail Land</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Development – Stuart, FL</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March 2025</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March 2027</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8,179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8,064</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10.00%</w:t>
            </w:r>
          </w:p>
        </w:tc>
        <w:tc>
          <w:tcPr>
            <w:tcW w:w="0" w:type="dxa"/>
            <w:vAlign w:val="bottom"/>
          </w:tcPr>
          <w:p>
            <w:pPr>
              <w:spacing w:after="0"/>
              <w:rPr>
                <w:sz w:val="1"/>
                <w:szCs w:val="1"/>
                <w:color w:val="auto"/>
              </w:rPr>
            </w:pPr>
          </w:p>
        </w:tc>
      </w:tr>
      <w:tr>
        <w:trPr>
          <w:trHeight w:val="145"/>
        </w:trPr>
        <w:tc>
          <w:tcPr>
            <w:tcW w:w="29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Mortgage Note – Cornerstone Exchange –</w:t>
            </w: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Daytona Beach, FL</w:t>
            </w: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May 2025</w:t>
            </w:r>
          </w:p>
        </w:tc>
        <w:tc>
          <w:tcPr>
            <w:tcW w:w="11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May 2026</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2,646</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2,630</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12.50%</w:t>
            </w:r>
          </w:p>
        </w:tc>
        <w:tc>
          <w:tcPr>
            <w:tcW w:w="0" w:type="dxa"/>
            <w:vAlign w:val="bottom"/>
          </w:tcPr>
          <w:p>
            <w:pPr>
              <w:spacing w:after="0"/>
              <w:rPr>
                <w:sz w:val="1"/>
                <w:szCs w:val="1"/>
                <w:color w:val="auto"/>
              </w:rPr>
            </w:pPr>
          </w:p>
        </w:tc>
      </w:tr>
      <w:tr>
        <w:trPr>
          <w:trHeight w:val="145"/>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Mortgage Note – Old Time Pottery – Orange</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Park, FL</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June 2025</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June 2028</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8.00%</w:t>
            </w:r>
          </w:p>
        </w:tc>
        <w:tc>
          <w:tcPr>
            <w:tcW w:w="0" w:type="dxa"/>
            <w:vAlign w:val="bottom"/>
          </w:tcPr>
          <w:p>
            <w:pPr>
              <w:spacing w:after="0"/>
              <w:rPr>
                <w:sz w:val="1"/>
                <w:szCs w:val="1"/>
                <w:color w:val="auto"/>
              </w:rPr>
            </w:pPr>
          </w:p>
        </w:tc>
      </w:tr>
      <w:tr>
        <w:trPr>
          <w:trHeight w:val="162"/>
        </w:trPr>
        <w:tc>
          <w:tcPr>
            <w:tcW w:w="292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Industrial – Fremont, CA</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2025</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2027</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23,714</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11.00%</w:t>
            </w:r>
          </w:p>
        </w:tc>
        <w:tc>
          <w:tcPr>
            <w:tcW w:w="0" w:type="dxa"/>
            <w:vAlign w:val="bottom"/>
          </w:tcPr>
          <w:p>
            <w:pPr>
              <w:spacing w:after="0"/>
              <w:rPr>
                <w:sz w:val="1"/>
                <w:szCs w:val="1"/>
                <w:color w:val="auto"/>
              </w:rPr>
            </w:pPr>
          </w:p>
        </w:tc>
      </w:tr>
      <w:tr>
        <w:trPr>
          <w:trHeight w:val="145"/>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Mortgage Note – Commercial Building –</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9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5"/>
                <w:szCs w:val="15"/>
                <w:color w:val="auto"/>
              </w:rPr>
              <w:t>Reno, NV</w:t>
            </w:r>
          </w:p>
        </w:tc>
        <w:tc>
          <w:tcPr>
            <w:tcW w:w="118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2025</w:t>
            </w:r>
          </w:p>
        </w:tc>
        <w:tc>
          <w:tcPr>
            <w:tcW w:w="1180" w:type="dxa"/>
            <w:vAlign w:val="bottom"/>
            <w:tcBorders>
              <w:bottom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September 2027</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7"/>
              </w:rPr>
              <w:t>8.00%</w:t>
            </w:r>
          </w:p>
        </w:tc>
        <w:tc>
          <w:tcPr>
            <w:tcW w:w="0" w:type="dxa"/>
            <w:vAlign w:val="bottom"/>
          </w:tcPr>
          <w:p>
            <w:pPr>
              <w:spacing w:after="0"/>
              <w:rPr>
                <w:sz w:val="1"/>
                <w:szCs w:val="1"/>
                <w:color w:val="auto"/>
              </w:rPr>
            </w:pPr>
          </w:p>
        </w:tc>
      </w:tr>
      <w:tr>
        <w:trPr>
          <w:trHeight w:val="155"/>
        </w:trPr>
        <w:tc>
          <w:tcPr>
            <w:tcW w:w="22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147,322</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104,275</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103,815</w:t>
            </w:r>
          </w:p>
        </w:tc>
        <w:tc>
          <w:tcPr>
            <w:tcW w:w="16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5"/>
                <w:szCs w:val="15"/>
                <w:color w:val="auto"/>
              </w:rPr>
              <w:t>CECL Reserve</w:t>
            </w: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(1,043)</w:t>
            </w: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92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920" w:type="dxa"/>
            <w:vAlign w:val="bottom"/>
            <w:tcBorders>
              <w:bottom w:val="single" w:sz="8" w:color="CCEEFF"/>
            </w:tcBorders>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5"/>
                <w:szCs w:val="15"/>
                <w:color w:val="auto"/>
              </w:rPr>
              <w:t>102,772</w:t>
            </w:r>
          </w:p>
        </w:tc>
        <w:tc>
          <w:tcPr>
            <w:tcW w:w="16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maturity date reflects the date the tenant’s repurchase right first becomes exercisable pursuant to the lease agreement.</w:t>
      </w:r>
    </w:p>
    <w:p>
      <w:pPr>
        <w:spacing w:after="0" w:line="208"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December 31, 2024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Original</w:t>
            </w: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Current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2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b w:val="1"/>
                <w:bCs w:val="1"/>
                <w:color w:val="auto"/>
              </w:rPr>
              <w:t>Date of</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100" w:type="dxa"/>
            <w:vAlign w:val="bottom"/>
          </w:tcPr>
          <w:p>
            <w:pPr>
              <w:spacing w:after="0"/>
              <w:rPr>
                <w:sz w:val="14"/>
                <w:szCs w:val="14"/>
                <w:color w:val="auto"/>
              </w:rPr>
            </w:pPr>
          </w:p>
        </w:tc>
        <w:tc>
          <w:tcPr>
            <w:tcW w:w="8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80" w:type="dxa"/>
            <w:vAlign w:val="bottom"/>
          </w:tcPr>
          <w:p>
            <w:pPr>
              <w:spacing w:after="0"/>
              <w:rPr>
                <w:sz w:val="14"/>
                <w:szCs w:val="14"/>
                <w:color w:val="auto"/>
              </w:rPr>
            </w:pPr>
          </w:p>
        </w:tc>
        <w:tc>
          <w:tcPr>
            <w:tcW w:w="8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7"/>
              </w:rPr>
              <w:t>Carrying</w:t>
            </w:r>
          </w:p>
        </w:tc>
        <w:tc>
          <w:tcPr>
            <w:tcW w:w="860" w:type="dxa"/>
            <w:vAlign w:val="bottom"/>
          </w:tcPr>
          <w:p>
            <w:pPr>
              <w:spacing w:after="0"/>
              <w:rPr>
                <w:sz w:val="14"/>
                <w:szCs w:val="14"/>
                <w:color w:val="auto"/>
              </w:rPr>
            </w:pPr>
          </w:p>
        </w:tc>
      </w:tr>
      <w:tr>
        <w:trPr>
          <w:trHeight w:val="183"/>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Coupon Rate</w:t>
            </w:r>
          </w:p>
        </w:tc>
      </w:tr>
      <w:tr>
        <w:trPr>
          <w:trHeight w:val="138"/>
        </w:trPr>
        <w:tc>
          <w:tcPr>
            <w:tcW w:w="2740" w:type="dxa"/>
            <w:vAlign w:val="bottom"/>
            <w:tcBorders>
              <w:top w:val="single" w:sz="8" w:color="auto"/>
            </w:tcBorders>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Greenwood, IN</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July 2023</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July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7,800</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7,138</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9.25%</w:t>
            </w:r>
          </w:p>
        </w:tc>
      </w:tr>
      <w:tr>
        <w:trPr>
          <w:trHeight w:val="145"/>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Development – Antioch, TN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October 2023</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October 2025</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4,673</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9.50%</w:t>
            </w:r>
          </w:p>
        </w:tc>
      </w:tr>
      <w:tr>
        <w:trPr>
          <w:trHeight w:val="162"/>
        </w:trPr>
        <w:tc>
          <w:tcPr>
            <w:tcW w:w="292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Portfolio</w:t>
            </w:r>
          </w:p>
        </w:tc>
        <w:tc>
          <w:tcPr>
            <w:tcW w:w="116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2023</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21,140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21,066</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9.00%</w:t>
            </w:r>
          </w:p>
        </w:tc>
      </w:tr>
      <w:tr>
        <w:trPr>
          <w:trHeight w:val="145"/>
        </w:trPr>
        <w:tc>
          <w:tcPr>
            <w:tcW w:w="292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Retail Outparcels –</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29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Lawrenceville, GA</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January 2024</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January 2026</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6,569</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11.25%</w:t>
            </w:r>
          </w:p>
        </w:tc>
      </w:tr>
      <w:tr>
        <w:trPr>
          <w:trHeight w:val="145"/>
        </w:trPr>
        <w:tc>
          <w:tcPr>
            <w:tcW w:w="29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Mount Carmel, OH</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June 2024</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2025</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5,196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5,162</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11.50%</w:t>
            </w:r>
          </w:p>
        </w:tc>
      </w:tr>
      <w:tr>
        <w:trPr>
          <w:trHeight w:val="162"/>
        </w:trPr>
        <w:tc>
          <w:tcPr>
            <w:tcW w:w="2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Bradenton Beach, FL</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9,608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9,586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9,586</w:t>
            </w: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8.30%</w:t>
            </w:r>
          </w:p>
        </w:tc>
      </w:tr>
      <w:tr>
        <w:trPr>
          <w:trHeight w:val="162"/>
        </w:trPr>
        <w:tc>
          <w:tcPr>
            <w:tcW w:w="2920" w:type="dxa"/>
            <w:vAlign w:val="bottom"/>
            <w:gridSpan w:val="3"/>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Anna Maria, FL</w:t>
            </w:r>
          </w:p>
        </w:tc>
        <w:tc>
          <w:tcPr>
            <w:tcW w:w="116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16,408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16,371</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16,371</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8.30%</w:t>
            </w:r>
          </w:p>
        </w:tc>
      </w:tr>
      <w:tr>
        <w:trPr>
          <w:trHeight w:val="162"/>
        </w:trPr>
        <w:tc>
          <w:tcPr>
            <w:tcW w:w="29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Sale-Leaseback - Long Boat Key, FL</w:t>
            </w:r>
          </w:p>
        </w:tc>
        <w:tc>
          <w:tcPr>
            <w:tcW w:w="116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August 2024</w:t>
            </w:r>
          </w:p>
        </w:tc>
        <w:tc>
          <w:tcPr>
            <w:tcW w:w="118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3"/>
                <w:szCs w:val="13"/>
                <w:color w:val="auto"/>
              </w:rPr>
              <w:t xml:space="preserve">August 2029 </w:t>
            </w:r>
            <w:r>
              <w:rPr>
                <w:rFonts w:ascii="Times New Roman" w:cs="Times New Roman" w:eastAsia="Times New Roman" w:hAnsi="Times New Roman"/>
                <w:sz w:val="18"/>
                <w:szCs w:val="18"/>
                <w:color w:val="auto"/>
                <w:vertAlign w:val="superscript"/>
              </w:rPr>
              <w:t>(1)</w:t>
            </w: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5,408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5,396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5,396</w:t>
            </w:r>
          </w:p>
        </w:tc>
        <w:tc>
          <w:tcPr>
            <w:tcW w:w="16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8.30%</w:t>
            </w:r>
          </w:p>
        </w:tc>
      </w:tr>
      <w:tr>
        <w:trPr>
          <w:trHeight w:val="145"/>
        </w:trPr>
        <w:tc>
          <w:tcPr>
            <w:tcW w:w="2920" w:type="dxa"/>
            <w:vAlign w:val="bottom"/>
            <w:gridSpan w:val="3"/>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Publix Land</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79"/>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Charlotte, NC</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September 2024</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2025</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17,760</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14,640</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14,576</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w:t>
            </w:r>
          </w:p>
        </w:tc>
      </w:tr>
      <w:tr>
        <w:trPr>
          <w:trHeight w:val="195"/>
        </w:trPr>
        <w:tc>
          <w:tcPr>
            <w:tcW w:w="224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101,136</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90,790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90,537</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r>
      <w:tr>
        <w:trPr>
          <w:trHeight w:val="156"/>
        </w:trPr>
        <w:tc>
          <w:tcPr>
            <w:tcW w:w="292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CECL Reserve</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(908)</w:t>
            </w:r>
          </w:p>
        </w:tc>
        <w:tc>
          <w:tcPr>
            <w:tcW w:w="860" w:type="dxa"/>
            <w:vAlign w:val="bottom"/>
            <w:shd w:val="clear" w:color="auto" w:fill="CCEEFF"/>
          </w:tcPr>
          <w:p>
            <w:pPr>
              <w:spacing w:after="0"/>
              <w:rPr>
                <w:sz w:val="13"/>
                <w:szCs w:val="13"/>
                <w:color w:val="auto"/>
              </w:rPr>
            </w:pPr>
          </w:p>
        </w:tc>
      </w:tr>
      <w:tr>
        <w:trPr>
          <w:trHeight w:val="169"/>
        </w:trPr>
        <w:tc>
          <w:tcPr>
            <w:tcW w:w="292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89,629</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2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r>
    </w:tbl>
    <w:p>
      <w:pPr>
        <w:spacing w:after="0" w:line="58"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maturity date reflects the date the tenant’s repurchase right first becomes exercisable pursuant to the lease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89"/>
        <w:spacing w:after="0" w:line="282" w:lineRule="auto"/>
        <w:rPr>
          <w:sz w:val="20"/>
          <w:szCs w:val="20"/>
          <w:color w:val="auto"/>
        </w:rPr>
      </w:pPr>
      <w:r>
        <w:rPr>
          <w:rFonts w:ascii="Times New Roman" w:cs="Times New Roman" w:eastAsia="Times New Roman" w:hAnsi="Times New Roman"/>
          <w:sz w:val="18"/>
          <w:szCs w:val="18"/>
          <w:color w:val="auto"/>
        </w:rPr>
        <w:t>The carrying value of the commercial loans and investments consisted of the following at September 30, 2025 and December 31,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500" w:type="dxa"/>
            <w:vAlign w:val="bottom"/>
          </w:tcPr>
          <w:p>
            <w:pPr>
              <w:spacing w:after="0"/>
              <w:rPr>
                <w:sz w:val="18"/>
                <w:szCs w:val="18"/>
                <w:color w:val="auto"/>
              </w:rPr>
            </w:pPr>
          </w:p>
        </w:tc>
        <w:tc>
          <w:tcPr>
            <w:tcW w:w="1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18"/>
                <w:szCs w:val="18"/>
                <w:color w:val="auto"/>
              </w:rPr>
            </w:pPr>
          </w:p>
        </w:tc>
      </w:tr>
      <w:tr>
        <w:trPr>
          <w:trHeight w:val="209"/>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104,275</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90,790</w:t>
            </w:r>
          </w:p>
        </w:tc>
        <w:tc>
          <w:tcPr>
            <w:tcW w:w="2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Origination Fees</w:t>
            </w:r>
          </w:p>
        </w:tc>
        <w:tc>
          <w:tcPr>
            <w:tcW w:w="5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(460)</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 Reserve</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(1,043)</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0" w:type="dxa"/>
            <w:vAlign w:val="bottom"/>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Commercial Loans and Investments</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102,772</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89,629</w:t>
            </w:r>
          </w:p>
        </w:tc>
        <w:tc>
          <w:tcPr>
            <w:tcW w:w="2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FAIR VALUE OF FINANCIAL INSTRUMENTS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September 30, 2025 and December 31, 2024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340" w:type="dxa"/>
            <w:vAlign w:val="bottom"/>
          </w:tcPr>
          <w:p>
            <w:pPr>
              <w:spacing w:after="0"/>
              <w:rPr>
                <w:sz w:val="20"/>
                <w:szCs w:val="20"/>
                <w:color w:val="auto"/>
              </w:rPr>
            </w:pPr>
          </w:p>
        </w:tc>
        <w:tc>
          <w:tcPr>
            <w:tcW w:w="23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33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320" w:type="dxa"/>
            <w:vAlign w:val="bottom"/>
          </w:tcPr>
          <w:p>
            <w:pPr>
              <w:spacing w:after="0"/>
              <w:rPr>
                <w:sz w:val="20"/>
                <w:szCs w:val="20"/>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200" w:type="dxa"/>
            <w:vAlign w:val="bottom"/>
          </w:tcPr>
          <w:p>
            <w:pPr>
              <w:spacing w:after="0"/>
              <w:rPr>
                <w:sz w:val="18"/>
                <w:szCs w:val="18"/>
                <w:color w:val="auto"/>
              </w:rPr>
            </w:pP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r>
      <w:tr>
        <w:trPr>
          <w:trHeight w:val="198"/>
        </w:trPr>
        <w:tc>
          <w:tcPr>
            <w:tcW w:w="33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Commercial Loans and Investments -</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102,772</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110,559</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89,629</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98,830</w:t>
            </w:r>
          </w:p>
        </w:tc>
      </w:tr>
      <w:tr>
        <w:trPr>
          <w:trHeight w:val="198"/>
        </w:trPr>
        <w:tc>
          <w:tcPr>
            <w:tcW w:w="33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Obligation Under Participation Agreement</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Level 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11,558</w:t>
            </w: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355,287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294,808</w:t>
            </w:r>
          </w:p>
        </w:tc>
      </w:tr>
    </w:tbl>
    <w:p>
      <w:pPr>
        <w:spacing w:after="0" w:line="225" w:lineRule="exact"/>
        <w:rPr>
          <w:sz w:val="20"/>
          <w:szCs w:val="20"/>
          <w:color w:val="auto"/>
        </w:rPr>
      </w:pPr>
    </w:p>
    <w:p>
      <w:pPr>
        <w:jc w:val="both"/>
        <w:ind w:left="60" w:right="59" w:firstLine="324"/>
        <w:spacing w:after="0" w:line="236" w:lineRule="auto"/>
        <w:rPr>
          <w:sz w:val="20"/>
          <w:szCs w:val="20"/>
          <w:color w:val="auto"/>
        </w:rPr>
      </w:pPr>
      <w:r>
        <w:rPr>
          <w:rFonts w:ascii="Times New Roman" w:cs="Times New Roman" w:eastAsia="Times New Roman" w:hAnsi="Times New Roman"/>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6" w:lineRule="exact"/>
        <w:rPr>
          <w:sz w:val="20"/>
          <w:szCs w:val="20"/>
          <w:color w:val="auto"/>
        </w:rPr>
      </w:pPr>
    </w:p>
    <w:p>
      <w:pPr>
        <w:jc w:val="both"/>
        <w:ind w:left="60" w:right="59" w:firstLine="324"/>
        <w:spacing w:after="0" w:line="236" w:lineRule="auto"/>
        <w:rPr>
          <w:sz w:val="20"/>
          <w:szCs w:val="20"/>
          <w:color w:val="auto"/>
        </w:rPr>
      </w:pPr>
      <w:r>
        <w:rPr>
          <w:rFonts w:ascii="Times New Roman" w:cs="Times New Roman" w:eastAsia="Times New Roman" w:hAnsi="Times New Roman"/>
          <w:sz w:val="18"/>
          <w:szCs w:val="18"/>
          <w:color w:val="auto"/>
        </w:rPr>
        <w:t>The following tables present the fair value of assets measured on a recurring basis by level as of September 30, 2025 and December 31, 2024 (in thousands). See Note 14, “Interest Rate Swaps” for further disclosure related to the Company’s interest rate swaps.</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7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20" w:type="dxa"/>
            <w:vAlign w:val="bottom"/>
            <w:tcBorders>
              <w:bottom w:val="single" w:sz="8" w:color="auto"/>
            </w:tcBorders>
            <w:gridSpan w:val="7"/>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Fair Value at Reporting Date Using</w:t>
            </w:r>
          </w:p>
        </w:tc>
      </w:tr>
      <w:tr>
        <w:trPr>
          <w:trHeight w:val="171"/>
        </w:trPr>
        <w:tc>
          <w:tcPr>
            <w:tcW w:w="7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7"/>
                <w:szCs w:val="17"/>
                <w:b w:val="1"/>
                <w:bCs w:val="1"/>
                <w:color w:val="auto"/>
              </w:rPr>
              <w:t>Quoted Prices in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3"/>
        </w:trPr>
        <w:tc>
          <w:tcPr>
            <w:tcW w:w="7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Active Markets</w:t>
            </w: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Significant Other</w:t>
            </w:r>
          </w:p>
        </w:tc>
        <w:tc>
          <w:tcPr>
            <w:tcW w:w="120" w:type="dxa"/>
            <w:vAlign w:val="bottom"/>
          </w:tcPr>
          <w:p>
            <w:pPr>
              <w:spacing w:after="0"/>
              <w:rPr>
                <w:sz w:val="17"/>
                <w:szCs w:val="17"/>
                <w:color w:val="auto"/>
              </w:rPr>
            </w:pPr>
          </w:p>
        </w:tc>
        <w:tc>
          <w:tcPr>
            <w:tcW w:w="116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Significant</w:t>
            </w:r>
          </w:p>
        </w:tc>
      </w:tr>
      <w:tr>
        <w:trPr>
          <w:trHeight w:val="203"/>
        </w:trPr>
        <w:tc>
          <w:tcPr>
            <w:tcW w:w="7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for Identical</w:t>
            </w:r>
          </w:p>
        </w:tc>
        <w:tc>
          <w:tcPr>
            <w:tcW w:w="16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Observable</w:t>
            </w:r>
          </w:p>
        </w:tc>
        <w:tc>
          <w:tcPr>
            <w:tcW w:w="120" w:type="dxa"/>
            <w:vAlign w:val="bottom"/>
          </w:tcPr>
          <w:p>
            <w:pPr>
              <w:spacing w:after="0"/>
              <w:rPr>
                <w:sz w:val="17"/>
                <w:szCs w:val="17"/>
                <w:color w:val="auto"/>
              </w:rPr>
            </w:pPr>
          </w:p>
        </w:tc>
        <w:tc>
          <w:tcPr>
            <w:tcW w:w="116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Unobservable</w:t>
            </w:r>
          </w:p>
        </w:tc>
      </w:tr>
      <w:tr>
        <w:trPr>
          <w:trHeight w:val="227"/>
        </w:trPr>
        <w:tc>
          <w:tcPr>
            <w:tcW w:w="7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Assets (Level 1)</w:t>
            </w:r>
          </w:p>
        </w:tc>
        <w:tc>
          <w:tcPr>
            <w:tcW w:w="144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Inputs (Level 2)</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Inputs (Level 3)</w:t>
            </w:r>
          </w:p>
        </w:tc>
      </w:tr>
      <w:tr>
        <w:trPr>
          <w:trHeight w:val="197"/>
        </w:trPr>
        <w:tc>
          <w:tcPr>
            <w:tcW w:w="3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r>
      <w:tr>
        <w:trPr>
          <w:trHeight w:val="203"/>
        </w:trPr>
        <w:tc>
          <w:tcPr>
            <w:tcW w:w="70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9"/>
              </w:rPr>
              <w:t>2026</w:t>
            </w:r>
          </w:p>
        </w:tc>
        <w:tc>
          <w:tcPr>
            <w:tcW w:w="2620" w:type="dxa"/>
            <w:vAlign w:val="bottom"/>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Interest Rate Swap </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2027</w:t>
            </w:r>
          </w:p>
        </w:tc>
        <w:tc>
          <w:tcPr>
            <w:tcW w:w="26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 xml:space="preserve">Term Loan Interest Rate Swap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3320" w:type="dxa"/>
            <w:vAlign w:val="bottom"/>
            <w:gridSpan w:val="2"/>
          </w:tcPr>
          <w:p>
            <w:pPr>
              <w:ind w:left="340"/>
              <w:spacing w:after="0" w:line="202" w:lineRule="exact"/>
              <w:rPr>
                <w:sz w:val="20"/>
                <w:szCs w:val="20"/>
                <w:color w:val="auto"/>
              </w:rPr>
            </w:pPr>
            <w:r>
              <w:rPr>
                <w:rFonts w:ascii="Times New Roman" w:cs="Times New Roman" w:eastAsia="Times New Roman" w:hAnsi="Times New Roman"/>
                <w:sz w:val="16"/>
                <w:szCs w:val="16"/>
                <w:color w:val="auto"/>
              </w:rPr>
              <w:t xml:space="preserve">Credit Facility Interest Rate Swap </w:t>
            </w:r>
            <w:r>
              <w:rPr>
                <w:rFonts w:ascii="Times New Roman" w:cs="Times New Roman" w:eastAsia="Times New Roman" w:hAnsi="Times New Roman"/>
                <w:sz w:val="23"/>
                <w:szCs w:val="23"/>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3"/>
        </w:trPr>
        <w:tc>
          <w:tcPr>
            <w:tcW w:w="700" w:type="dxa"/>
            <w:vAlign w:val="bottom"/>
          </w:tcPr>
          <w:p>
            <w:pPr>
              <w:ind w:left="340"/>
              <w:spacing w:after="0"/>
              <w:rPr>
                <w:sz w:val="20"/>
                <w:szCs w:val="20"/>
                <w:color w:val="auto"/>
              </w:rPr>
            </w:pPr>
            <w:r>
              <w:rPr>
                <w:rFonts w:ascii="Times New Roman" w:cs="Times New Roman" w:eastAsia="Times New Roman" w:hAnsi="Times New Roman"/>
                <w:sz w:val="17"/>
                <w:szCs w:val="17"/>
                <w:color w:val="auto"/>
                <w:w w:val="99"/>
              </w:rPr>
              <w:t>2026</w:t>
            </w:r>
          </w:p>
        </w:tc>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Interest Rate Swap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2,811</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w w:val="99"/>
              </w:rPr>
              <w:t>2027</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Interest Rate Swap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33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Credit Facility Interest Rate Swap</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47625</wp:posOffset>
            </wp:positionV>
            <wp:extent cx="1414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6" w:lineRule="exact"/>
        <w:rPr>
          <w:sz w:val="20"/>
          <w:szCs w:val="20"/>
          <w:color w:val="auto"/>
        </w:rPr>
      </w:pPr>
    </w:p>
    <w:p>
      <w:pPr>
        <w:jc w:val="both"/>
        <w:ind w:left="380" w:right="79" w:hanging="330"/>
        <w:spacing w:after="0" w:line="229" w:lineRule="auto"/>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September 30, 2025, the Company has utilized interest rate swaps to fix SOFR and achieve a weighted average fixed interest rate of 2.05% plus 0.10% and the applicable spread on the $100.0 million 2026 Term Loan (hereinafter defined) balance. See Note 14, “Interest Rate Swaps” for further disclosure related to the Company’s interest rate swaps.</w:t>
      </w:r>
    </w:p>
    <w:p>
      <w:pPr>
        <w:jc w:val="both"/>
        <w:ind w:left="380" w:right="79" w:hanging="330"/>
        <w:spacing w:after="0" w:line="221" w:lineRule="auto"/>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September 30, 2025, the Company has utilized interest rate swaps to fix SOFR and achieve a weighted average fixed interest rate of 2.05% plus 0.10% and the applicable spread on the $100.0 million 2027 Term Loan (hereinafter defined) balance. See Note 14, “Interest Rate Swaps” for further disclosure related to the Company’s interest rate swaps.</w:t>
      </w:r>
    </w:p>
    <w:p>
      <w:pPr>
        <w:jc w:val="both"/>
        <w:ind w:left="380" w:right="79" w:hanging="330"/>
        <w:spacing w:after="0" w:line="233" w:lineRule="auto"/>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September 30, 2025, the Company has utilized interest rate swaps to fix SOFR and achieve a weighted average fixed interest rate of 3.32% plus 0.10% and the applicable spread on $100.0 million of the outstanding balance on the Credit Facility (hereinafter defined). See Note 14, “Interest Rate Swaps” for further disclosure related to the Company’s interest rate swaps.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6. INTANGIBLE ASSETS AND LIABILITIES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Intangible assets and liabilities consisted of the following as of September 30, 2025 and December 31, 2024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540" w:type="dxa"/>
            <w:vAlign w:val="bottom"/>
          </w:tcPr>
          <w:p>
            <w:pPr>
              <w:spacing w:after="0"/>
              <w:rPr>
                <w:sz w:val="18"/>
                <w:szCs w:val="18"/>
                <w:color w:val="auto"/>
              </w:rPr>
            </w:pPr>
          </w:p>
        </w:tc>
        <w:tc>
          <w:tcPr>
            <w:tcW w:w="1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Pr>
          <w:p>
            <w:pPr>
              <w:spacing w:after="0"/>
              <w:rPr>
                <w:sz w:val="18"/>
                <w:szCs w:val="18"/>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5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48,452</w:t>
            </w:r>
          </w:p>
        </w:tc>
        <w:tc>
          <w:tcPr>
            <w:tcW w:w="200" w:type="dxa"/>
            <w:vAlign w:val="bottom"/>
          </w:tcPr>
          <w:p>
            <w:pPr>
              <w:spacing w:after="0"/>
              <w:rPr>
                <w:sz w:val="18"/>
                <w:szCs w:val="18"/>
                <w:color w:val="auto"/>
              </w:rPr>
            </w:pPr>
          </w:p>
        </w:tc>
        <w:tc>
          <w:tcPr>
            <w:tcW w:w="5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48,768</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0" w:type="dxa"/>
            <w:vAlign w:val="bottom"/>
          </w:tcPr>
          <w:p>
            <w:pPr>
              <w:spacing w:after="0"/>
              <w:rPr>
                <w:sz w:val="18"/>
                <w:szCs w:val="18"/>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20,057</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19,091</w:t>
            </w:r>
          </w:p>
        </w:tc>
        <w:tc>
          <w:tcPr>
            <w:tcW w:w="20" w:type="dxa"/>
            <w:vAlign w:val="bottom"/>
          </w:tcPr>
          <w:p>
            <w:pPr>
              <w:spacing w:after="0"/>
              <w:rPr>
                <w:sz w:val="18"/>
                <w:szCs w:val="18"/>
                <w:color w:val="auto"/>
              </w:rPr>
            </w:pPr>
          </w:p>
        </w:tc>
      </w:tr>
      <w:tr>
        <w:trPr>
          <w:trHeight w:val="210"/>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70,001</w:t>
            </w:r>
          </w:p>
        </w:tc>
        <w:tc>
          <w:tcPr>
            <w:tcW w:w="20" w:type="dxa"/>
            <w:vAlign w:val="bottom"/>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5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(28,364)</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(26,076)</w:t>
            </w:r>
          </w:p>
        </w:tc>
        <w:tc>
          <w:tcPr>
            <w:tcW w:w="20" w:type="dxa"/>
            <w:vAlign w:val="bottom"/>
          </w:tcPr>
          <w:p>
            <w:pPr>
              <w:spacing w:after="0"/>
              <w:rPr>
                <w:sz w:val="18"/>
                <w:szCs w:val="18"/>
                <w:color w:val="auto"/>
              </w:rPr>
            </w:pPr>
          </w:p>
        </w:tc>
      </w:tr>
      <w:tr>
        <w:trPr>
          <w:trHeight w:val="209"/>
        </w:trPr>
        <w:tc>
          <w:tcPr>
            <w:tcW w:w="5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41,788</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43,925</w:t>
            </w:r>
          </w:p>
        </w:tc>
        <w:tc>
          <w:tcPr>
            <w:tcW w:w="20" w:type="dxa"/>
            <w:vAlign w:val="bottom"/>
          </w:tcPr>
          <w:p>
            <w:pPr>
              <w:spacing w:after="0"/>
              <w:rPr>
                <w:sz w:val="18"/>
                <w:szCs w:val="18"/>
                <w:color w:val="auto"/>
              </w:rPr>
            </w:pPr>
          </w:p>
        </w:tc>
      </w:tr>
      <w:tr>
        <w:trPr>
          <w:trHeight w:val="21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Liabilities:</w:t>
            </w: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5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(6,479)</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20" w:type="dxa"/>
            <w:vAlign w:val="bottom"/>
          </w:tcPr>
          <w:p>
            <w:pPr>
              <w:spacing w:after="0"/>
              <w:rPr>
                <w:sz w:val="18"/>
                <w:szCs w:val="18"/>
                <w:color w:val="auto"/>
              </w:rPr>
            </w:pPr>
          </w:p>
        </w:tc>
      </w:tr>
      <w:tr>
        <w:trPr>
          <w:trHeight w:val="209"/>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20" w:type="dxa"/>
            <w:vAlign w:val="bottom"/>
          </w:tcPr>
          <w:p>
            <w:pPr>
              <w:spacing w:after="0"/>
              <w:rPr>
                <w:sz w:val="18"/>
                <w:szCs w:val="18"/>
                <w:color w:val="auto"/>
              </w:rPr>
            </w:pPr>
          </w:p>
        </w:tc>
      </w:tr>
      <w:tr>
        <w:trPr>
          <w:trHeight w:val="209"/>
        </w:trPr>
        <w:tc>
          <w:tcPr>
            <w:tcW w:w="5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 w:type="dxa"/>
            <w:vAlign w:val="bottom"/>
          </w:tcPr>
          <w:p>
            <w:pPr>
              <w:spacing w:after="0"/>
              <w:rPr>
                <w:sz w:val="18"/>
                <w:szCs w:val="18"/>
                <w:color w:val="auto"/>
              </w:rPr>
            </w:pPr>
          </w:p>
        </w:tc>
      </w:tr>
      <w:tr>
        <w:trPr>
          <w:trHeight w:val="209"/>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52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37,984</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39,151</w:t>
            </w:r>
          </w:p>
        </w:tc>
        <w:tc>
          <w:tcPr>
            <w:tcW w:w="2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firstLine="38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and nine months ended September 30, 2025 and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228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3660" w:type="dxa"/>
            <w:vAlign w:val="bottom"/>
          </w:tcPr>
          <w:p>
            <w:pPr>
              <w:spacing w:after="0"/>
              <w:rPr>
                <w:sz w:val="16"/>
                <w:szCs w:val="16"/>
                <w:color w:val="auto"/>
              </w:rPr>
            </w:pPr>
          </w:p>
        </w:tc>
        <w:tc>
          <w:tcPr>
            <w:tcW w:w="1360" w:type="dxa"/>
            <w:vAlign w:val="bottom"/>
            <w:tcBorders>
              <w:top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4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1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to Properties Revenue</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Amortization of Intangible Assets and</w:t>
            </w:r>
          </w:p>
        </w:tc>
        <w:tc>
          <w:tcPr>
            <w:tcW w:w="260" w:type="dxa"/>
            <w:vAlign w:val="bottom"/>
            <w:tcBorders>
              <w:top w:val="single" w:sz="8" w:color="auto"/>
            </w:tcBorders>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 of</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Future Amortization</w:t>
            </w:r>
          </w:p>
        </w:tc>
        <w:tc>
          <w:tcPr>
            <w:tcW w:w="12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Future Accretion to</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Intangible Assets and</w:t>
            </w:r>
          </w:p>
        </w:tc>
      </w:tr>
      <w:tr>
        <w:trPr>
          <w:trHeight w:val="23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1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Property Revenue</w:t>
            </w:r>
          </w:p>
        </w:tc>
        <w:tc>
          <w:tcPr>
            <w:tcW w:w="18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10"/>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(691)</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(690)</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w:t>
            </w: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10,442</w:t>
            </w:r>
          </w:p>
        </w:tc>
      </w:tr>
      <w:tr>
        <w:trPr>
          <w:trHeight w:val="20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37,984</w:t>
            </w: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2025, the weighted average amortization period of both the total intangible assets and liabilities was 9.4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PROVISION FOR IMPAIRMENT</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Income Properties</w:t>
      </w:r>
      <w:r>
        <w:rPr>
          <w:rFonts w:ascii="Times New Roman" w:cs="Times New Roman" w:eastAsia="Times New Roman" w:hAnsi="Times New Roman"/>
          <w:sz w:val="18"/>
          <w:szCs w:val="18"/>
          <w:color w:val="auto"/>
        </w:rPr>
        <w:t>. The Company assesses the impairment of long-lived assets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 person valuations, discounted cash flow models, and other model-based techniques.</w:t>
      </w:r>
    </w:p>
    <w:p>
      <w:pPr>
        <w:spacing w:after="0" w:line="18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$1.9 million and $6.6 million of impairment charges, respectively, as provision for losses with respect to certain properties within the Company’s income properties segment. The impairment charges are a result of the execution during the respective periods of letters of intent and/or purchase and sale agreements under which the contemplated sales price, less the carrying value of the respective assets, less estimated costs to sell result in an impairment. The impairments during the nine months ended September 30, 2025 are related to the following properties: (i) three convenience store properties, which are classified as held for sale; (ii) a property formerly leased to Party City; (iii) a property leased to At Home; (iv) a property formerly leased to Century Theater Center; and (v) three properties leased to Walgreens. Two of the three properties leased to Walgreens were classified as held for sale as of March 31, 2025, and subsequently sold during the three months ended June 30, 2025. One of the convenience store properties classified as held for sale as of June 30, 2025 and the property formerly leased to Century Theater Center were sold during the three months ended September 30, 2025. The Company’s execution of the above-referenced letters of intent and/or purchase and sale agreements are consistent with the Company’s current intent to dispose of such properties at a price less than their carrying values to facilitate the re-investment of the proceeds therefrom into new investment opportunities.</w:t>
      </w:r>
    </w:p>
    <w:p>
      <w:pPr>
        <w:spacing w:after="0" w:line="19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recorded a $0.6 million impairment charge representing the provision for losses related to three assets within the Company’s income properties segment, which were classified as held for sale. None of the impairment charges were incurred during the three months ended September 30, 2024. The impairment charge of $0.6 million is equal to the estimated sales prices for these three assets pursuant to a letter of intent for sale executed during the nine months ended September 30, 2024, less the carrying value of the assets as of September 30, 2024, less estimated costs to sell.</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Commercial Loans and Investments</w:t>
      </w:r>
      <w:r>
        <w:rPr>
          <w:rFonts w:ascii="Times New Roman" w:cs="Times New Roman" w:eastAsia="Times New Roman" w:hAnsi="Times New Roman"/>
          <w:sz w:val="18"/>
          <w:szCs w:val="18"/>
          <w:color w:val="auto"/>
        </w:rPr>
        <w:t>. The Company evaluates the collectability of its commercial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investments on a quarterly basis or whenever events or changes in circumstances indicate that the carrying amount of an asset may not be recoverable. The Company accounts for provisions for expected credit losses in accordance with ASC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Changes in the Company’s allowance for credit losses are presented within the provision for impairment in the accompanying consolidated statements of operations.</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charges of less than $0.1 million and $0.1 million, respectively, representing the provision for credit losses related to our commercial loans and investments. The impairment charges were driven by the initial estimated CECL allowance based on our investment activity as well as loan repayments during the three and nine months ended September 30, 2025.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charges of $0.4 million and $0.5 million, respectively, representing the provision for credit losses related to our commercial loans and investments. The impairment charges were driven by the initial estimated CECL allowance based on our investment activity during the three and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NOTE 8. OTHER ASSETS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7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40" w:type="dxa"/>
            <w:vAlign w:val="bottom"/>
            <w:tcBorders>
              <w:bottom w:val="single" w:sz="8" w:color="auto"/>
            </w:tcBorders>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620" w:type="dxa"/>
            <w:vAlign w:val="bottom"/>
            <w:gridSpan w:val="3"/>
          </w:tcPr>
          <w:p>
            <w:pPr>
              <w:ind w:left="20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5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8"/>
        </w:trPr>
        <w:tc>
          <w:tcPr>
            <w:tcW w:w="2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780" w:type="dxa"/>
            <w:vAlign w:val="bottom"/>
            <w:gridSpan w:val="4"/>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Tenant Receivables—Net of Allowance for Doubtful Accounts </w:t>
            </w:r>
            <w:r>
              <w:rPr>
                <w:rFonts w:ascii="Times New Roman" w:cs="Times New Roman" w:eastAsia="Times New Roman" w:hAnsi="Times New Roman"/>
                <w:sz w:val="24"/>
                <w:szCs w:val="24"/>
                <w:color w:val="auto"/>
                <w:vertAlign w:val="superscript"/>
              </w:rPr>
              <w:t>(1)</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on Acquisitions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Costs—Net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r>
      <w:tr>
        <w:trPr>
          <w:trHeight w:val="216"/>
        </w:trPr>
        <w:tc>
          <w:tcPr>
            <w:tcW w:w="5780" w:type="dxa"/>
            <w:vAlign w:val="bottom"/>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Right-of-Use Asset </w:t>
            </w:r>
            <w:r>
              <w:rPr>
                <w:rFonts w:ascii="Times New Roman" w:cs="Times New Roman" w:eastAsia="Times New Roman" w:hAnsi="Times New Roman"/>
                <w:sz w:val="25"/>
                <w:szCs w:val="25"/>
                <w:color w:val="auto"/>
                <w:vertAlign w:val="superscript"/>
              </w:rPr>
              <w:t>(2)</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09"/>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10,630</w:t>
            </w: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15,734</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a $0.4 million and $0.3 million allowance for doubtful accounts as of September 30, 2025 and December 31, 2024, respectively.</w:t>
      </w:r>
    </w:p>
    <w:p>
      <w:pPr>
        <w:spacing w:after="0" w:line="3" w:lineRule="exact"/>
        <w:rPr>
          <w:rFonts w:ascii="Times New Roman" w:cs="Times New Roman" w:eastAsia="Times New Roman" w:hAnsi="Times New Roman"/>
          <w:sz w:val="11"/>
          <w:szCs w:val="11"/>
          <w:color w:val="auto"/>
        </w:rPr>
      </w:pPr>
    </w:p>
    <w:p>
      <w:pPr>
        <w:ind w:left="380" w:hanging="330"/>
        <w:spacing w:after="0"/>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9, “Operating Land Leases” for further disclosure related to the Company’s right-of-use asset balance as of September 30, 2025.</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OPERATING LAND LEASES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requires a lessee to recognize right-of-use assets and lease liabilities that arise from leases, whether qualifying as an operating or finance lease. As of September 30, 2025 and December 31, 2024, the Company’s right-of-use assets totaled $3.1 million and $3.2 million, respectively, and the corresponding lease liabilities totaled $3.1 million and $3.2 million, respectively,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w:t>
      </w:r>
    </w:p>
    <w:p>
      <w:pPr>
        <w:spacing w:after="0" w:line="19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Amortization of right-of-use assets for operating land leases is recognized on a straight-line basis over the term of the lease and is included within real estate expenses in the consolidated statements of operations. Amortization totaled less than $0.1 million during the three months ended September 30, 2025 and 2024, respectively. Amortization totaled $0.1 million during each of the nine months ended September 30, 2025 and 2024, respectively.</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a summary of operating land leases, under which the Company is the lessee, for the three and nine months ended September 30, 2025 and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3560" w:type="dxa"/>
            <w:vAlign w:val="bottom"/>
          </w:tcPr>
          <w:p>
            <w:pPr>
              <w:spacing w:after="0"/>
              <w:rPr>
                <w:sz w:val="16"/>
                <w:szCs w:val="16"/>
                <w:color w:val="auto"/>
              </w:rPr>
            </w:pPr>
          </w:p>
        </w:tc>
        <w:tc>
          <w:tcPr>
            <w:tcW w:w="120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2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6"/>
                <w:szCs w:val="16"/>
                <w:color w:val="auto"/>
              </w:rPr>
            </w:pPr>
          </w:p>
        </w:tc>
        <w:tc>
          <w:tcPr>
            <w:tcW w:w="12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22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16"/>
                <w:szCs w:val="16"/>
                <w:color w:val="auto"/>
              </w:rPr>
            </w:pPr>
          </w:p>
        </w:tc>
      </w:tr>
      <w:tr>
        <w:trPr>
          <w:trHeight w:val="238"/>
        </w:trPr>
        <w:tc>
          <w:tcPr>
            <w:tcW w:w="35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18"/>
                <w:szCs w:val="18"/>
                <w:color w:val="auto"/>
              </w:rPr>
            </w:pPr>
          </w:p>
        </w:tc>
      </w:tr>
      <w:tr>
        <w:trPr>
          <w:trHeight w:val="216"/>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r>
      <w:tr>
        <w:trPr>
          <w:trHeight w:val="648"/>
        </w:trPr>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Minimum future lease payments under non-cancelable operating land leases, having remaining terms in excess of one year subsequent to September 30, 2025, are summarized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9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0"/>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9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r>
      <w:tr>
        <w:trPr>
          <w:trHeight w:val="209"/>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5,460</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9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w:t>
            </w:r>
          </w:p>
        </w:tc>
      </w:tr>
      <w:tr>
        <w:trPr>
          <w:trHeight w:val="21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ASSETS HELD FOR SALE</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Assets held for sale was comprised of four properties as of September 30, 2025 and four properties as of December 31, 2024. Two of the properties classified as held for sale as of December 31, 2024 was sold during the nine months ended September 30, 2025. Assets held for sale consisted of the following (in thousands):</w:t>
      </w:r>
    </w:p>
    <w:p>
      <w:pPr>
        <w:spacing w:after="0" w:line="18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20"/>
          <w:szCs w:val="20"/>
          <w:b w:val="1"/>
          <w:bCs w:val="1"/>
          <w:color w:val="auto"/>
        </w:rPr>
        <w:t>As of</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Estate—Net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Prior to Provision for Impairment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Impairment</w:t>
            </w: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(2,095)</w:t>
            </w: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0"/>
        </w:trPr>
        <w:tc>
          <w:tcPr>
            <w:tcW w:w="4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11. 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to CTO</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 Reserves</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51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Liability </w:t>
            </w:r>
            <w:r>
              <w:rPr>
                <w:rFonts w:ascii="Times New Roman" w:cs="Times New Roman" w:eastAsia="Times New Roman" w:hAnsi="Times New Roman"/>
                <w:sz w:val="25"/>
                <w:szCs w:val="25"/>
                <w:color w:val="auto"/>
                <w:vertAlign w:val="superscript"/>
              </w:rPr>
              <w:t>(1)</w:t>
            </w: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r>
      <w:tr>
        <w:trPr>
          <w:trHeight w:val="209"/>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Accounts Payable, Accrued Expenses, and Other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8,445</w:t>
            </w: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9, “Operating Land Leases” for further disclosure related to the Company’s operating lease liability balance as of September 30,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12. OBLIGATION UNDER PARTICIPATION AGREEMENT</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discussed in Note 2, “Summary of Significant Accounting Policies,” the Company follows the guidance in FASB Topic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when accounting for participation in commercial loans and investments. ASC 860 states, if the sale of a participation does not have all of the characteristics of a participating interest, it does not achieve sale accounting and is treated as a secured borrowing and accordingly, the original commercial loan investment remains on the Company’s consolidated balance sheets and the proceeds are recorded as an obligation under participation agreement. As described in Note 4, “Commercial Loans and Investments”, the Company’s Loan Participation Sale for $13.6 million at an 8.0% interest rate did not achieve sale accounting. As of September 30, 2025, the Company had fully repaid the obligation under participation agreement. As of December 31, 2024, the Company’s obligation under participation agreement had a face value of $11.4 million, and the carrying value of the loan that is associated with this obligation under participation agreement was $11.3 million, net of a CECL reserve of $0.1 million.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2025, the Company’s outstanding indebtedness, at face value, was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Wtd. Avg.</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 as of</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Face Value Debt</w:t>
            </w:r>
          </w:p>
        </w:tc>
        <w:tc>
          <w:tcPr>
            <w:tcW w:w="1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Stated Interest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(in thousands)</w:t>
            </w:r>
          </w:p>
        </w:tc>
        <w:tc>
          <w:tcPr>
            <w:tcW w:w="140" w:type="dxa"/>
            <w:vAlign w:val="bottom"/>
          </w:tcPr>
          <w:p>
            <w:pPr>
              <w:spacing w:after="0"/>
              <w:rPr>
                <w:sz w:val="20"/>
                <w:szCs w:val="20"/>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0" w:type="dxa"/>
            <w:vAlign w:val="bottom"/>
          </w:tcPr>
          <w:p>
            <w:pPr>
              <w:spacing w:after="0"/>
              <w:rPr>
                <w:sz w:val="1"/>
                <w:szCs w:val="1"/>
                <w:color w:val="auto"/>
              </w:rPr>
            </w:pPr>
          </w:p>
        </w:tc>
      </w:tr>
      <w:tr>
        <w:trPr>
          <w:trHeight w:val="191"/>
        </w:trPr>
        <w:tc>
          <w:tcPr>
            <w:tcW w:w="33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Credit Facility </w:t>
            </w:r>
            <w:r>
              <w:rPr>
                <w:rFonts w:ascii="Times New Roman" w:cs="Times New Roman" w:eastAsia="Times New Roman" w:hAnsi="Times New Roman"/>
                <w:sz w:val="26"/>
                <w:szCs w:val="26"/>
                <w:color w:val="auto"/>
                <w:vertAlign w:val="superscript"/>
              </w:rPr>
              <w:t>(1)</w:t>
            </w:r>
          </w:p>
        </w:tc>
        <w:tc>
          <w:tcPr>
            <w:tcW w:w="14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SOFR + 0.10% +</w:t>
            </w:r>
          </w:p>
        </w:tc>
        <w:tc>
          <w:tcPr>
            <w:tcW w:w="1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158,500</w:t>
            </w:r>
          </w:p>
        </w:tc>
        <w:tc>
          <w:tcPr>
            <w:tcW w:w="15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[1.25% - 2.20%]</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5.41%</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198"/>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2026 Term Loan </w:t>
            </w:r>
            <w:r>
              <w:rPr>
                <w:rFonts w:ascii="Times New Roman" w:cs="Times New Roman" w:eastAsia="Times New Roman" w:hAnsi="Times New Roman"/>
                <w:sz w:val="26"/>
                <w:szCs w:val="26"/>
                <w:color w:val="auto"/>
                <w:vertAlign w:val="superscript"/>
              </w:rPr>
              <w:t>(2)</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SOFR + 0.10% +</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5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[1.35% - 1.95%]</w:t>
            </w: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3.80%</w:t>
            </w:r>
          </w:p>
        </w:tc>
        <w:tc>
          <w:tcPr>
            <w:tcW w:w="1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0" w:type="dxa"/>
            <w:vAlign w:val="bottom"/>
          </w:tcPr>
          <w:p>
            <w:pPr>
              <w:spacing w:after="0"/>
              <w:rPr>
                <w:sz w:val="1"/>
                <w:szCs w:val="1"/>
                <w:color w:val="auto"/>
              </w:rPr>
            </w:pPr>
          </w:p>
        </w:tc>
      </w:tr>
      <w:tr>
        <w:trPr>
          <w:trHeight w:val="198"/>
        </w:trPr>
        <w:tc>
          <w:tcPr>
            <w:tcW w:w="3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2027 Term Loan </w:t>
            </w:r>
            <w:r>
              <w:rPr>
                <w:rFonts w:ascii="Times New Roman" w:cs="Times New Roman" w:eastAsia="Times New Roman" w:hAnsi="Times New Roman"/>
                <w:sz w:val="26"/>
                <w:szCs w:val="26"/>
                <w:color w:val="auto"/>
                <w:vertAlign w:val="superscript"/>
              </w:rPr>
              <w:t>(3)</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SOFR + 0.10% +</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vMerge w:val="continue"/>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5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[1.25% - 1.90%]</w:t>
            </w:r>
          </w:p>
        </w:tc>
        <w:tc>
          <w:tcPr>
            <w:tcW w:w="16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Debt/Weighted-Average Rate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358,500</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79" w:hanging="330"/>
        <w:spacing w:after="0" w:line="229"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September 30, 2025, the Company has utilized an interest rate swap to fix SOFR and achieve a weighted average fixed interest rate of 3.32% plus 0.10% and the applicable spread on $100 million of the outstanding balance on the Credit Facility (hereinafter defined). See Note 14, “Interest Rate Swaps” for further disclosure related to the Company’s interest rate swaps.</w:t>
      </w:r>
    </w:p>
    <w:p>
      <w:pPr>
        <w:jc w:val="both"/>
        <w:ind w:left="380" w:right="79" w:hanging="330"/>
        <w:spacing w:after="0" w:line="221"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September 30, 2025, the Company has utilized interest rate swaps to fix SOFR and achieve a weighted average fixed interest rate of 2.05% plus 0.10% and the applicable spread on the $100 million 2026 Term Loan (hereinafter defined) balance. See Note 14, “Interest Rate Swaps” for further disclosure related to the Company’s interest rate swaps.</w:t>
      </w:r>
    </w:p>
    <w:p>
      <w:pPr>
        <w:jc w:val="both"/>
        <w:ind w:left="380" w:right="79" w:hanging="330"/>
        <w:spacing w:after="0" w:line="233" w:lineRule="auto"/>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September 30, 2025, the Company has utilized interest rate swaps to fix SOFR and achieve a weighted average fixed interest rate of 2.05% plus 0.10% and the applicable spread on the $100 million 2027 Term Loan (hereinafter defined) balance. See Note 14, “Interest Rate Swaps” for further disclosure related to the Company’s interest rate swaps.</w:t>
      </w:r>
    </w:p>
    <w:p>
      <w:pPr>
        <w:spacing w:after="0" w:line="166" w:lineRule="exact"/>
        <w:rPr>
          <w:sz w:val="20"/>
          <w:szCs w:val="20"/>
          <w:color w:val="auto"/>
        </w:rPr>
      </w:pPr>
    </w:p>
    <w:p>
      <w:pPr>
        <w:ind w:left="60" w:right="239" w:firstLine="36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On September 30, 2022, the Company and the Operating Partnership entered into a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“2022 Amended and Restated Credit Agreement” or “Credit Facility”) with KeyBank National Association, as administrative agent, and certain other lenders named therein, which amended and restated the 2027 Term Loan Credit Agreement (hereinafter defined) to include, among other things:</w:t>
      </w:r>
    </w:p>
    <w:p>
      <w:pPr>
        <w:spacing w:after="0" w:line="114" w:lineRule="exact"/>
        <w:rPr>
          <w:sz w:val="20"/>
          <w:szCs w:val="20"/>
          <w:color w:val="auto"/>
        </w:rPr>
      </w:pPr>
    </w:p>
    <w:p>
      <w:pPr>
        <w:ind w:left="1040" w:right="559" w:hanging="315"/>
        <w:spacing w:after="0" w:line="261"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origination of a new senior unsecured revolving credit facility in the amount of $250 million which matures on January 31, 2027, with the option to extend for one year;</w:t>
      </w:r>
    </w:p>
    <w:p>
      <w:pPr>
        <w:jc w:val="both"/>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accordion option that allows the Company to request additional revolving loan commitments and additional term loan commitments, provided the aggregate amount of revolving loan commitments and term loan commitments shall not exceed $750 million;</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certain financial covenants;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 sustainability-linked pricing component pursuant to which the Company will receive interest rate reductions up to 0.025% based on performance against sustainability performance targets.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Pursuant to the 2022 Amended and Restated Credit Agreement, the indebtedness outstanding under the Credit Facility accrues at a rate ranging from SOFR plus 0.10% plus 125 basis points to SOFR plus 0.10% plus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spacing w:after="0" w:line="120" w:lineRule="exact"/>
        <w:rPr>
          <w:sz w:val="20"/>
          <w:szCs w:val="20"/>
          <w:color w:val="auto"/>
        </w:rPr>
      </w:pPr>
    </w:p>
    <w:p>
      <w:pPr>
        <w:jc w:val="both"/>
        <w:ind w:left="60" w:right="59" w:firstLine="369"/>
        <w:spacing w:after="0" w:line="255" w:lineRule="auto"/>
        <w:rPr>
          <w:sz w:val="20"/>
          <w:szCs w:val="20"/>
          <w:color w:val="auto"/>
        </w:rPr>
      </w:pPr>
      <w:r>
        <w:rPr>
          <w:rFonts w:ascii="Times New Roman" w:cs="Times New Roman" w:eastAsia="Times New Roman" w:hAnsi="Times New Roman"/>
          <w:sz w:val="18"/>
          <w:szCs w:val="18"/>
          <w:color w:val="auto"/>
        </w:rPr>
        <w:t>The Company is subject to customary restrictive covenants under the 2022 Amended and Restated Credit Agreement and the 2026 Term Loan Credit Agreement and the 2027 Term Loan Credit Agreement (each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w:t>
      </w:r>
    </w:p>
    <w:p>
      <w:pPr>
        <w:spacing w:after="0" w:line="1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the commitment level under the Credit Facility was $250.0 million and the Company had an outstanding balance of $158.5 million. The available borrowing capacity, subject to borrowing base restrictions, was $60.2 million as of September 30, 2025.</w:t>
      </w:r>
    </w:p>
    <w:p>
      <w:pPr>
        <w:spacing w:after="0" w:line="17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2026 Term Loan. </w:t>
      </w:r>
      <w:r>
        <w:rPr>
          <w:rFonts w:ascii="Times New Roman" w:cs="Times New Roman" w:eastAsia="Times New Roman" w:hAnsi="Times New Roman"/>
          <w:sz w:val="18"/>
          <w:szCs w:val="18"/>
          <w:color w:val="auto"/>
        </w:rPr>
        <w:t>On May 21, 2021, the Operating Partnership, the Company and certain subsidiaries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$40.0 million to an aggregate of $100.0 million. The 2026 Term Loan Amendment also effectuated the transition of the underlying variable interest rate from LIBOR to SOFR.</w:t>
      </w:r>
    </w:p>
    <w:p>
      <w:pPr>
        <w:spacing w:after="0" w:line="11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October 5, 2022, the Company entered into an amendment which, among other things, amended certain financial covenants and added a sustainability-linked pricing component consistent with what is contained in the 2022 Amended and Restated Credit Agreement (the “2026 Term Loan Second Amendment”), effective September 30, 2022.</w:t>
      </w:r>
    </w:p>
    <w:p>
      <w:pPr>
        <w:spacing w:after="0" w:line="10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2027 Term Loan. </w:t>
      </w:r>
      <w:r>
        <w:rPr>
          <w:rFonts w:ascii="Times New Roman" w:cs="Times New Roman" w:eastAsia="Times New Roman" w:hAnsi="Times New Roman"/>
          <w:sz w:val="18"/>
          <w:szCs w:val="18"/>
          <w:color w:val="auto"/>
        </w:rPr>
        <w:t>On September 30, 2021, the Operating Partnership, the Company and certain subsidiaries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as of September 30, 2025 and December 31, 2024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20"/>
                <w:szCs w:val="20"/>
                <w:color w:val="auto"/>
              </w:rPr>
            </w:pPr>
          </w:p>
        </w:tc>
        <w:tc>
          <w:tcPr>
            <w:tcW w:w="20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187"/>
        </w:trPr>
        <w:tc>
          <w:tcPr>
            <w:tcW w:w="4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Due Within</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r>
      <w:tr>
        <w:trPr>
          <w:trHeight w:val="238"/>
        </w:trPr>
        <w:tc>
          <w:tcPr>
            <w:tcW w:w="4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0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One Year</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Term Loan</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Term Loan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Pr>
          <w:p>
            <w:pPr>
              <w:spacing w:after="0"/>
              <w:rPr>
                <w:sz w:val="18"/>
                <w:szCs w:val="18"/>
                <w:color w:val="auto"/>
              </w:rPr>
            </w:pPr>
          </w:p>
        </w:tc>
        <w:tc>
          <w:tcPr>
            <w:tcW w:w="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358,155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19" w:firstLine="41"/>
        <w:spacing w:after="0" w:line="282" w:lineRule="auto"/>
        <w:rPr>
          <w:sz w:val="20"/>
          <w:szCs w:val="20"/>
          <w:color w:val="auto"/>
        </w:rPr>
      </w:pPr>
      <w:r>
        <w:rPr>
          <w:rFonts w:ascii="Times New Roman" w:cs="Times New Roman" w:eastAsia="Times New Roman" w:hAnsi="Times New Roman"/>
          <w:sz w:val="18"/>
          <w:szCs w:val="18"/>
          <w:color w:val="auto"/>
        </w:rPr>
        <w:t>Payments applicable to reduction of principal amounts as of September 30, 2025 will be required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4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258,500</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358,500</w:t>
            </w:r>
          </w:p>
        </w:tc>
      </w:tr>
      <w:tr>
        <w:trPr>
          <w:trHeight w:val="20"/>
        </w:trPr>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long-term debt as of September 30, 2025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358,500</w:t>
            </w:r>
          </w:p>
        </w:tc>
      </w:tr>
      <w:tr>
        <w:trPr>
          <w:trHeight w:val="216"/>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10"/>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358,155</w:t>
            </w:r>
          </w:p>
        </w:tc>
      </w:tr>
      <w:tr>
        <w:trPr>
          <w:trHeight w:val="20"/>
        </w:trPr>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to the $0.3 million of financing costs, net of accumulated amortization included in the table above, as of September 30, 2025, the Company also had financing costs, net of accumulated amortization related to the Credit Facility of $0.6 million which is included in other assets on the consolidated balance sheets. These costs are amortized on a straight-line basis over the term of the Credit Facility and are included in interest expense in the consolidated statements of operations.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and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and 2024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0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4200" w:type="dxa"/>
            <w:vAlign w:val="bottom"/>
          </w:tcPr>
          <w:p>
            <w:pPr>
              <w:spacing w:after="0"/>
              <w:rPr>
                <w:sz w:val="16"/>
                <w:szCs w:val="16"/>
                <w:color w:val="auto"/>
              </w:rPr>
            </w:pPr>
          </w:p>
        </w:tc>
        <w:tc>
          <w:tcPr>
            <w:tcW w:w="118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0" w:type="dxa"/>
            <w:vAlign w:val="bottom"/>
          </w:tcPr>
          <w:p>
            <w:pPr>
              <w:spacing w:after="0"/>
              <w:rPr>
                <w:sz w:val="16"/>
                <w:szCs w:val="16"/>
                <w:color w:val="auto"/>
              </w:rPr>
            </w:pPr>
          </w:p>
        </w:tc>
        <w:tc>
          <w:tcPr>
            <w:tcW w:w="120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38"/>
        </w:trPr>
        <w:tc>
          <w:tcPr>
            <w:tcW w:w="4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w:t>
            </w:r>
          </w:p>
        </w:tc>
      </w:tr>
      <w:tr>
        <w:trPr>
          <w:trHeight w:val="198"/>
        </w:trPr>
        <w:tc>
          <w:tcPr>
            <w:tcW w:w="4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Interest Expense from Obligation Under Participation</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198"/>
        </w:trPr>
        <w:tc>
          <w:tcPr>
            <w:tcW w:w="42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Financing Costs to Interest</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3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4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w:t>
            </w:r>
          </w:p>
        </w:tc>
      </w:tr>
      <w:tr>
        <w:trPr>
          <w:trHeight w:val="197"/>
        </w:trPr>
        <w:tc>
          <w:tcPr>
            <w:tcW w:w="4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Paid</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8,996</w:t>
            </w: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as of September 30, 2025.</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INTEREST RATE SWAPS</w:t>
      </w:r>
    </w:p>
    <w:p>
      <w:pPr>
        <w:spacing w:after="0" w:line="121" w:lineRule="exact"/>
        <w:rPr>
          <w:sz w:val="20"/>
          <w:szCs w:val="20"/>
          <w:color w:val="auto"/>
        </w:rPr>
      </w:pPr>
    </w:p>
    <w:p>
      <w:pPr>
        <w:jc w:val="both"/>
        <w:ind w:left="60" w:right="59" w:firstLine="389"/>
        <w:spacing w:after="0" w:line="256"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and nine months ended September 30, 2025 and 2024. Accordingly, the changes in fair value on the interest rate swaps have been classified in other comprehensive income. The fair value of the interest rate swap agreements are included in other assets and accounts payable, accrued expenses and other liabilities, respectively, on the consolidated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related to the Company’s interest rate swap agreements is noted below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2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Hedged Item</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25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(1)</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2.05% + 0.10%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2540" w:type="dxa"/>
            <w:vAlign w:val="bottom"/>
            <w:gridSpan w:val="3"/>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5/21/2021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5/21/2026</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(2)</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1.61%+ 0.10% +</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2540" w:type="dxa"/>
            <w:vAlign w:val="bottom"/>
            <w:gridSpan w:val="3"/>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11/29/2024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1/31/2027</w:t>
            </w: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25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(3)</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3.84%+ 0.10% +</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2540" w:type="dxa"/>
            <w:vAlign w:val="bottom"/>
            <w:gridSpan w:val="3"/>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9/30/2022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1/31/2027</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189"/>
        </w:trPr>
        <w:tc>
          <w:tcPr>
            <w:tcW w:w="2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Credit Facility </w:t>
            </w:r>
            <w:r>
              <w:rPr>
                <w:rFonts w:ascii="Times New Roman" w:cs="Times New Roman" w:eastAsia="Times New Roman" w:hAnsi="Times New Roman"/>
                <w:sz w:val="24"/>
                <w:szCs w:val="24"/>
                <w:color w:val="auto"/>
                <w:vertAlign w:val="superscript"/>
              </w:rPr>
              <w:t>(4)</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3.21%+ 0.10%+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gridSpan w:val="4"/>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3/1/2023</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3/1/2028</w:t>
            </w:r>
          </w:p>
        </w:tc>
        <w:tc>
          <w:tcPr>
            <w:tcW w:w="12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189"/>
        </w:trPr>
        <w:tc>
          <w:tcPr>
            <w:tcW w:w="290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Credit Facility </w:t>
            </w:r>
            <w:r>
              <w:rPr>
                <w:rFonts w:ascii="Times New Roman" w:cs="Times New Roman" w:eastAsia="Times New Roman" w:hAnsi="Times New Roman"/>
                <w:sz w:val="24"/>
                <w:szCs w:val="24"/>
                <w:color w:val="auto"/>
                <w:vertAlign w:val="superscript"/>
              </w:rPr>
              <w:t>(5)</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3.43%+ 0.10%+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gridSpan w:val="4"/>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4/4/2025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1/1/2027</w:t>
            </w:r>
          </w:p>
        </w:tc>
        <w:tc>
          <w:tcPr>
            <w:tcW w:w="1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79" w:hanging="330"/>
        <w:spacing w:after="0" w:line="226"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September 30, 2025, the Company has utilized interest rate swaps to fix SOFR and achieve a weighted average fixed interest rate of 2.05% plus 0.10% and the applicable spread on the $100.0 million 2026 Term Loan balance. The weighted average fixed interest rate of 2.05%, is comprised of: (i) rate swaps on $60.0 million of the 2026 Term Loan balance effective May 21, 2021, as amended on April 14, 2022 in connection with the 2026 Term Loan Amendment, to fix SOFR (prior to April 14, 2022, the swap was to fix LIBOR), and (ii) a rate swap on $40.0 million of the 2026 Term Loan Balance effective September 30, 2022, to fix SOFR.</w:t>
      </w:r>
    </w:p>
    <w:p>
      <w:pPr>
        <w:ind w:left="380" w:right="79" w:hanging="330"/>
        <w:spacing w:after="0" w:line="221"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September 30, 2025, the Company has utilized interest rate swaps to fix SOFR and achieve a fixed interest rate of 1.61% plus 0.10% and the applicable spread on $80.0 million of the $100.0 million 2027 Term Loan balance.</w:t>
      </w:r>
    </w:p>
    <w:p>
      <w:pPr>
        <w:ind w:left="380" w:right="79" w:hanging="330"/>
        <w:spacing w:after="0" w:line="221"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September 30, 2025, the Company has utilized an interest rate swap to fix SOFR and achieve a fixed interest rate of 3.84% plus 0.10% and the applicable spread on $20.0 million of the $100.0 million 2027 Term Loan balance.</w:t>
      </w:r>
    </w:p>
    <w:p>
      <w:pPr>
        <w:ind w:left="380" w:right="79" w:hanging="330"/>
        <w:spacing w:after="0" w:line="221"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September 30, 2025, the Company has utilized an interest rate swap to fix SOFR and achieve a fixed interest rate of 3.21% plus 0.10% and the applicable spread on $50.0 million of the outstanding balance on the Credit Facility.</w:t>
      </w:r>
    </w:p>
    <w:p>
      <w:pPr>
        <w:ind w:left="380" w:right="79" w:hanging="330"/>
        <w:spacing w:after="0" w:line="239"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September 30, 2025, the Company has utilized an interest rate swap to fix SOFR and achieve a fixed interest rate of 3.43% plus 0.10% and the applicable spread on $50.0 million of the outstanding balance on the Credit Facility.</w:t>
      </w:r>
    </w:p>
    <w:p>
      <w:pPr>
        <w:spacing w:after="0" w:line="19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September 30, 2025 and December 31, 2024, there were no events of default related to the Company's interest rate swap agreements.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EQUITY</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declared the 2020 Registration Statement effective on December 11, 2020.</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Securities and Exchange Commission declared the 2023 Registration Statement effective on September 29, 2023.</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FOLLOW-ON PUBLIC OFFERING</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1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2020 ATM Program was terminated in advance of implementing the 2022 ATM Program, hereinafter defined.</w:t>
      </w:r>
    </w:p>
    <w:p>
      <w:pPr>
        <w:spacing w:after="0" w:line="192"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On October 21, 2022, the Company implemented a $150.0 million “at-the-market” equity offering program (the “2022 ATM Program”) pursuant to which the Company may sell, from time to time, shares of the Company’s common stock. The Company was not active under the 2022 ATM Program during the three and nine months ended September 30, 2025. During the three months ended September 30, 2024, the Company sold 620,176 shares under the 2022 ATM Program for gross proceeds of $11.2 million at a weighted average price of $18.09 per share, generating net proceeds of $11.1 million after deducting transaction fees totaling $0.1 million. During the nine months ended September 30, 2024, the Company sold 623,526 shares under the 2022 ATM Program for gross proceeds of $11.3 million at a weighted average price of $18.08 per share, generating net proceeds of $11.1 million after deducting transaction fees totaling $0.2 million. During the year ended December 31, 2024, the Company sold 1,059,271 shares under the 2022 ATM Program for gross proceeds of $19.1 million at a weighted average price of $18.04 per share, generating net proceeds of $18.8 million after deducting transaction fees totaling $0.3 million. During the year ended December 31, 2023, the Company sold 665,929 shares under the 2022 ATM Program for gross proceeds of $12.6 million at a weighted average price of $18.96 per share, generating net proceeds of $12.4 million after deducting transaction fees totaling $0.2 million. 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spacing w:after="0" w:line="19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CTO holds, directly and indirectly, an 8.0% noncontrolling ownership interest in the Operating Partnership as a result of 1,223,854 OP Units issued to CTO and its wholly owned subsidiaries at the time of the Company’s IPO.</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nine months ended September 30, 2025 and 2024, the Company declared and paid cash dividends on its common stock and OP Units of $0.855 and $0.830 per share, respectively.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16. COMMON STOCK AND EARNINGS PER SHARE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(loss) attributable to the Company for the period by the weighted average number of shares of common stock outstanding for the period. Diluted earnings per common share is determined based on the assumption that the OP Units are redeemed for shares of our common stock on a one-for-one basis.</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(in thousands, except share and per share data):</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0"/>
                <w:szCs w:val="20"/>
                <w:color w:val="auto"/>
              </w:rPr>
            </w:pPr>
          </w:p>
        </w:tc>
        <w:tc>
          <w:tcPr>
            <w:tcW w:w="21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87"/>
        </w:trPr>
        <w:tc>
          <w:tcPr>
            <w:tcW w:w="4340" w:type="dxa"/>
            <w:vAlign w:val="bottom"/>
          </w:tcPr>
          <w:p>
            <w:pPr>
              <w:spacing w:after="0"/>
              <w:rPr>
                <w:sz w:val="16"/>
                <w:szCs w:val="16"/>
                <w:color w:val="auto"/>
              </w:rPr>
            </w:pPr>
          </w:p>
        </w:tc>
        <w:tc>
          <w:tcPr>
            <w:tcW w:w="2260" w:type="dxa"/>
            <w:vAlign w:val="bottom"/>
            <w:tcBorders>
              <w:top w:val="single" w:sz="8" w:color="auto"/>
            </w:tcBorders>
            <w:gridSpan w:val="5"/>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 September 30,</w:t>
            </w:r>
          </w:p>
        </w:tc>
        <w:tc>
          <w:tcPr>
            <w:tcW w:w="20" w:type="dxa"/>
            <w:vAlign w:val="bottom"/>
          </w:tcPr>
          <w:p>
            <w:pPr>
              <w:spacing w:after="0"/>
              <w:rPr>
                <w:sz w:val="16"/>
                <w:szCs w:val="16"/>
                <w:color w:val="auto"/>
              </w:rPr>
            </w:pPr>
          </w:p>
        </w:tc>
        <w:tc>
          <w:tcPr>
            <w:tcW w:w="2280" w:type="dxa"/>
            <w:vAlign w:val="bottom"/>
            <w:tcBorders>
              <w:top w:val="single" w:sz="8" w:color="auto"/>
            </w:tcBorders>
            <w:gridSpan w:val="5"/>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 September 30,</w:t>
            </w:r>
          </w:p>
        </w:tc>
        <w:tc>
          <w:tcPr>
            <w:tcW w:w="0" w:type="dxa"/>
            <w:vAlign w:val="bottom"/>
          </w:tcPr>
          <w:p>
            <w:pPr>
              <w:spacing w:after="0"/>
              <w:rPr>
                <w:sz w:val="1"/>
                <w:szCs w:val="1"/>
                <w:color w:val="auto"/>
              </w:rPr>
            </w:pPr>
          </w:p>
        </w:tc>
      </w:tr>
      <w:tr>
        <w:trPr>
          <w:trHeight w:val="238"/>
        </w:trPr>
        <w:tc>
          <w:tcPr>
            <w:tcW w:w="4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78"/>
        </w:trPr>
        <w:tc>
          <w:tcPr>
            <w:tcW w:w="434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Alpine Income Property</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(4,130)</w:t>
            </w:r>
          </w:p>
        </w:tc>
        <w:tc>
          <w:tcPr>
            <w:tcW w:w="1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0" w:type="dxa"/>
            <w:vAlign w:val="bottom"/>
          </w:tcPr>
          <w:p>
            <w:pPr>
              <w:spacing w:after="0"/>
              <w:rPr>
                <w:sz w:val="1"/>
                <w:szCs w:val="1"/>
                <w:color w:val="auto"/>
              </w:rPr>
            </w:pPr>
          </w:p>
        </w:tc>
      </w:tr>
      <w:tr>
        <w:trPr>
          <w:trHeight w:val="22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18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14,158,190</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13,744,232</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14,328,245</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13,663,752</w:t>
            </w:r>
          </w:p>
        </w:tc>
        <w:tc>
          <w:tcPr>
            <w:tcW w:w="0" w:type="dxa"/>
            <w:vAlign w:val="bottom"/>
          </w:tcPr>
          <w:p>
            <w:pPr>
              <w:spacing w:after="0"/>
              <w:rPr>
                <w:sz w:val="1"/>
                <w:szCs w:val="1"/>
                <w:color w:val="auto"/>
              </w:rPr>
            </w:pPr>
          </w:p>
        </w:tc>
      </w:tr>
      <w:tr>
        <w:trPr>
          <w:trHeight w:val="190"/>
        </w:trPr>
        <w:tc>
          <w:tcPr>
            <w:tcW w:w="4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Number of Common Shares Applicable</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340" w:type="dxa"/>
            <w:vAlign w:val="bottom"/>
            <w:tcBorders>
              <w:bottom w:val="single" w:sz="8" w:color="CCEEFF"/>
            </w:tcBorders>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to OP Units using Treasury Stock Method </w:t>
            </w:r>
            <w:r>
              <w:rPr>
                <w:rFonts w:ascii="Times New Roman" w:cs="Times New Roman" w:eastAsia="Times New Roman" w:hAnsi="Times New Roman"/>
                <w:sz w:val="26"/>
                <w:szCs w:val="26"/>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Applicable to Diluted Earnings per Share</w:t>
            </w: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15,382,044</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14,968,086</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15,552,099</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14,887,606</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Alpine Income Property</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34"/>
        </w:trPr>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14141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8" w:lineRule="exact"/>
        <w:rPr>
          <w:sz w:val="20"/>
          <w:szCs w:val="20"/>
          <w:color w:val="auto"/>
        </w:rPr>
      </w:pPr>
    </w:p>
    <w:p>
      <w:pPr>
        <w:ind w:left="380" w:right="79" w:hanging="330"/>
        <w:spacing w:after="0" w:line="261" w:lineRule="auto"/>
        <w:tabs>
          <w:tab w:leader="none" w:pos="3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Represents OP Units issued to CTO and its subsidiaries in connection with our formation transactions (See Note 19, “Related Party Management Company”).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17. SHARE REPURCHASES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May 2023, the Board approved a $5.0 million stock repurchase program (the “2023 $5.0 Million Repurchase Program”). Under the 2023 $5.0 Million Repurchase Program, the Company repurchased 23,889 shares of its common stock on the open market for a total cost of $0.4 million, or an average price per share of $15.22, during the year ended December 31, 2023.</w:t>
      </w:r>
    </w:p>
    <w:p>
      <w:pPr>
        <w:spacing w:after="0" w:line="180" w:lineRule="exact"/>
        <w:rPr>
          <w:sz w:val="20"/>
          <w:szCs w:val="20"/>
          <w:color w:val="auto"/>
        </w:rPr>
      </w:pPr>
    </w:p>
    <w:p>
      <w:pPr>
        <w:jc w:val="both"/>
        <w:ind w:left="60" w:right="59" w:firstLine="383"/>
        <w:spacing w:after="0" w:line="261" w:lineRule="auto"/>
        <w:rPr>
          <w:sz w:val="20"/>
          <w:szCs w:val="20"/>
          <w:color w:val="auto"/>
        </w:rPr>
      </w:pPr>
      <w:r>
        <w:rPr>
          <w:rFonts w:ascii="Times New Roman" w:cs="Times New Roman" w:eastAsia="Times New Roman" w:hAnsi="Times New Roman"/>
          <w:sz w:val="18"/>
          <w:szCs w:val="18"/>
          <w:color w:val="auto"/>
        </w:rPr>
        <w:t>In July 2023, the Board approved a $15.0 million stock repurchase program (the “2023 $15.0 Million Repurchase Program”). The 2023 $15.0 Million Repurchase Program replaced the 2023 $5.0 Million Repurchase Program. Under the 2023 $15.0 Million Repurchase Program, the Company repurchased 875,122 shares of its common stock on the open market for a total cost of $14.2 million, or an average price per share of $16.26, during the year ended December 31, 2023.</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 aggregate, the Company repurchased 899,011 shares of its common stock on the open market for a total cost of $14.6 million, or an average price per share of $16.23, during the year ended December 31, 2023.</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Under the 2023 $15.0 Million Repurchase Program, the Company repurchased 45,768 shares of its common stock on the open market for a total cost of $0.8 million, or an average price per share of $16.90, during the three months ended March 31, 2024, which completed the 2023 $15.0 Million Repurchase Program.</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February 2025, the Board approved a $10.0 million stock repurchase program (the “2025 $10.0 Million Repurchase Program”). Under the 2025 $10.0 Million Repurchase Program, the Company repurchased 546,390 shares of its common stock on the open market for a total cost of $8.8 million, or an average price per share of $16.07, during the nine months ended September 30, 2025.</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18. STOCK-BASED COMPENSATION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Under the Company’s non-employee director compensation policy, each non-employee member of the Board receives a portion of their annual retainer fee in shares of Company common stock, and a portion in cash; and, with respect to the cash portion, each director may elect to receive such portion in shares of Company common stock rather than cash. The number of shares issued to the directors is calculated quarterly by dividing (i) the amount of the quarterly retainer fee payment due to such director by (ii) the 20-day trailing average closing price of the Company’s common stock as of the last business day of the quarter for which such payment applied, rounded down to the nearest whole number of shares. During the nine months ended September 30, 2025, the expense recognized for the value of the Company’s common stock received by non-employee directors totaled $0.3 million, or 18,554 shares, of which 5,806 shares were issued on April 1, 2025, 6,276 shares were issued on July 1, 2025, and 6,472 shares were issued on October 1, 2025. During the nine months ended September 30, 2024, the expense recognized for the value of the Company’s common stock received by non-employee directors totaled $0.2 million, or 14,603 shares, of which 5,131 shares were issued on April 1, 2024, 5,168 shares were issued on July 1, 2024, and 4,304 shares were issued on October 1, 2024.</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19. RELATED PARTY MANAGEMENT COMPANY</w:t>
      </w:r>
    </w:p>
    <w:p>
      <w:pPr>
        <w:spacing w:after="0" w:line="21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externally managed by the Manager, a wholly owned subsidiary of CTO. Subsequent to the IPO, through September 30, 2025, CTO has, directly and indirectly through a wholly owned subsidiary, purchased an aggregate of 431,912 shares of PINE common stock in the open market including (i) 109,081 shares purchased during the three and nine months ending September 30, 2025 for $1.6 million, or an average price per share of $14.24, (ii) 29,807 shares purchased during the year ended December 31, 2024 for $0.4 million, or an average price per share of $14.97, (iii) 129,271 shares purchased during the year ended December 31, 2023 for $2.1 million, or an average price per share of $16.21, (iv) 155,665 shares purchased during the year ended December 31, 2022 for $2.7 million, or an average price per share of $17.57 and</w:t>
      </w:r>
    </w:p>
    <w:p>
      <w:pPr>
        <w:spacing w:after="0" w:line="3" w:lineRule="exact"/>
        <w:rPr>
          <w:sz w:val="20"/>
          <w:szCs w:val="20"/>
          <w:color w:val="auto"/>
        </w:rPr>
      </w:pPr>
    </w:p>
    <w:p>
      <w:pPr>
        <w:ind w:left="60" w:right="79" w:hanging="10"/>
        <w:spacing w:after="0" w:line="260" w:lineRule="auto"/>
        <w:tabs>
          <w:tab w:leader="none" w:pos="3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8,088 shares purchased during the year ended December 31, 2021 for $0.1 million, or an average price per share of $17.65.</w:t>
      </w:r>
    </w:p>
    <w:p>
      <w:pPr>
        <w:spacing w:after="0" w:line="181"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As of September 30, 2025, CTO owns, directly and indirectly through wholly owned subsidiaries, in the aggregate, 1,223,854 OP Units and 1,247,702 shares of PINE common stock, inclusive of (i) 394,737 shares of common stock totaling $7.5 million issued in connection with a private placement that closed concurrently with the IPO, (ii) 421,053 shares of common stock totaling $8.0 million issued in connection with the IPO, and (iii) 431,912 shares of common stock totaling $7.0 million purchased by CTO, directly and indirectly through a wholly owned subsidiary, subsequent to the IPO. The aggregate 1,223,854 OP Units and 1,247,702 shares of PINE common stock held by CTO represent an investment totaling $35.0 million, or 16.1% of PINE’s outstanding equity, as of September 30,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 Agreement</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July 18, 2024, the Operating Partnership and PINE entered into an amendment (the “Amendment”) to the Management Agreement with the Manager. The Amendment extended the expiration date of the initial term of the Management Agreement from November 26, 2024 to January 31, 2025, and on that date the term of the agreement automatically renewed for a one-year term. The current term of the agreement expires on January 31, 2026 and will automatically renew for an unlimited number of successive one-year periods thereafter, unless the agreement is not renewed or is terminated in accordance with its terms.</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independent directors review our Manager’s performance and the management fees annually, and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 also terminate the Management Agreement for cause at any time, without the payment of any termination fee, with 30 days’ prior written notice from the Board.</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incurred management fee expenses totaling $1.1 million and $3.3 million during the three and nine months ended September 30, 2025, respectively. The Company also paid dividends on the common stock and OP Units owned by affiliates of the Manager in the amount of $0.7 million and $2.1 million for the three and nine months ended September 30, 2025, respectively. The Company incurred management fee expenses totaling $1.1 million and $3.1 million during the three and nine months ended September 30, 2024, respectively. The Company also paid dividends on the common stock and OP Units owned by affiliates of the Manager in the amount of $0.7 million and $1.9 million for the three and nine months ended September 30, 2024, respectively.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amounts due to CTO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8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due to CTO</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16"/>
        </w:trPr>
        <w:tc>
          <w:tcPr>
            <w:tcW w:w="48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gridSpan w:val="3"/>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Included in accrued expenses, see Note 11, “Accounts Payable, Accrued Expenses, and Other Liabilities”.</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ROFO Agreement</w:t>
      </w:r>
    </w:p>
    <w:p>
      <w:pPr>
        <w:spacing w:after="0" w:line="20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term of the ROFO Agreement will continue for so long as the Management Agreement with our Manager is in effect.</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April 6, 2021, the Company entered into a purchase and sale agreement with a certain subsidiary of CTO for the purchase of one net lease property for $11.5 million. The acquisition was completed on April 23, 2021.</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January 5, 2022, the Company entered into a purchase and sale agreement with a certain subsidiary of CTO for the purchase of one net lease property for $6.9 million. The acquisition was completed on January 7, 2022.</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entry into these purchase and sale agreements, and subsequent completion of the related acquisitions, are a result of the Company exercising its right to purchase the aforementioned properties under the ROFO Agreement.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Conflicts of Interest</w:t>
      </w:r>
    </w:p>
    <w:p>
      <w:pPr>
        <w:spacing w:after="0" w:line="20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acquire, sell, or finance net leased properties that would potentially fit the investment criteria for our Manager or its affiliates. Similarly, our Manager or its affiliates may acquire, sell, or finance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20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pacing w:after="0" w:line="1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Sharing Agreement</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December 4, 2023, CTO entered into an asset management agreement directly with the borrower under the Mortgage Note (as described in Note 4, “Commercial Loans and Investments”) to manage the portfolio of assets secured by the Mortgage Note. The Company entered into a revenue sharing agreement with CTO whereby the Company receives a share of the asset management fees, disposition management fees, leasing commissions, and other fees related to CTO’s management and administration of the portfolio (the “Revenue Sharing Agreement”). The Company’s share of the fees under the Revenue Sharing Agreement is based on fees earned by CTO associated with the single tenant properties within the portfolio.</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recognized $0.1 million and $0.3 million of revenue pursuant to the Revenue Sharing Agreement during the three and nine months ended September 30, 2025, respectively, which is included in other revenue on the Company’s consolidated statements of operations. The Company recognized $0.1 million and $0.4 million of revenue pursuant to the Revenue Sharing Agreement during the three and nine months ended September 30, 2024, respectively, which is included in other revenue on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20. COMMITMENTS AND CONTINGENCIES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14" w:lineRule="exact"/>
        <w:rPr>
          <w:sz w:val="20"/>
          <w:szCs w:val="20"/>
          <w:color w:val="auto"/>
        </w:rPr>
      </w:pPr>
    </w:p>
    <w:p>
      <w:pPr>
        <w:jc w:val="both"/>
        <w:ind w:left="60" w:right="79" w:firstLine="38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CONTRACTUAL COMMITMENTS – EXPENDITURES</w:t>
      </w:r>
    </w:p>
    <w:p>
      <w:pPr>
        <w:spacing w:after="0" w:line="227" w:lineRule="exact"/>
        <w:rPr>
          <w:sz w:val="20"/>
          <w:szCs w:val="20"/>
          <w:color w:val="auto"/>
        </w:rPr>
      </w:pPr>
    </w:p>
    <w:p>
      <w:pPr>
        <w:jc w:val="both"/>
        <w:ind w:left="60" w:right="59" w:firstLine="389"/>
        <w:spacing w:after="0" w:line="266" w:lineRule="auto"/>
        <w:rPr>
          <w:sz w:val="20"/>
          <w:szCs w:val="20"/>
          <w:color w:val="auto"/>
        </w:rPr>
      </w:pPr>
      <w:r>
        <w:rPr>
          <w:rFonts w:ascii="Times New Roman" w:cs="Times New Roman" w:eastAsia="Times New Roman" w:hAnsi="Times New Roman"/>
          <w:sz w:val="18"/>
          <w:szCs w:val="18"/>
          <w:color w:val="auto"/>
        </w:rPr>
        <w:t>The Company has unfunded loan commitments under four of the Company’s five construction loans as described in Note 4, “Commercial Loans and Investments”. The unfunded portion of the construction loans totaled $17.2 million as of September 30, 2025.</w:t>
      </w:r>
    </w:p>
    <w:p>
      <w:pPr>
        <w:spacing w:after="0" w:line="176"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The Company has committed to fund certain capital improvements related to several properties, which include tenant improvements, landlord work, leasing commissions, and other capital improvements. As of September 30, 2025, the commitments totaled $2.1 million, of which $1.1 million has been paid, leaving a remaining commitment of $1.0 million. The improvements are generally expected to be completed within 12 months of September 30,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21. BUSINESS SEGMENT DATA</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operates in two primary business segments: income properties and commercial loans and investments.</w:t>
      </w:r>
    </w:p>
    <w:p>
      <w:pPr>
        <w:spacing w:after="0" w:line="18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income property operations consist of lease income from income producing properties and our business plan is focused on investing in additional income-producing properties. Our income property operations accounted for 82% of our identifiable assets as of September 30, 2025 and December 31, 2024, respectively, and 82% and 90% of our consolidated revenues for the nine months ended September 30, 2025 and 2024, respectively. Our commercial loans and investment operations accounted for 17% and 15% of our identifiable assets as of September 30, 2025 and December 31, 2024, respectively, and 17% and 9% of our consolidated revenues for the nine months ended September 30, 2025 and 2024, respectively. As of September 30, 2025, our commercial loans investment portfolio consisted of 14 commercial loan investments, of which three are related to properties acquired through a sale-leaseback transaction whereby the tenant has a future repurchase right.</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CODM evaluates segment performance based on total revenues less direct costs of revenues when making decisions about allocating capital to the segments. The Company’s reportable segments are strategic business units that offer different products. They are managed separately because each segment requires different management techniques, knowledge, and skill.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September 30, 2025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10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8"/>
                <w:szCs w:val="18"/>
                <w:color w:val="auto"/>
              </w:rPr>
            </w:pPr>
          </w:p>
        </w:tc>
        <w:tc>
          <w:tcPr>
            <w:tcW w:w="160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4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12,122</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0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for Reportable Segments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14,442</w:t>
            </w:r>
          </w:p>
        </w:tc>
      </w:tr>
      <w:tr>
        <w:trPr>
          <w:trHeight w:val="230"/>
        </w:trPr>
        <w:tc>
          <w:tcPr>
            <w:tcW w:w="4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Revenues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14,563</w:t>
            </w:r>
          </w:p>
        </w:tc>
      </w:tr>
      <w:tr>
        <w:trPr>
          <w:trHeight w:val="197"/>
        </w:trPr>
        <w:tc>
          <w:tcPr>
            <w:tcW w:w="4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r>
      <w:tr>
        <w:trPr>
          <w:trHeight w:val="210"/>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12,551</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r>
      <w:tr>
        <w:trPr>
          <w:trHeight w:val="178"/>
        </w:trPr>
        <w:tc>
          <w:tcPr>
            <w:tcW w:w="46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 Reportable</w:t>
            </w: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 for Reportable Segments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Reconciliation to Consolidated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-110490</wp:posOffset>
            </wp:positionV>
            <wp:extent cx="564896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 and Other Income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Net Loss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121</w:t>
      </w:r>
    </w:p>
    <w:p>
      <w:pPr>
        <w:spacing w:after="0" w:line="27"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(1,695)</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68</w:t>
      </w:r>
    </w:p>
    <w:p>
      <w:pPr>
        <w:spacing w:after="0" w:line="2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(3,910)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8489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spacing w:after="0" w:line="3" w:lineRule="exact"/>
        <w:rPr>
          <w:sz w:val="20"/>
          <w:szCs w:val="20"/>
          <w:color w:val="auto"/>
        </w:rPr>
      </w:pPr>
    </w:p>
    <w:p>
      <w:pPr>
        <w:ind w:left="787" w:hanging="787"/>
        <w:spacing w:after="0"/>
        <w:tabs>
          <w:tab w:leader="none" w:pos="78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21590</wp:posOffset>
            </wp:positionV>
            <wp:extent cx="8489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48995" cy="889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38735</wp:posOffset>
            </wp:positionV>
            <wp:extent cx="8489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13" w:space="720"/>
            <w:col w:w="1386"/>
          </w:cols>
          <w:pgMar w:left="1440" w:top="513"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months ended September 30, 2024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8"/>
                <w:szCs w:val="18"/>
                <w:color w:val="auto"/>
              </w:rPr>
            </w:pPr>
          </w:p>
        </w:tc>
        <w:tc>
          <w:tcPr>
            <w:tcW w:w="160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for Reportable Segments</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Revenues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3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32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 Reportable</w:t>
            </w: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 for Reportable Segments</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Net Income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32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nine months ended September 30, 2025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10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8"/>
                <w:szCs w:val="18"/>
                <w:color w:val="auto"/>
              </w:rPr>
            </w:pPr>
          </w:p>
        </w:tc>
        <w:tc>
          <w:tcPr>
            <w:tcW w:w="160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4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35,970</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r>
      <w:tr>
        <w:trPr>
          <w:trHeight w:val="20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for Reportable Segments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43,328</w:t>
            </w:r>
          </w:p>
        </w:tc>
      </w:tr>
      <w:tr>
        <w:trPr>
          <w:trHeight w:val="230"/>
        </w:trPr>
        <w:tc>
          <w:tcPr>
            <w:tcW w:w="4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Revenues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4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43,632</w:t>
            </w:r>
          </w:p>
        </w:tc>
      </w:tr>
      <w:tr>
        <w:trPr>
          <w:trHeight w:val="197"/>
        </w:trPr>
        <w:tc>
          <w:tcPr>
            <w:tcW w:w="4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r>
      <w:tr>
        <w:trPr>
          <w:trHeight w:val="20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37,298</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20,609</w:t>
            </w:r>
          </w:p>
        </w:tc>
      </w:tr>
      <w:tr>
        <w:trPr>
          <w:trHeight w:val="178"/>
        </w:trPr>
        <w:tc>
          <w:tcPr>
            <w:tcW w:w="46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 Reportable</w:t>
            </w: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9,940</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 for Reportable Segments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i w:val="1"/>
          <w:iCs w:val="1"/>
          <w:color w:val="auto"/>
        </w:rPr>
        <w:t>Reconciliation to Consolidated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-110490</wp:posOffset>
            </wp:positionV>
            <wp:extent cx="564896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Investment and Other Income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64896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Consolidated Net Loss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304</w:t>
      </w:r>
    </w:p>
    <w:p>
      <w:pPr>
        <w:spacing w:after="0" w:line="27"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(5,108)</w:t>
      </w:r>
    </w:p>
    <w:p>
      <w:pPr>
        <w:spacing w:after="0" w:line="9" w:lineRule="exact"/>
        <w:rPr>
          <w:sz w:val="20"/>
          <w:szCs w:val="20"/>
          <w:color w:val="auto"/>
        </w:rPr>
      </w:pPr>
    </w:p>
    <w:p>
      <w:pPr>
        <w:jc w:val="right"/>
        <w:ind w:right="119"/>
        <w:spacing w:after="0"/>
        <w:rPr>
          <w:sz w:val="20"/>
          <w:szCs w:val="20"/>
          <w:color w:val="auto"/>
        </w:rPr>
      </w:pPr>
      <w:r>
        <w:rPr>
          <w:rFonts w:ascii="Times New Roman" w:cs="Times New Roman" w:eastAsia="Times New Roman" w:hAnsi="Times New Roman"/>
          <w:sz w:val="18"/>
          <w:szCs w:val="18"/>
          <w:color w:val="auto"/>
        </w:rPr>
        <w:t>160</w:t>
      </w:r>
    </w:p>
    <w:p>
      <w:pPr>
        <w:spacing w:after="0" w:line="23"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(11,822)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8489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48995" cy="8255"/>
                    </a:xfrm>
                    <a:prstGeom prst="rect">
                      <a:avLst/>
                    </a:prstGeom>
                    <a:noFill/>
                  </pic:spPr>
                </pic:pic>
              </a:graphicData>
            </a:graphic>
          </wp:anchor>
        </w:drawing>
      </w:r>
    </w:p>
    <w:p>
      <w:pPr>
        <w:spacing w:after="0" w:line="3" w:lineRule="exact"/>
        <w:rPr>
          <w:sz w:val="20"/>
          <w:szCs w:val="20"/>
          <w:color w:val="auto"/>
        </w:rPr>
      </w:pPr>
    </w:p>
    <w:p>
      <w:pPr>
        <w:ind w:left="787" w:hanging="787"/>
        <w:spacing w:after="0"/>
        <w:tabs>
          <w:tab w:leader="none" w:pos="78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21590</wp:posOffset>
            </wp:positionV>
            <wp:extent cx="8489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38735</wp:posOffset>
            </wp:positionV>
            <wp:extent cx="84899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13" w:space="720"/>
            <w:col w:w="1386"/>
          </w:cols>
          <w:pgMar w:left="1440" w:top="513"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Information about the Company’s operations in different segments for the nine months ended September 30, 2024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Commercial</w:t>
            </w:r>
          </w:p>
        </w:tc>
        <w:tc>
          <w:tcPr>
            <w:tcW w:w="1040" w:type="dxa"/>
            <w:vAlign w:val="bottom"/>
          </w:tcPr>
          <w:p>
            <w:pPr>
              <w:spacing w:after="0"/>
              <w:rPr>
                <w:sz w:val="18"/>
                <w:szCs w:val="18"/>
                <w:color w:val="auto"/>
              </w:rPr>
            </w:pPr>
          </w:p>
        </w:tc>
      </w:tr>
      <w:tr>
        <w:trPr>
          <w:trHeight w:val="216"/>
        </w:trPr>
        <w:tc>
          <w:tcPr>
            <w:tcW w:w="4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40" w:type="dxa"/>
            <w:vAlign w:val="bottom"/>
          </w:tcPr>
          <w:p>
            <w:pPr>
              <w:spacing w:after="0"/>
              <w:rPr>
                <w:sz w:val="18"/>
                <w:szCs w:val="18"/>
                <w:color w:val="auto"/>
              </w:rPr>
            </w:pPr>
          </w:p>
        </w:tc>
        <w:tc>
          <w:tcPr>
            <w:tcW w:w="1600" w:type="dxa"/>
            <w:vAlign w:val="bottom"/>
            <w:gridSpan w:val="3"/>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40" w:type="dxa"/>
            <w:vAlign w:val="bottom"/>
          </w:tcPr>
          <w:p>
            <w:pPr>
              <w:spacing w:after="0"/>
              <w:rPr>
                <w:sz w:val="18"/>
                <w:szCs w:val="18"/>
                <w:color w:val="auto"/>
              </w:rPr>
            </w:pPr>
          </w:p>
        </w:tc>
      </w:tr>
      <w:tr>
        <w:trPr>
          <w:trHeight w:val="238"/>
        </w:trPr>
        <w:tc>
          <w:tcPr>
            <w:tcW w:w="4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Properties</w:t>
            </w:r>
          </w:p>
        </w:tc>
        <w:tc>
          <w:tcPr>
            <w:tcW w:w="140" w:type="dxa"/>
            <w:vAlign w:val="bottom"/>
          </w:tcPr>
          <w:p>
            <w:pPr>
              <w:spacing w:after="0"/>
              <w:rPr>
                <w:sz w:val="20"/>
                <w:szCs w:val="20"/>
                <w:color w:val="auto"/>
              </w:rPr>
            </w:pPr>
          </w:p>
        </w:tc>
        <w:tc>
          <w:tcPr>
            <w:tcW w:w="1600" w:type="dxa"/>
            <w:vAlign w:val="bottom"/>
            <w:gridSpan w:val="3"/>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34,512</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r>
      <w:tr>
        <w:trPr>
          <w:trHeight w:val="20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for Reportable Segments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38,064</w:t>
            </w:r>
          </w:p>
        </w:tc>
      </w:tr>
      <w:tr>
        <w:trPr>
          <w:trHeight w:val="230"/>
        </w:trPr>
        <w:tc>
          <w:tcPr>
            <w:tcW w:w="4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Revenues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4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gridSpan w:val="2"/>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38,436</w:t>
            </w:r>
          </w:p>
        </w:tc>
      </w:tr>
      <w:tr>
        <w:trPr>
          <w:trHeight w:val="197"/>
        </w:trPr>
        <w:tc>
          <w:tcPr>
            <w:tcW w:w="4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r>
      <w:tr>
        <w:trPr>
          <w:trHeight w:val="20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 Less Direct Costs of Revenues</w:t>
            </w: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32,495</w:t>
            </w: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w:t>
            </w:r>
          </w:p>
        </w:tc>
      </w:tr>
      <w:tr>
        <w:trPr>
          <w:trHeight w:val="178"/>
        </w:trPr>
        <w:tc>
          <w:tcPr>
            <w:tcW w:w="46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Total Revenues Less Operating Expenses for Reportable</w:t>
            </w: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w:t>
            </w: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 for Reportable Segments</w:t>
            </w: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w:t>
            </w:r>
          </w:p>
        </w:tc>
      </w:tr>
      <w:tr>
        <w:trPr>
          <w:trHeight w:val="230"/>
        </w:trPr>
        <w:tc>
          <w:tcPr>
            <w:tcW w:w="4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to Consolidated Net Loss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r>
      <w:tr>
        <w:trPr>
          <w:trHeight w:val="20"/>
        </w:trPr>
        <w:tc>
          <w:tcPr>
            <w:tcW w:w="4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Capital expenditures of each segment for the three and nine months ended September 30, 2025 and 2024 are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1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4000" w:type="dxa"/>
            <w:vAlign w:val="bottom"/>
          </w:tcPr>
          <w:p>
            <w:pPr>
              <w:spacing w:after="0"/>
              <w:rPr>
                <w:sz w:val="16"/>
                <w:szCs w:val="16"/>
                <w:color w:val="auto"/>
              </w:rPr>
            </w:pPr>
          </w:p>
        </w:tc>
        <w:tc>
          <w:tcPr>
            <w:tcW w:w="1260" w:type="dxa"/>
            <w:vAlign w:val="bottom"/>
            <w:tcBorders>
              <w:top w:val="single" w:sz="8" w:color="auto"/>
            </w:tcBorders>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4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16"/>
                <w:szCs w:val="16"/>
                <w:color w:val="auto"/>
              </w:rPr>
            </w:pPr>
          </w:p>
        </w:tc>
        <w:tc>
          <w:tcPr>
            <w:tcW w:w="126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 w:type="dxa"/>
            <w:vAlign w:val="bottom"/>
          </w:tcPr>
          <w:p>
            <w:pPr>
              <w:spacing w:after="0"/>
              <w:rPr>
                <w:sz w:val="16"/>
                <w:szCs w:val="16"/>
                <w:color w:val="auto"/>
              </w:rPr>
            </w:pPr>
          </w:p>
        </w:tc>
      </w:tr>
      <w:tr>
        <w:trPr>
          <w:trHeight w:val="238"/>
        </w:trPr>
        <w:tc>
          <w:tcPr>
            <w:tcW w:w="40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27,175</w:t>
            </w:r>
          </w:p>
        </w:tc>
        <w:tc>
          <w:tcPr>
            <w:tcW w:w="10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67,514</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22,523</w:t>
            </w:r>
          </w:p>
        </w:tc>
        <w:tc>
          <w:tcPr>
            <w:tcW w:w="2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52,993</w:t>
            </w:r>
          </w:p>
        </w:tc>
        <w:tc>
          <w:tcPr>
            <w:tcW w:w="20" w:type="dxa"/>
            <w:vAlign w:val="bottom"/>
          </w:tcPr>
          <w:p>
            <w:pPr>
              <w:spacing w:after="0"/>
              <w:rPr>
                <w:sz w:val="18"/>
                <w:szCs w:val="18"/>
                <w:color w:val="auto"/>
              </w:rPr>
            </w:pPr>
          </w:p>
        </w:tc>
      </w:tr>
      <w:tr>
        <w:trPr>
          <w:trHeight w:val="209"/>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57,495</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49,255</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130,932</w:t>
            </w:r>
          </w:p>
        </w:tc>
        <w:tc>
          <w:tcPr>
            <w:tcW w:w="12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75,516</w:t>
            </w:r>
          </w:p>
        </w:tc>
        <w:tc>
          <w:tcPr>
            <w:tcW w:w="2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Identifiable assets of each segment as of September 30, 2025 and December 31, 2024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r>
      <w:tr>
        <w:trPr>
          <w:trHeight w:val="187"/>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6"/>
                <w:szCs w:val="16"/>
                <w:color w:val="auto"/>
              </w:rPr>
            </w:pPr>
          </w:p>
        </w:tc>
        <w:tc>
          <w:tcPr>
            <w:tcW w:w="12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507,276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497,765</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92,358</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w:t>
            </w:r>
          </w:p>
        </w:tc>
      </w:tr>
      <w:tr>
        <w:trPr>
          <w:trHeight w:val="21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621,424</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604,995</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Identifiable assets by segment are those assets that are used in the Company’s operations in each segment. Corporate and other assets consist primarily of cash and restricted cash as well as the interest rate swaps.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22. SUBSEQUENT EVENTS</w:t>
      </w:r>
    </w:p>
    <w:p>
      <w:pPr>
        <w:spacing w:after="0" w:line="24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Subsequent events and transactions were evaluated through October 23, 2025, the date the consolidated financial statements were issued.</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October 15, 2025, the Company originated a new first mortgage loan investment secured by a luxury residential development located in the Austin, Texas metropolitan area (the “October 2025 Loan”). The loan agreement for the October 2025 Loan provides for a phase one loan and a phase two loan. On October 15, 2025, the Company funded $14.1 million of the phase one loan, with a total commitment for the phase one loan of up to $29.5 million. The Company’s funding of the remainder of the phase one loan is subject to the borrower’s satisfaction of certain conditions. The total commitment for the phase two loan is up to $31.8 million, and the Company’s funding of loan commitments under the phase two loan is subject to the borrower’s satisfaction of certain conditions. The interest rate for all amounts funded under both the phase one and phase two loans, commencing at October 15, 2025, is 17.0%, inclusive of 4.0% paid-in-kind for the full term of the October 2025 Loan, and steps down to 16.0% during months seven to 12, and to 14.0% thereafter. The October 2025 Loan has 36-month term and will be repaid as collateralized home lots are sold.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discussion of forward-looking statements, see the section below entitled “Special Note Regarding Forward-Looking Statements.” Certain factors that could cause actual results or events to differ materially from those the Company anticipates or projects are described in “Part I, Item 1A. Risk Factors” of the Company’s Annual Report on Form 10-K for the year ended December 31, 2024, and in “Part II, Item 1A. Risk Factors” of this Quarterly Report on Form 10-Q.</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higher interest rates, and tariffs and international trade policies;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See “Part I, Item 1A. Risk Factors” of the Company’s Annual Report on Form 10-K for the year ended December 31, 2024 and “Part II, Item 1A. Risk Factors” of this Quarterly Report on Form 10-Q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Alpine Income Property Trust, Inc. is a Maryland corporation that conducts its operations so as to qualify as a REIT for U.S. federal income tax purposes. Substantially all of our operations are conducted through our Operating Partnership.</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seek to acquire, own and operate primarily freestanding, commercial retail real estate properties located in the United States primarily leased pursuant to long-term net leases.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 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acquired five properties for an aggregate purchase price of $60.8 million, or a cost of $61.1 million including capitalized acquisition costs. During the nine months ended September 30, 2025, the Company sold 11 properties for an aggregate sales price of $34.3 million, generating aggregate gains on sale of $2.0 million.</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2025, we owned 128 properties, including the three properties classified as commercial loans and investments, with an aggregate gross leasable area of 4.1 million square feet, located in 34 states, with a weighted average remaining lease term of 8.7 years. Our portfolio was 99% occupied as of September 30, 2025.</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As of September 30, 2025, the Company’s commercial loan investments portfolio had a total carrying value of $102.8 million and was comprised of five construction loans, six mortgage notes, and three properties acquired pursuant to a sale-leaseback transaction whereby the tenant has a future repurchase right.</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SEPTEMBER 30, 2025 AND 2024</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results of operations for the three months ended September 30, 2025, as compared to the three months ended September 30, 2024 (in thousands):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vMerge w:val="restart"/>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130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20"/>
                <w:szCs w:val="20"/>
                <w:b w:val="1"/>
                <w:bCs w:val="1"/>
                <w:color w:val="auto"/>
              </w:rPr>
              <w:t>September 30,</w:t>
            </w:r>
          </w:p>
        </w:tc>
        <w:tc>
          <w:tcPr>
            <w:tcW w:w="1240" w:type="dxa"/>
            <w:vAlign w:val="bottom"/>
            <w:tcBorders>
              <w:top w:val="single" w:sz="8" w:color="auto"/>
            </w:tcBorders>
            <w:gridSpan w:val="2"/>
          </w:tcPr>
          <w:p>
            <w:pPr>
              <w:ind w:left="20"/>
              <w:spacing w:after="0" w:line="196" w:lineRule="exact"/>
              <w:rPr>
                <w:sz w:val="20"/>
                <w:szCs w:val="20"/>
                <w:color w:val="auto"/>
              </w:rPr>
            </w:pPr>
            <w:r>
              <w:rPr>
                <w:rFonts w:ascii="Times New Roman" w:cs="Times New Roman" w:eastAsia="Times New Roman" w:hAnsi="Times New Roman"/>
                <w:sz w:val="20"/>
                <w:szCs w:val="20"/>
                <w:b w:val="1"/>
                <w:bCs w:val="1"/>
                <w:color w:val="auto"/>
                <w:w w:val="98"/>
              </w:rPr>
              <w:t>September 30,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7"/>
              </w:rPr>
              <w:t>Variance</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Variance</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Revenues:</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Lease Income</w:t>
            </w:r>
          </w:p>
        </w:tc>
        <w:tc>
          <w:tcPr>
            <w:tcW w:w="2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12,122</w:t>
            </w:r>
          </w:p>
        </w:tc>
        <w:tc>
          <w:tcPr>
            <w:tcW w:w="1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11,718</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20"/>
                <w:szCs w:val="20"/>
                <w:color w:val="auto"/>
              </w:rPr>
              <w:t>Interest Income from Commercial Loans and</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Investments</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2,320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1,663</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657</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39.5%</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Other Revenue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22.2%</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Revenues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14,563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13,480</w:t>
            </w: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1,083</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Operating Expenses: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Real Estate Expenses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1,841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29"/>
        </w:trPr>
        <w:tc>
          <w:tcPr>
            <w:tcW w:w="4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(148)</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Provision for Impairment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422</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1,493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353.8%</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6,340</w:t>
            </w: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Operating Expenses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12,098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10,446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1,652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15.8%</w:t>
            </w:r>
          </w:p>
        </w:tc>
        <w:tc>
          <w:tcPr>
            <w:tcW w:w="0" w:type="dxa"/>
            <w:vAlign w:val="bottom"/>
          </w:tcPr>
          <w:p>
            <w:pPr>
              <w:spacing w:after="0"/>
              <w:rPr>
                <w:sz w:val="1"/>
                <w:szCs w:val="1"/>
                <w:color w:val="auto"/>
              </w:rPr>
            </w:pPr>
          </w:p>
        </w:tc>
      </w:tr>
      <w:tr>
        <w:trPr>
          <w:trHeight w:val="229"/>
        </w:trPr>
        <w:tc>
          <w:tcPr>
            <w:tcW w:w="4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Gain (Loss) on Disposition of Assets</w:t>
            </w: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(46)</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(3,472)</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Net Income from Operations</w:t>
            </w:r>
          </w:p>
        </w:tc>
        <w:tc>
          <w:tcPr>
            <w:tcW w:w="2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2,419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6,460</w:t>
            </w: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(4,041)</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(62.6)%</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and Other Income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(3,910)</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(3,167)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(743)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Net Income (Loss)</w:t>
            </w: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(1,423)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3,354</w:t>
            </w:r>
          </w:p>
        </w:tc>
        <w:tc>
          <w:tcPr>
            <w:tcW w:w="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(4,777)</w:t>
            </w:r>
          </w:p>
        </w:tc>
        <w:tc>
          <w:tcPr>
            <w:tcW w:w="80" w:type="dxa"/>
            <w:vAlign w:val="bottom"/>
          </w:tcPr>
          <w:p>
            <w:pPr>
              <w:spacing w:after="0"/>
              <w:rPr>
                <w:sz w:val="19"/>
                <w:szCs w:val="19"/>
                <w:color w:val="auto"/>
              </w:rPr>
            </w:pPr>
          </w:p>
        </w:tc>
        <w:tc>
          <w:tcPr>
            <w:tcW w:w="9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(142.4)%</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20"/>
                <w:szCs w:val="20"/>
                <w:color w:val="auto"/>
              </w:rPr>
              <w:t>Less: Net Loss (Income) Attributable to</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Noncontrolling Interest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387</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141.2%</w:t>
            </w:r>
          </w:p>
        </w:tc>
        <w:tc>
          <w:tcPr>
            <w:tcW w:w="0" w:type="dxa"/>
            <w:vAlign w:val="bottom"/>
          </w:tcPr>
          <w:p>
            <w:pPr>
              <w:spacing w:after="0"/>
              <w:rPr>
                <w:sz w:val="1"/>
                <w:szCs w:val="1"/>
                <w:color w:val="auto"/>
              </w:rPr>
            </w:pPr>
          </w:p>
        </w:tc>
      </w:tr>
      <w:tr>
        <w:trPr>
          <w:trHeight w:val="187"/>
        </w:trPr>
        <w:tc>
          <w:tcPr>
            <w:tcW w:w="424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Net Income (Loss) Attributable to Alpine Income</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(1,310)</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3,080</w:t>
            </w:r>
          </w:p>
        </w:tc>
        <w:tc>
          <w:tcPr>
            <w:tcW w:w="6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(4,390)</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(142.5)%</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Property Trust, Inc.</w:t>
            </w:r>
          </w:p>
        </w:tc>
        <w:tc>
          <w:tcPr>
            <w:tcW w:w="240" w:type="dxa"/>
            <w:vAlign w:val="bottom"/>
            <w:vMerge w:val="continue"/>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Income and Real Estate Expenses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Revenue from our property operations totaled $12.1 million and $11.7 million during the three months ended September 30, 2025 and 2024, respectively. The $0.4 million increase in lease income is primarily attributable to an increase in rents due to the volume of property acquisitions versus dispositions. The direct costs of revenues for our income properties totaled $1.9 million and $1.8 million during the three months ended September 30, 2025 and 2024,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389"/>
        <w:spacing w:after="0" w:line="255" w:lineRule="auto"/>
        <w:rPr>
          <w:sz w:val="20"/>
          <w:szCs w:val="20"/>
          <w:color w:val="auto"/>
        </w:rPr>
      </w:pPr>
      <w:r>
        <w:rPr>
          <w:rFonts w:ascii="Times New Roman" w:cs="Times New Roman" w:eastAsia="Times New Roman" w:hAnsi="Times New Roman"/>
          <w:sz w:val="18"/>
          <w:szCs w:val="18"/>
          <w:color w:val="auto"/>
        </w:rPr>
        <w:t>Interest income from commercial loans and investments totaled $2.3 million and $1.7 million for the three months ended September 30, 2025 and 2024, respectively. The $0.6 million increase in income is attributable to the expanded portfolio of commercial loans and investments which, as of September 30, 2025, was comprised of five construction loans, six mortgage notes, and three properties acquired pursuant to a sale-leaseback transaction whereby the tenant has a future repurchase right. As of September 30, 2024, the Company’s portfolio of commercial loans and investments was comprised of five construction loans, one mortgage note, and three properties acquired pursuant to a sale-leaseback transaction whereby the tenant has a future repurchase right.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Other revenue totaled $0.1 million for the three months ended September 30, 2025 and 2024. The revenue is attributable to fees earned from a revenue sharing agreement the Company entered into with CTO as further described in Note 19, “Related Party Management Company” in the Notes to the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the Company’s general and administrative expenses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as compared to the three months ended September 30, 2024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7"/>
        </w:trPr>
        <w:tc>
          <w:tcPr>
            <w:tcW w:w="4260" w:type="dxa"/>
            <w:vAlign w:val="bottom"/>
          </w:tcPr>
          <w:p>
            <w:pPr>
              <w:spacing w:after="0"/>
              <w:rPr>
                <w:sz w:val="16"/>
                <w:szCs w:val="16"/>
                <w:color w:val="auto"/>
              </w:rPr>
            </w:pPr>
          </w:p>
        </w:tc>
        <w:tc>
          <w:tcPr>
            <w:tcW w:w="12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8"/>
        </w:trPr>
        <w:tc>
          <w:tcPr>
            <w:tcW w:w="4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Variance</w:t>
            </w:r>
          </w:p>
        </w:tc>
      </w:tr>
      <w:tr>
        <w:trPr>
          <w:trHeight w:val="209"/>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to Manager</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Compensation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&amp; Officer Insurance Expense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General and Administrative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09"/>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4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totaled $1.7 million and $1.8 million during the three months ended September 30, 2025 and 2024, respectively. The $0.1 million decrease is primarily the result of decreases in corporate legal and consulting fees.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 for Impairment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212529"/>
        </w:rPr>
        <w:t>As further described in Note 7, “Provision for Impairment,” d</w:t>
      </w:r>
      <w:r>
        <w:rPr>
          <w:rFonts w:ascii="Times New Roman" w:cs="Times New Roman" w:eastAsia="Times New Roman" w:hAnsi="Times New Roman"/>
          <w:sz w:val="18"/>
          <w:szCs w:val="18"/>
          <w:color w:val="000000"/>
        </w:rPr>
        <w:t>uring the three months ended September 30, 2025,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Company recorded a $1.9 million impairment charge r</w:t>
      </w:r>
      <w:r>
        <w:rPr>
          <w:rFonts w:ascii="Times New Roman" w:cs="Times New Roman" w:eastAsia="Times New Roman" w:hAnsi="Times New Roman"/>
          <w:sz w:val="18"/>
          <w:szCs w:val="18"/>
          <w:color w:val="212529"/>
        </w:rPr>
        <w:t>epresenting the provision for losses related to a certain income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property, for which the Company’s current intent is to dispose of such property in </w:t>
      </w:r>
      <w:r>
        <w:rPr>
          <w:rFonts w:ascii="Times New Roman" w:cs="Times New Roman" w:eastAsia="Times New Roman" w:hAnsi="Times New Roman"/>
          <w:sz w:val="18"/>
          <w:szCs w:val="18"/>
          <w:color w:val="000000"/>
        </w:rPr>
        <w:t>order to facilitate the re-investment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proceeds therefrom into new investment opportunities, </w:t>
      </w:r>
      <w:r>
        <w:rPr>
          <w:rFonts w:ascii="Times New Roman" w:cs="Times New Roman" w:eastAsia="Times New Roman" w:hAnsi="Times New Roman"/>
          <w:sz w:val="18"/>
          <w:szCs w:val="18"/>
          <w:color w:val="212529"/>
        </w:rPr>
        <w:t>and</w:t>
      </w:r>
      <w:r>
        <w:rPr>
          <w:rFonts w:ascii="Times New Roman" w:cs="Times New Roman" w:eastAsia="Times New Roman" w:hAnsi="Times New Roman"/>
          <w:sz w:val="18"/>
          <w:szCs w:val="18"/>
          <w:color w:val="000000"/>
        </w:rPr>
        <w:t xml:space="preserve"> a $0.1 million adjustment to the provision for impairment r</w:t>
      </w:r>
      <w:r>
        <w:rPr>
          <w:rFonts w:ascii="Times New Roman" w:cs="Times New Roman" w:eastAsia="Times New Roman" w:hAnsi="Times New Roman"/>
          <w:sz w:val="18"/>
          <w:szCs w:val="18"/>
          <w:color w:val="212529"/>
        </w:rPr>
        <w:t>epresenting the reduction in</w:t>
      </w:r>
      <w:r>
        <w:rPr>
          <w:rFonts w:ascii="Times New Roman" w:cs="Times New Roman" w:eastAsia="Times New Roman" w:hAnsi="Times New Roman"/>
          <w:sz w:val="18"/>
          <w:szCs w:val="18"/>
          <w:color w:val="000000"/>
        </w:rPr>
        <w:t xml:space="preserve"> current expected credit losses (“CECL”) reserve related to our commercial loans and investments due to the decrease in principal outstanding as compared to June 30, 2025. During the three months ended September 30, 2024, </w:t>
      </w:r>
      <w:r>
        <w:rPr>
          <w:rFonts w:ascii="Times New Roman" w:cs="Times New Roman" w:eastAsia="Times New Roman" w:hAnsi="Times New Roman"/>
          <w:sz w:val="18"/>
          <w:szCs w:val="18"/>
          <w:color w:val="212529"/>
        </w:rPr>
        <w:t>the Company recorded a $0.4 million impairment charge</w:t>
      </w:r>
      <w:r>
        <w:rPr>
          <w:rFonts w:ascii="Times New Roman" w:cs="Times New Roman" w:eastAsia="Times New Roman" w:hAnsi="Times New Roman"/>
          <w:sz w:val="18"/>
          <w:szCs w:val="18"/>
          <w:color w:val="000000"/>
        </w:rPr>
        <w:t xml:space="preserve"> which represents the increase in the CECL reserve related to our commercial loans and investments.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$6.6 million and $6.3 million during the three months ended September 30, 2025 and 2024, respectively. The $0.3 million increase in depreciation and amortization expense is reflective of the increase in asset cost basis of the Company’s income property portfolio.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(Loss) on Disposition of Assets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sold three properties for an aggregate sales price of $6.2 million, generating an aggregate loss on sale of less than $0.1 million. During the three months ended September 30, 2024, the Company sold eight properties for an aggregate sales price of $48.6 million, generating aggregate gains on sale of $3.4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229" w:lineRule="exact"/>
        <w:rPr>
          <w:sz w:val="20"/>
          <w:szCs w:val="20"/>
          <w:color w:val="auto"/>
        </w:rPr>
      </w:pPr>
    </w:p>
    <w:p>
      <w:pPr>
        <w:jc w:val="both"/>
        <w:ind w:left="60" w:right="79" w:firstLine="328"/>
        <w:spacing w:after="0" w:line="282" w:lineRule="auto"/>
        <w:rPr>
          <w:sz w:val="20"/>
          <w:szCs w:val="20"/>
          <w:color w:val="auto"/>
        </w:rPr>
      </w:pPr>
      <w:r>
        <w:rPr>
          <w:rFonts w:ascii="Times New Roman" w:cs="Times New Roman" w:eastAsia="Times New Roman" w:hAnsi="Times New Roman"/>
          <w:sz w:val="18"/>
          <w:szCs w:val="18"/>
          <w:color w:val="auto"/>
        </w:rPr>
        <w:t>Investment and other income was relatively flat and totaled $0.1 million during each of the three month periods ended September 30, 2025 and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Interest expense totaled $3.9 million and $3.2 million during the three months ended September 30, 2025 and 2024, respectively. The $0.7 million increase in interest expense is attributable to the higher average outstanding balance on the Company’s Credit Facility as well as an increase in the fixed interest for the 2027 Term Loan effective in November of 2024. The overall increase in the Company’s long-term debt was primarily utilized to fund the acquisition of properties and commercial loans and investments during the nine months ended September 30,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Net loss totaled $1.4 million and net income totaled $3.4 million during the three months ended September 30, 2025 and 2024, respectively. The $4.8 million decrease in net income is attributable to the factors described above, most notably the $3.5 million decrease of gains on sales of properties, the $1.5 million increase in provision for impairment, as well as the $0.7 million increase in interest expense, which is partially offset by the $1.1 million increase in total revenues.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SEPTEMBER 30, 2025 AND 2024</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results of operations for the nine months ended September 30, 2025, as compared to the nine months ended September 30, 2024 (in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60" w:type="dxa"/>
            <w:vAlign w:val="bottom"/>
            <w:gridSpan w:val="5"/>
          </w:tcPr>
          <w:p>
            <w:pPr>
              <w:ind w:left="160"/>
              <w:spacing w:after="0"/>
              <w:rPr>
                <w:sz w:val="20"/>
                <w:szCs w:val="20"/>
                <w:color w:val="auto"/>
              </w:rPr>
            </w:pPr>
            <w:r>
              <w:rPr>
                <w:rFonts w:ascii="Times New Roman" w:cs="Times New Roman" w:eastAsia="Times New Roman" w:hAnsi="Times New Roman"/>
                <w:sz w:val="20"/>
                <w:szCs w:val="20"/>
                <w:b w:val="1"/>
                <w:bCs w:val="1"/>
                <w:color w:val="auto"/>
              </w:rPr>
              <w:t>Nine Months Ended</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vMerge w:val="restart"/>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540" w:type="dxa"/>
            <w:vAlign w:val="bottom"/>
            <w:tcBorders>
              <w:top w:val="single" w:sz="8" w:color="auto"/>
            </w:tcBorders>
            <w:gridSpan w:val="5"/>
          </w:tcPr>
          <w:p>
            <w:pPr>
              <w:ind w:left="20"/>
              <w:spacing w:after="0" w:line="196" w:lineRule="exact"/>
              <w:rPr>
                <w:sz w:val="20"/>
                <w:szCs w:val="20"/>
                <w:color w:val="auto"/>
              </w:rPr>
            </w:pPr>
            <w:r>
              <w:rPr>
                <w:rFonts w:ascii="Times New Roman" w:cs="Times New Roman" w:eastAsia="Times New Roman" w:hAnsi="Times New Roman"/>
                <w:sz w:val="20"/>
                <w:szCs w:val="20"/>
                <w:b w:val="1"/>
                <w:bCs w:val="1"/>
                <w:color w:val="auto"/>
              </w:rPr>
              <w:t>September 30, 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7"/>
              </w:rPr>
              <w:t>Variance</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Variance</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Revenues:</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Lease Income</w:t>
            </w:r>
          </w:p>
        </w:tc>
        <w:tc>
          <w:tcPr>
            <w:tcW w:w="2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35,970</w:t>
            </w:r>
          </w:p>
        </w:tc>
        <w:tc>
          <w:tcPr>
            <w:tcW w:w="80" w:type="dxa"/>
            <w:vAlign w:val="bottom"/>
          </w:tcPr>
          <w:p>
            <w:pPr>
              <w:spacing w:after="0"/>
              <w:rPr>
                <w:sz w:val="19"/>
                <w:szCs w:val="19"/>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34,512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ind w:left="120"/>
              <w:spacing w:after="0" w:line="207" w:lineRule="exact"/>
              <w:rPr>
                <w:sz w:val="20"/>
                <w:szCs w:val="20"/>
                <w:color w:val="auto"/>
              </w:rPr>
            </w:pPr>
            <w:r>
              <w:rPr>
                <w:rFonts w:ascii="Times New Roman" w:cs="Times New Roman" w:eastAsia="Times New Roman" w:hAnsi="Times New Roman"/>
                <w:sz w:val="20"/>
                <w:szCs w:val="20"/>
                <w:color w:val="auto"/>
              </w:rPr>
              <w:t>Interest Income from Commercial Loans and</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Investments</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7,358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3,552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3,806</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107.2%</w:t>
            </w:r>
          </w:p>
        </w:tc>
        <w:tc>
          <w:tcPr>
            <w:tcW w:w="0" w:type="dxa"/>
            <w:vAlign w:val="bottom"/>
          </w:tcPr>
          <w:p>
            <w:pPr>
              <w:spacing w:after="0"/>
              <w:rPr>
                <w:sz w:val="1"/>
                <w:szCs w:val="1"/>
                <w:color w:val="auto"/>
              </w:rPr>
            </w:pPr>
          </w:p>
        </w:tc>
      </w:tr>
      <w:tr>
        <w:trPr>
          <w:trHeight w:val="230"/>
        </w:trPr>
        <w:tc>
          <w:tcPr>
            <w:tcW w:w="4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Revenue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(68)</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Revenues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43,632</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38,436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5,196</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13.5%</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Operating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Real Estate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5,569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461</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30"/>
        </w:trPr>
        <w:tc>
          <w:tcPr>
            <w:tcW w:w="4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Provision for Impairment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5,639</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508.0%</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20,609</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19,074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1,535</w:t>
            </w: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Operating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38,496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30,740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7,756</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25.2%</w:t>
            </w:r>
          </w:p>
        </w:tc>
        <w:tc>
          <w:tcPr>
            <w:tcW w:w="0" w:type="dxa"/>
            <w:vAlign w:val="bottom"/>
          </w:tcPr>
          <w:p>
            <w:pPr>
              <w:spacing w:after="0"/>
              <w:rPr>
                <w:sz w:val="1"/>
                <w:szCs w:val="1"/>
                <w:color w:val="auto"/>
              </w:rPr>
            </w:pPr>
          </w:p>
        </w:tc>
      </w:tr>
      <w:tr>
        <w:trPr>
          <w:trHeight w:val="230"/>
        </w:trPr>
        <w:tc>
          <w:tcPr>
            <w:tcW w:w="42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Gain on Disposition of Assets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(2,301)</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20"/>
                <w:szCs w:val="20"/>
                <w:color w:val="auto"/>
              </w:rPr>
              <w:t>Net Income from Operations</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7,179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12,040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(4,861)</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(40.4)%</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Investment and Other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(26)</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Interest Expense</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(11,822)</w:t>
            </w: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(8,933)</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(2,889)</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(32.3)%</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Net Income (Loss)</w:t>
            </w: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(4,483)</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3,293</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(7,776)</w:t>
            </w:r>
          </w:p>
        </w:tc>
        <w:tc>
          <w:tcPr>
            <w:tcW w:w="80" w:type="dxa"/>
            <w:vAlign w:val="bottom"/>
          </w:tcPr>
          <w:p>
            <w:pPr>
              <w:spacing w:after="0"/>
              <w:rPr>
                <w:sz w:val="19"/>
                <w:szCs w:val="19"/>
                <w:color w:val="auto"/>
              </w:rPr>
            </w:pPr>
          </w:p>
        </w:tc>
        <w:tc>
          <w:tcPr>
            <w:tcW w:w="940" w:type="dxa"/>
            <w:vAlign w:val="bottom"/>
            <w:tcBorders>
              <w:top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(236.1)%</w:t>
            </w:r>
          </w:p>
        </w:tc>
        <w:tc>
          <w:tcPr>
            <w:tcW w:w="0" w:type="dxa"/>
            <w:vAlign w:val="bottom"/>
          </w:tcPr>
          <w:p>
            <w:pPr>
              <w:spacing w:after="0"/>
              <w:rPr>
                <w:sz w:val="1"/>
                <w:szCs w:val="1"/>
                <w:color w:val="auto"/>
              </w:rPr>
            </w:pPr>
          </w:p>
        </w:tc>
      </w:tr>
      <w:tr>
        <w:trPr>
          <w:trHeight w:val="207"/>
        </w:trPr>
        <w:tc>
          <w:tcPr>
            <w:tcW w:w="424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20"/>
                <w:szCs w:val="20"/>
                <w:color w:val="auto"/>
              </w:rPr>
              <w:t>Less: Net Loss (Income) Attributable to</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20"/>
                <w:szCs w:val="20"/>
                <w:color w:val="auto"/>
              </w:rPr>
              <w:t>Noncontrolling Interest</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(269)</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622</w:t>
            </w:r>
          </w:p>
        </w:tc>
        <w:tc>
          <w:tcPr>
            <w:tcW w:w="8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231.2%</w:t>
            </w:r>
          </w:p>
        </w:tc>
        <w:tc>
          <w:tcPr>
            <w:tcW w:w="0" w:type="dxa"/>
            <w:vAlign w:val="bottom"/>
          </w:tcPr>
          <w:p>
            <w:pPr>
              <w:spacing w:after="0"/>
              <w:rPr>
                <w:sz w:val="1"/>
                <w:szCs w:val="1"/>
                <w:color w:val="auto"/>
              </w:rPr>
            </w:pPr>
          </w:p>
        </w:tc>
      </w:tr>
      <w:tr>
        <w:trPr>
          <w:trHeight w:val="187"/>
        </w:trPr>
        <w:tc>
          <w:tcPr>
            <w:tcW w:w="4240" w:type="dxa"/>
            <w:vAlign w:val="bottom"/>
          </w:tcPr>
          <w:p>
            <w:pPr>
              <w:ind w:left="20"/>
              <w:spacing w:after="0" w:line="186" w:lineRule="exact"/>
              <w:rPr>
                <w:sz w:val="20"/>
                <w:szCs w:val="20"/>
                <w:color w:val="auto"/>
              </w:rPr>
            </w:pPr>
            <w:r>
              <w:rPr>
                <w:rFonts w:ascii="Times New Roman" w:cs="Times New Roman" w:eastAsia="Times New Roman" w:hAnsi="Times New Roman"/>
                <w:sz w:val="20"/>
                <w:szCs w:val="20"/>
                <w:color w:val="auto"/>
              </w:rPr>
              <w:t>Net Income (Loss) Attributable to Alpine Income</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(4,130)</w:t>
            </w:r>
          </w:p>
        </w:tc>
        <w:tc>
          <w:tcPr>
            <w:tcW w:w="26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3,024</w:t>
            </w:r>
          </w:p>
        </w:tc>
        <w:tc>
          <w:tcPr>
            <w:tcW w:w="8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(7,154)</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(236.6)%</w:t>
            </w:r>
          </w:p>
        </w:tc>
        <w:tc>
          <w:tcPr>
            <w:tcW w:w="0" w:type="dxa"/>
            <w:vAlign w:val="bottom"/>
          </w:tcPr>
          <w:p>
            <w:pPr>
              <w:spacing w:after="0"/>
              <w:rPr>
                <w:sz w:val="1"/>
                <w:szCs w:val="1"/>
                <w:color w:val="auto"/>
              </w:rPr>
            </w:pPr>
          </w:p>
        </w:tc>
      </w:tr>
      <w:tr>
        <w:trPr>
          <w:trHeight w:val="239"/>
        </w:trPr>
        <w:tc>
          <w:tcPr>
            <w:tcW w:w="4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Property Trust, Inc.</w:t>
            </w:r>
          </w:p>
        </w:tc>
        <w:tc>
          <w:tcPr>
            <w:tcW w:w="260" w:type="dxa"/>
            <w:vAlign w:val="bottom"/>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Income and Real Estate Expenses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from our property operations totaled $36.0 million and $34.5 million during the nine months ended September 30, 2025 and 2024, respectively. The $1.5 million increase in lease income is primarily attributable to an increase in rents due to the volume of property acquisitions versus dispositions. The direct costs of revenues for our income properties totaled $6.0 million and $5.6 million during the nine months ended September 30, 2025 and 2024, respectively. The $0.4 million increase in the direct cost of revenues is reflective of increased reimbursable expenses.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Interest income from commercial loans and investments totaled $7.4 million and $3.6 million for the nine months ended September 30, 2025 and 2024, respectively. The $3.8 million increase in income is attributable to the expanded portfolio of commercial loans and investments which, as of September 30, 2025, was comprised of five construction loans, six mortgage notes, and three properties acquired pursuant to a sale-leaseback transaction whereby the tenant has a future repurchase right. As of September 30, 2024, the Company’s portfolio of commercial loans and investments was comprised of five construction loans, one mortgage note, and three properties acquired pursuant to a sale-leaseback transaction whereby the tenant has a future repurchase right.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revenue totaled $0.3 million and $0.4 million for the nine months ended September 30, 2025 and 2024, respectively. The revenue is attributable to fees earned from a revenue sharing agreement the Company entered into with CTO as further described in Note 19, “Related Party Management Company” in the Notes to the Financial Statements. The $0.1 million decrease is attributable to leasing commissions earned during the nine months ended September 30,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the Company’s general and administrative expenses for the nine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2025, as compared to the nine months ended September 30, 2024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87"/>
        </w:trPr>
        <w:tc>
          <w:tcPr>
            <w:tcW w:w="4260" w:type="dxa"/>
            <w:vAlign w:val="bottom"/>
          </w:tcPr>
          <w:p>
            <w:pPr>
              <w:spacing w:after="0"/>
              <w:rPr>
                <w:sz w:val="16"/>
                <w:szCs w:val="16"/>
                <w:color w:val="auto"/>
              </w:rPr>
            </w:pPr>
          </w:p>
        </w:tc>
        <w:tc>
          <w:tcPr>
            <w:tcW w:w="1220" w:type="dxa"/>
            <w:vAlign w:val="bottom"/>
            <w:tcBorders>
              <w:top w:val="single" w:sz="8" w:color="auto"/>
            </w:tcBorders>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8"/>
        </w:trPr>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Variance</w:t>
            </w: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to Manager</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Compensation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16"/>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&amp; Officer Insurance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General and Administrative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0"/>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totaled $5.1 million and $5.0 million during the nine months ended September 30, 2025 and 2024, respectively. The $0.1 million increase is primarily the result of increases in the management fee and director compensation, partially offset by a decrease in corporate legal and consulting fees.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 for Impairment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212529"/>
        </w:rPr>
        <w:t>As further described in Note 7, “Provision for Impairment”, d</w:t>
      </w:r>
      <w:r>
        <w:rPr>
          <w:rFonts w:ascii="Times New Roman" w:cs="Times New Roman" w:eastAsia="Times New Roman" w:hAnsi="Times New Roman"/>
          <w:sz w:val="18"/>
          <w:szCs w:val="18"/>
          <w:color w:val="000000"/>
        </w:rPr>
        <w:t>uring the nine months ended September 30, 2025,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Company recorded a $6.6 million impairment charge r</w:t>
      </w:r>
      <w:r>
        <w:rPr>
          <w:rFonts w:ascii="Times New Roman" w:cs="Times New Roman" w:eastAsia="Times New Roman" w:hAnsi="Times New Roman"/>
          <w:sz w:val="18"/>
          <w:szCs w:val="18"/>
          <w:color w:val="212529"/>
        </w:rPr>
        <w:t>epresenting the provision for losses related to certain income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properties, for which the Company’s current intent is to dispose of such properties in </w:t>
      </w:r>
      <w:r>
        <w:rPr>
          <w:rFonts w:ascii="Times New Roman" w:cs="Times New Roman" w:eastAsia="Times New Roman" w:hAnsi="Times New Roman"/>
          <w:sz w:val="18"/>
          <w:szCs w:val="18"/>
          <w:color w:val="000000"/>
        </w:rPr>
        <w:t>order to facilitate the re-investment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the proceeds therefrom into new investment opportunities, </w:t>
      </w:r>
      <w:r>
        <w:rPr>
          <w:rFonts w:ascii="Times New Roman" w:cs="Times New Roman" w:eastAsia="Times New Roman" w:hAnsi="Times New Roman"/>
          <w:sz w:val="18"/>
          <w:szCs w:val="18"/>
          <w:color w:val="212529"/>
        </w:rPr>
        <w:t>and a $0.1 million impairment charge</w:t>
      </w:r>
      <w:r>
        <w:rPr>
          <w:rFonts w:ascii="Times New Roman" w:cs="Times New Roman" w:eastAsia="Times New Roman" w:hAnsi="Times New Roman"/>
          <w:sz w:val="18"/>
          <w:szCs w:val="18"/>
          <w:color w:val="000000"/>
        </w:rPr>
        <w:t xml:space="preserve"> which represents the change in our CECL reserve related to our commercial loans and investments. During the nine months ended September 30, 2024, </w:t>
      </w:r>
      <w:r>
        <w:rPr>
          <w:rFonts w:ascii="Times New Roman" w:cs="Times New Roman" w:eastAsia="Times New Roman" w:hAnsi="Times New Roman"/>
          <w:sz w:val="18"/>
          <w:szCs w:val="18"/>
          <w:color w:val="212529"/>
        </w:rPr>
        <w:t>the Company recorded a $0.6 million impairment charge representing the provision for losses related to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income properties, and a $0.5 million impairment charge </w:t>
      </w:r>
      <w:r>
        <w:rPr>
          <w:rFonts w:ascii="Times New Roman" w:cs="Times New Roman" w:eastAsia="Times New Roman" w:hAnsi="Times New Roman"/>
          <w:sz w:val="18"/>
          <w:szCs w:val="18"/>
          <w:color w:val="000000"/>
        </w:rPr>
        <w:t>which represents the change in our CECL reserve related to our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commercial loans and investments.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$20.6 million and $19.1 million during the nine months ended September 30, 2025 and 2024, respectively. The $1.5 million increase in depreciation and amortization expense is reflective of the increase in asset cost basis of the Company’s income property portfolio.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sold 11 properties for an aggregate sales price of $34.3 million, generating aggregate gains on sale of $2.0 million. During the nine months ended September 30, 2024, the Company sold 10 properties for an aggregate sales price of $55.2 million, generating aggregate gains on sale of $4.3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229" w:lineRule="exact"/>
        <w:rPr>
          <w:sz w:val="20"/>
          <w:szCs w:val="20"/>
          <w:color w:val="auto"/>
        </w:rPr>
      </w:pPr>
    </w:p>
    <w:p>
      <w:pPr>
        <w:jc w:val="both"/>
        <w:ind w:left="60" w:right="79" w:firstLine="342"/>
        <w:spacing w:after="0" w:line="282" w:lineRule="auto"/>
        <w:rPr>
          <w:sz w:val="20"/>
          <w:szCs w:val="20"/>
          <w:color w:val="auto"/>
        </w:rPr>
      </w:pPr>
      <w:r>
        <w:rPr>
          <w:rFonts w:ascii="Times New Roman" w:cs="Times New Roman" w:eastAsia="Times New Roman" w:hAnsi="Times New Roman"/>
          <w:sz w:val="18"/>
          <w:szCs w:val="18"/>
          <w:color w:val="auto"/>
        </w:rPr>
        <w:t>Investment and other income was relatively flat and totaled $0.2 million during each of the nine month periods ended September 30, 2025 and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Interest expense totaled $11.8 million and $8.9 million during the nine months ended September 30, 2025 and 2024, respectively. The $2.9 million increase in interest expense is attributable to the higher average outstanding balance on the Company’s Credit Facility as well as increase in the fixed interest for the 2027 Term Loan effective in November of 2024. The overall increase in the Company’s long-term debt was primarily utilized to fund the acquisition of properties and commercial loans and investments during the nine months ended September 30,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Net loss totaled $4.5 million and net income totaled $3.3 million during the nine months ended September 30, 2025 and 2024, respectively. The $7.8 million decrease in net income is attributable to the factors described above, most notably the $5.6 million increase in provision for impairment, the $2.3 million decrease in gains on sale of properties, and an additional $2.9 million increase in interest expense, partially offset by the $5.2 million increase in total revenues.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Cash totaled $6.6 million as of September 30, 2025, including restricted cash of $5.5 million. See Note 2 “Summary of Significant Accounting Policies” under the heading Restricted Cash for the Company’s disclosure related to its restricted cash balance as of September 30, 2025.</w:t>
      </w:r>
    </w:p>
    <w:p>
      <w:pPr>
        <w:spacing w:after="0" w:line="17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As of September 30, 2025, the commitment level under the Credit Facility was $250.0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had an outstanding balance of $158.5 million and $60.2 million of available capacity. The Company also had $200.0 million in term loans outstanding as of September 30, 2025. See Note 13, “Long-Term Debt” for the Company’s disclosure related to its long-term debt balance at September 30, 2025.</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and Dispositions. </w:t>
      </w:r>
      <w:r>
        <w:rPr>
          <w:rFonts w:ascii="Times New Roman" w:cs="Times New Roman" w:eastAsia="Times New Roman" w:hAnsi="Times New Roman"/>
          <w:sz w:val="18"/>
          <w:szCs w:val="18"/>
          <w:color w:val="auto"/>
        </w:rPr>
        <w:t>As further described in Note 3, “Property Portfolio,” during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2025, the Company acquired five properties for an aggregate purchase price of $60.8 million, or a cost of $61.1 million including capitalized acquisition costs, and sold 11 properties for an aggregate sales price of $34.3 million, generating aggregate gains on sale of $2.0 million.</w:t>
      </w:r>
    </w:p>
    <w:p>
      <w:pPr>
        <w:spacing w:after="0" w:line="180"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ATM Program. </w:t>
      </w:r>
      <w:r>
        <w:rPr>
          <w:rFonts w:ascii="Times New Roman" w:cs="Times New Roman" w:eastAsia="Times New Roman" w:hAnsi="Times New Roman"/>
          <w:sz w:val="18"/>
          <w:szCs w:val="18"/>
          <w:color w:val="auto"/>
        </w:rPr>
        <w:t>The Company was not active under the 2022 ATM Program during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As of September 30, 2025, the Company has committed to fund certain capital improvements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several properties, which include tenant improvements, landlord work, leasing commissions, and other capital improvements. As of September 30, 2025, the commitments totaled $2.1 million, of which $1.1 million has been paid, leaving a remaining commitment of $1.0 million. The improvements are generally expected to be completed within 12 months of September 30, 2025. Additionally, as of September 30, 2025, the Company has unfunded loan commitments under four of the Company’s five construction loans as described in Note 4, “Commercial Loans and Investments”. The unfunded portion of the construction loans totaled $17.2 million as of September 30, 2025</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$90.4 million of availability remaining under the 2022 ATM Program, and $60.2 million of available capacity on the existing $250.0 million Credit Facility.</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the capital we raise and available borrowing capacity from the Credit Facility to increase our portfolio of income-producing properties, providing stabilized cash flows with strong risk-adjusted returns primarily in larger metropolitan areas and growth markets.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FFO and AFFO do not represent cash generated from operating activities and are not necessarily indicative of cash available to fund cash requirements; accordingly, they should not be considered alternatives to net income or loss or as a performance measure or cash flows from operations as reported on our statement of cash flows as a liquidity measure and should be considered in addition to, and not in lieu of, GAAP financial measures.</w:t>
      </w:r>
    </w:p>
    <w:p>
      <w:pPr>
        <w:spacing w:after="0" w:line="19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To derive AFFO, we further modify the NAREIT computation of FFO to include other adjustments to GAAP net income or loss related to non-cash revenues and expenses such as loss on extinguishment of debt, amortization of above- and below-market lease related intangibles, straight-line rental revenue, amortization of deferred financing costs, non-cash compensation, and other non-cash adjustments to income or expense. Such items may cause short-term fluctuations in net income or loss but have no impact on operating cash flows or long-term operating performance. We use AFFO as one measure of our performance when we formulate corporate goals.</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Measures (in thousands, except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23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372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6"/>
                <w:szCs w:val="16"/>
                <w:color w:val="auto"/>
              </w:rPr>
            </w:pPr>
          </w:p>
        </w:tc>
        <w:tc>
          <w:tcPr>
            <w:tcW w:w="1300" w:type="dxa"/>
            <w:vAlign w:val="bottom"/>
            <w:tcBorders>
              <w:top w:val="single" w:sz="8" w:color="auto"/>
            </w:tcBorders>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16"/>
                <w:szCs w:val="16"/>
                <w:color w:val="auto"/>
              </w:rPr>
            </w:pPr>
          </w:p>
        </w:tc>
      </w:tr>
      <w:tr>
        <w:trPr>
          <w:trHeight w:val="238"/>
        </w:trPr>
        <w:tc>
          <w:tcPr>
            <w:tcW w:w="37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0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(3,426)</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(4,344)</w:t>
            </w:r>
          </w:p>
        </w:tc>
        <w:tc>
          <w:tcPr>
            <w:tcW w:w="20" w:type="dxa"/>
            <w:vAlign w:val="bottom"/>
          </w:tcPr>
          <w:p>
            <w:pPr>
              <w:spacing w:after="0"/>
              <w:rPr>
                <w:sz w:val="18"/>
                <w:szCs w:val="18"/>
                <w:color w:val="auto"/>
              </w:rPr>
            </w:pP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37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and</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 to Lease Income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20"/>
                <w:szCs w:val="20"/>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0" w:type="dxa"/>
            <w:vAlign w:val="bottom"/>
          </w:tcPr>
          <w:p>
            <w:pPr>
              <w:spacing w:after="0"/>
              <w:rPr>
                <w:sz w:val="18"/>
                <w:szCs w:val="18"/>
                <w:color w:val="auto"/>
              </w:rPr>
            </w:pPr>
          </w:p>
        </w:tc>
      </w:tr>
      <w:tr>
        <w:trPr>
          <w:trHeight w:val="198"/>
        </w:trPr>
        <w:tc>
          <w:tcPr>
            <w:tcW w:w="37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Financing Costs to</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 w:type="dxa"/>
            <w:vAlign w:val="bottom"/>
          </w:tcPr>
          <w:p>
            <w:pPr>
              <w:spacing w:after="0"/>
              <w:rPr>
                <w:sz w:val="20"/>
                <w:szCs w:val="20"/>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r>
      <w:tr>
        <w:trPr>
          <w:trHeight w:val="25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20" w:type="dxa"/>
            <w:vAlign w:val="bottom"/>
          </w:tcPr>
          <w:p>
            <w:pPr>
              <w:spacing w:after="0"/>
              <w:rPr>
                <w:sz w:val="21"/>
                <w:szCs w:val="21"/>
                <w:color w:val="auto"/>
              </w:rPr>
            </w:pPr>
          </w:p>
        </w:tc>
      </w:tr>
      <w:tr>
        <w:trPr>
          <w:trHeight w:val="196"/>
        </w:trPr>
        <w:tc>
          <w:tcPr>
            <w:tcW w:w="3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14,158,190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13,744,232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14,328,245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13,663,752</w:t>
            </w:r>
          </w:p>
        </w:tc>
        <w:tc>
          <w:tcPr>
            <w:tcW w:w="20" w:type="dxa"/>
            <w:vAlign w:val="bottom"/>
          </w:tcPr>
          <w:p>
            <w:pPr>
              <w:spacing w:after="0"/>
              <w:rPr>
                <w:sz w:val="18"/>
                <w:szCs w:val="18"/>
                <w:color w:val="auto"/>
              </w:rPr>
            </w:pPr>
          </w:p>
        </w:tc>
      </w:tr>
      <w:tr>
        <w:trPr>
          <w:trHeight w:val="234"/>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15,382,044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14,968,086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15,552,099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14,887,606</w:t>
            </w:r>
          </w:p>
        </w:tc>
        <w:tc>
          <w:tcPr>
            <w:tcW w:w="20" w:type="dxa"/>
            <w:vAlign w:val="bottom"/>
          </w:tcPr>
          <w:p>
            <w:pPr>
              <w:spacing w:after="0"/>
              <w:rPr>
                <w:sz w:val="20"/>
                <w:szCs w:val="20"/>
                <w:color w:val="auto"/>
              </w:rPr>
            </w:pP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Data (in thousands, except per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0"/>
                <w:szCs w:val="20"/>
                <w:color w:val="auto"/>
              </w:rPr>
            </w:pPr>
          </w:p>
        </w:tc>
        <w:tc>
          <w:tcPr>
            <w:tcW w:w="22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87"/>
        </w:trPr>
        <w:tc>
          <w:tcPr>
            <w:tcW w:w="3720" w:type="dxa"/>
            <w:vAlign w:val="bottom"/>
          </w:tcPr>
          <w:p>
            <w:pPr>
              <w:spacing w:after="0"/>
              <w:rPr>
                <w:sz w:val="16"/>
                <w:szCs w:val="16"/>
                <w:color w:val="auto"/>
              </w:rPr>
            </w:pPr>
          </w:p>
        </w:tc>
        <w:tc>
          <w:tcPr>
            <w:tcW w:w="1360" w:type="dxa"/>
            <w:vAlign w:val="bottom"/>
            <w:tcBorders>
              <w:top w:val="single" w:sz="8" w:color="auto"/>
            </w:tcBorders>
            <w:gridSpan w:val="3"/>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6"/>
                <w:szCs w:val="16"/>
                <w:color w:val="auto"/>
              </w:rPr>
            </w:pPr>
          </w:p>
        </w:tc>
        <w:tc>
          <w:tcPr>
            <w:tcW w:w="1300" w:type="dxa"/>
            <w:vAlign w:val="bottom"/>
            <w:tcBorders>
              <w:top w:val="single" w:sz="8" w:color="auto"/>
            </w:tcBorders>
            <w:gridSpan w:val="3"/>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18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37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19,133</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FFO per Diluted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3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AFFO</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14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6,649</w:t>
            </w:r>
          </w:p>
        </w:tc>
        <w:tc>
          <w:tcPr>
            <w:tcW w:w="1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120" w:type="dxa"/>
            <w:vAlign w:val="bottom"/>
          </w:tcPr>
          <w:p>
            <w:pPr>
              <w:spacing w:after="0"/>
              <w:rPr>
                <w:sz w:val="18"/>
                <w:szCs w:val="18"/>
                <w:color w:val="auto"/>
              </w:rPr>
            </w:pP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19,291</w:t>
            </w: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 per Diluted Share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GAAP,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 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five properties for an aggregate purchase price of $60.8 million for the nine months ended September 30, 2025.</w:t>
      </w:r>
    </w:p>
    <w:p>
      <w:pPr>
        <w:spacing w:after="0" w:line="19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for further discussion of the Company’s accounting estimates and policies.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0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As a result, pursuant to Item 305(e) of Regulation S-K, we are not required to provide the information required by this Item.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September 30, 2025, that have materially affected, or are reasonably likely to materially affect, the Company’s internal control over financial reporting.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02"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following risk factor should be read in conjunction with the risk factors set forth under the heading Part I, “Item 1A. Risk Factors” in the Company’s Annual Report on Form 10-K for the year ended December 31, 2024 (the “Form 10-K”). The risks described in the Form 10-K and below are not the only risks facing the Company. Additional risks and uncertainties not currently known to the Company or that the Company currently deems to be immaterial also may materially adversely affect the Company.</w:t>
      </w:r>
    </w:p>
    <w:p>
      <w:pPr>
        <w:spacing w:after="0" w:line="179" w:lineRule="exact"/>
        <w:rPr>
          <w:sz w:val="20"/>
          <w:szCs w:val="20"/>
          <w:color w:val="auto"/>
        </w:rPr>
      </w:pPr>
    </w:p>
    <w:p>
      <w:pPr>
        <w:jc w:val="both"/>
        <w:ind w:left="60" w:right="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trade disruption, significant introductions of trade barriers and bilateral trade frictions, together with any future downturns in the global economy resulting therefrom, could adversely affect our performance.</w:t>
      </w:r>
    </w:p>
    <w:p>
      <w:pPr>
        <w:spacing w:after="0" w:line="15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Political leaders in the U.S. and certain foreign countries have recently been elected on protectionist platforms, fueling doubts about the future of global free trade. The U.S. government has indicated its intent to alter its approach to international trade policy and in some cases to renegotiate certain existing trade agreements with foreign countries. In addition, the U.S. government has recently imposed tariffs on certain foreign goods and has indicated a willingness to impose tariffs on imports of other products. Some foreign governments, including China, have instituted retaliatory tariffs on certain U.S. goods and have indicated a willingness to impose additional tariffs on U.S. products. Global trade disruption, significant introductions of trade barriers and bilateral trade frictions, together with any future downturns in the global economy resulting therefrom, could adversely affect our performance.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Tax Law Changes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July 4, 2025, President Trump signed into law the legislation known as the One Big Beautiful Bill Act (the “OBBBA”). The OBBBA made significant changes to the U.S. federal income tax law that impact REITs and their investors. Specifically, the OBBBA increases the REIT asset test limitation on the value of taxable REIT subsidiary (“TRS”) securities a REIT may hold from 20% to 25% for taxable years beginning after December 31, 2025. As a result, for taxable years beginning after December 31, 2025, the aggregate value of all securities of TRSs held by a REIT may not exceed 25% of the value of its total assets. The OBBBA also makes permanent the 20% deduction for “qualified REIT dividends” (i.e., REIT dividends other than capital gain dividends and portions of REIT dividends designated as qualified dividend income) for individuals, trusts, and estates that was set to sunset for taxable years beginning after December 31, 2025. In addition, for taxable years beginning after December 31, 2024, the OBBBA restored the exclusion of deductions for depreciation, depletion and amortization in the calculation of a taxpayer’s “adjusted taxable income” for purposes of calculating the limitation on the taxpayer’s net interest expense deduction, which was previously in effect for taxable years beginning before January 1, 2022. This change will generally have the effect of increasing the available deduction.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Exhibits:</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w:t>
            </w:r>
          </w:p>
        </w:tc>
        <w:tc>
          <w:tcPr>
            <w:tcW w:w="748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rPr>
            </w:pPr>
            <w:hyperlink r:id="rId80">
              <w:r>
                <w:rPr>
                  <w:rFonts w:ascii="Times New Roman" w:cs="Times New Roman" w:eastAsia="Times New Roman" w:hAnsi="Times New Roman"/>
                  <w:sz w:val="17"/>
                  <w:szCs w:val="17"/>
                  <w:color w:val="0000EE"/>
                </w:rPr>
                <w:t>Articles of Amendment and Restatement of Alpine Income Property Trust, Inc. (incorporated by reference to</w:t>
              </w:r>
            </w:hyperlink>
          </w:p>
        </w:tc>
      </w:tr>
      <w:tr>
        <w:trPr>
          <w:trHeight w:val="183"/>
        </w:trPr>
        <w:tc>
          <w:tcPr>
            <w:tcW w:w="1400" w:type="dxa"/>
            <w:vAlign w:val="bottom"/>
          </w:tcPr>
          <w:p>
            <w:pPr>
              <w:spacing w:after="0"/>
              <w:rPr>
                <w:sz w:val="15"/>
                <w:szCs w:val="15"/>
                <w:color w:val="auto"/>
              </w:rPr>
            </w:pPr>
          </w:p>
        </w:tc>
        <w:tc>
          <w:tcPr>
            <w:tcW w:w="5980" w:type="dxa"/>
            <w:vAlign w:val="bottom"/>
            <w:tcBorders>
              <w:bottom w:val="single" w:sz="8" w:color="0000EE"/>
            </w:tcBorders>
            <w:gridSpan w:val="5"/>
          </w:tcPr>
          <w:p>
            <w:pPr>
              <w:spacing w:after="0" w:line="183" w:lineRule="exact"/>
              <w:rPr>
                <w:rFonts w:ascii="Times New Roman" w:cs="Times New Roman" w:eastAsia="Times New Roman" w:hAnsi="Times New Roman"/>
                <w:sz w:val="17"/>
                <w:szCs w:val="17"/>
                <w:color w:val="0000EE"/>
                <w:w w:val="99"/>
              </w:rPr>
            </w:pPr>
            <w:hyperlink r:id="rId80">
              <w:r>
                <w:rPr>
                  <w:rFonts w:ascii="Times New Roman" w:cs="Times New Roman" w:eastAsia="Times New Roman" w:hAnsi="Times New Roman"/>
                  <w:sz w:val="17"/>
                  <w:szCs w:val="17"/>
                  <w:color w:val="0000EE"/>
                  <w:w w:val="99"/>
                </w:rPr>
                <w:t>Exhibit 3.1 to the Company’s Current Report on Form 8-K filed on December 3, 2019).</w:t>
              </w:r>
            </w:hyperlink>
          </w:p>
        </w:tc>
        <w:tc>
          <w:tcPr>
            <w:tcW w:w="1500" w:type="dxa"/>
            <w:vAlign w:val="bottom"/>
          </w:tcPr>
          <w:p>
            <w:pPr>
              <w:spacing w:after="0"/>
              <w:rPr>
                <w:sz w:val="15"/>
                <w:szCs w:val="15"/>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w:t>
            </w:r>
          </w:p>
        </w:tc>
        <w:tc>
          <w:tcPr>
            <w:tcW w:w="748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rPr>
            </w:pPr>
            <w:hyperlink r:id="rId81">
              <w:r>
                <w:rPr>
                  <w:rFonts w:ascii="Times New Roman" w:cs="Times New Roman" w:eastAsia="Times New Roman" w:hAnsi="Times New Roman"/>
                  <w:sz w:val="17"/>
                  <w:szCs w:val="17"/>
                  <w:color w:val="0000EE"/>
                </w:rPr>
                <w:t>Third Amended and Restated Bylaws of Alpine Income Property Trust, Inc. (incorporated by reference to</w:t>
              </w:r>
            </w:hyperlink>
          </w:p>
        </w:tc>
      </w:tr>
      <w:tr>
        <w:trPr>
          <w:trHeight w:val="183"/>
        </w:trPr>
        <w:tc>
          <w:tcPr>
            <w:tcW w:w="1400" w:type="dxa"/>
            <w:vAlign w:val="bottom"/>
          </w:tcPr>
          <w:p>
            <w:pPr>
              <w:spacing w:after="0"/>
              <w:rPr>
                <w:sz w:val="15"/>
                <w:szCs w:val="15"/>
                <w:color w:val="auto"/>
              </w:rPr>
            </w:pPr>
          </w:p>
        </w:tc>
        <w:tc>
          <w:tcPr>
            <w:tcW w:w="5900" w:type="dxa"/>
            <w:vAlign w:val="bottom"/>
            <w:tcBorders>
              <w:bottom w:val="single" w:sz="8" w:color="0000EE"/>
            </w:tcBorders>
            <w:gridSpan w:val="4"/>
          </w:tcPr>
          <w:p>
            <w:pPr>
              <w:spacing w:after="0" w:line="183" w:lineRule="exact"/>
              <w:rPr>
                <w:rFonts w:ascii="Times New Roman" w:cs="Times New Roman" w:eastAsia="Times New Roman" w:hAnsi="Times New Roman"/>
                <w:sz w:val="17"/>
                <w:szCs w:val="17"/>
                <w:color w:val="0000EE"/>
              </w:rPr>
            </w:pPr>
            <w:hyperlink r:id="rId81">
              <w:r>
                <w:rPr>
                  <w:rFonts w:ascii="Times New Roman" w:cs="Times New Roman" w:eastAsia="Times New Roman" w:hAnsi="Times New Roman"/>
                  <w:sz w:val="17"/>
                  <w:szCs w:val="17"/>
                  <w:color w:val="0000EE"/>
                </w:rPr>
                <w:t>Exhibit 3.1 to the Company’s Current Report on Form 8-K filed on February 3, 2023).</w:t>
              </w:r>
            </w:hyperlink>
          </w:p>
        </w:tc>
        <w:tc>
          <w:tcPr>
            <w:tcW w:w="1580" w:type="dxa"/>
            <w:vAlign w:val="bottom"/>
            <w:gridSpan w:val="2"/>
          </w:tcPr>
          <w:p>
            <w:pPr>
              <w:spacing w:after="0"/>
              <w:rPr>
                <w:sz w:val="15"/>
                <w:szCs w:val="15"/>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4.1</w:t>
            </w:r>
          </w:p>
        </w:tc>
        <w:tc>
          <w:tcPr>
            <w:tcW w:w="7480" w:type="dxa"/>
            <w:vAlign w:val="bottom"/>
            <w:tcBorders>
              <w:bottom w:val="single" w:sz="8" w:color="0000EE"/>
            </w:tcBorders>
            <w:gridSpan w:val="6"/>
          </w:tcPr>
          <w:p>
            <w:pPr>
              <w:spacing w:after="0"/>
              <w:rPr>
                <w:rFonts w:ascii="Times New Roman" w:cs="Times New Roman" w:eastAsia="Times New Roman" w:hAnsi="Times New Roman"/>
                <w:sz w:val="17"/>
                <w:szCs w:val="17"/>
                <w:color w:val="0000EE"/>
              </w:rPr>
            </w:pPr>
            <w:hyperlink r:id="rId82">
              <w:r>
                <w:rPr>
                  <w:rFonts w:ascii="Times New Roman" w:cs="Times New Roman" w:eastAsia="Times New Roman" w:hAnsi="Times New Roman"/>
                  <w:sz w:val="17"/>
                  <w:szCs w:val="17"/>
                  <w:color w:val="0000EE"/>
                </w:rPr>
                <w:t>Specimen Common Stock Certificate of Alpine Income Property Trust, Inc. (incorporated by reference to</w:t>
              </w:r>
            </w:hyperlink>
          </w:p>
        </w:tc>
      </w:tr>
      <w:tr>
        <w:trPr>
          <w:trHeight w:val="183"/>
        </w:trPr>
        <w:tc>
          <w:tcPr>
            <w:tcW w:w="1400" w:type="dxa"/>
            <w:vAlign w:val="bottom"/>
          </w:tcPr>
          <w:p>
            <w:pPr>
              <w:spacing w:after="0"/>
              <w:rPr>
                <w:sz w:val="15"/>
                <w:szCs w:val="15"/>
                <w:color w:val="auto"/>
              </w:rPr>
            </w:pPr>
          </w:p>
        </w:tc>
        <w:tc>
          <w:tcPr>
            <w:tcW w:w="7480" w:type="dxa"/>
            <w:vAlign w:val="bottom"/>
            <w:tcBorders>
              <w:bottom w:val="single" w:sz="8" w:color="0000EE"/>
            </w:tcBorders>
            <w:gridSpan w:val="6"/>
          </w:tcPr>
          <w:p>
            <w:pPr>
              <w:spacing w:after="0" w:line="183" w:lineRule="exact"/>
              <w:rPr>
                <w:rFonts w:ascii="Times New Roman" w:cs="Times New Roman" w:eastAsia="Times New Roman" w:hAnsi="Times New Roman"/>
                <w:sz w:val="17"/>
                <w:szCs w:val="17"/>
                <w:color w:val="0000EE"/>
              </w:rPr>
            </w:pPr>
            <w:hyperlink r:id="rId82">
              <w:r>
                <w:rPr>
                  <w:rFonts w:ascii="Times New Roman" w:cs="Times New Roman" w:eastAsia="Times New Roman" w:hAnsi="Times New Roman"/>
                  <w:sz w:val="17"/>
                  <w:szCs w:val="17"/>
                  <w:color w:val="0000EE"/>
                </w:rPr>
                <w:t>Exhibit 4.1 to the Registrant’s Registration Statement on Form S-11/A (File No. 333-234304) filed with the</w:t>
              </w:r>
            </w:hyperlink>
          </w:p>
        </w:tc>
      </w:tr>
      <w:tr>
        <w:trPr>
          <w:trHeight w:val="183"/>
        </w:trPr>
        <w:tc>
          <w:tcPr>
            <w:tcW w:w="1400" w:type="dxa"/>
            <w:vAlign w:val="bottom"/>
          </w:tcPr>
          <w:p>
            <w:pPr>
              <w:spacing w:after="0"/>
              <w:rPr>
                <w:sz w:val="15"/>
                <w:szCs w:val="15"/>
                <w:color w:val="auto"/>
              </w:rPr>
            </w:pPr>
          </w:p>
        </w:tc>
        <w:tc>
          <w:tcPr>
            <w:tcW w:w="7480" w:type="dxa"/>
            <w:vAlign w:val="bottom"/>
            <w:gridSpan w:val="6"/>
          </w:tcPr>
          <w:p>
            <w:pPr>
              <w:spacing w:after="0" w:line="183" w:lineRule="exact"/>
              <w:rPr>
                <w:rFonts w:ascii="Times New Roman" w:cs="Times New Roman" w:eastAsia="Times New Roman" w:hAnsi="Times New Roman"/>
                <w:sz w:val="17"/>
                <w:szCs w:val="17"/>
                <w:color w:val="0000EE"/>
              </w:rPr>
            </w:pPr>
            <w:hyperlink r:id="rId82">
              <w:r>
                <w:rPr>
                  <w:rFonts w:ascii="Times New Roman" w:cs="Times New Roman" w:eastAsia="Times New Roman" w:hAnsi="Times New Roman"/>
                  <w:sz w:val="17"/>
                  <w:szCs w:val="17"/>
                  <w:color w:val="0000EE"/>
                </w:rPr>
                <w:t>Commission on October 29, 2019).</w:t>
              </w:r>
            </w:hyperlink>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31.1*</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31.2*</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32.1**</w:t>
            </w:r>
          </w:p>
        </w:tc>
        <w:tc>
          <w:tcPr>
            <w:tcW w:w="74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r>
      <w:tr>
        <w:trPr>
          <w:trHeight w:val="183"/>
        </w:trPr>
        <w:tc>
          <w:tcPr>
            <w:tcW w:w="1400" w:type="dxa"/>
            <w:vAlign w:val="bottom"/>
          </w:tcPr>
          <w:p>
            <w:pPr>
              <w:spacing w:after="0"/>
              <w:rPr>
                <w:sz w:val="15"/>
                <w:szCs w:val="15"/>
                <w:color w:val="auto"/>
              </w:rPr>
            </w:pPr>
          </w:p>
        </w:tc>
        <w:tc>
          <w:tcPr>
            <w:tcW w:w="7480" w:type="dxa"/>
            <w:vAlign w:val="bottom"/>
            <w:gridSpan w:val="6"/>
          </w:tcPr>
          <w:p>
            <w:pPr>
              <w:spacing w:after="0" w:line="183" w:lineRule="exact"/>
              <w:rPr>
                <w:sz w:val="20"/>
                <w:szCs w:val="20"/>
                <w:color w:val="auto"/>
              </w:rPr>
            </w:pPr>
            <w:r>
              <w:rPr>
                <w:rFonts w:ascii="Times New Roman" w:cs="Times New Roman" w:eastAsia="Times New Roman" w:hAnsi="Times New Roman"/>
                <w:sz w:val="17"/>
                <w:szCs w:val="17"/>
                <w:color w:val="0000EE"/>
              </w:rPr>
              <w:t>Sarbanes-Oxley Act of 2002.</w:t>
            </w: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r>
      <w:tr>
        <w:trPr>
          <w:trHeight w:val="27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32.2**</w:t>
            </w:r>
          </w:p>
        </w:tc>
        <w:tc>
          <w:tcPr>
            <w:tcW w:w="74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r>
      <w:tr>
        <w:trPr>
          <w:trHeight w:val="183"/>
        </w:trPr>
        <w:tc>
          <w:tcPr>
            <w:tcW w:w="1400" w:type="dxa"/>
            <w:vAlign w:val="bottom"/>
          </w:tcPr>
          <w:p>
            <w:pPr>
              <w:spacing w:after="0"/>
              <w:rPr>
                <w:sz w:val="15"/>
                <w:szCs w:val="15"/>
                <w:color w:val="auto"/>
              </w:rPr>
            </w:pPr>
          </w:p>
        </w:tc>
        <w:tc>
          <w:tcPr>
            <w:tcW w:w="7480" w:type="dxa"/>
            <w:vAlign w:val="bottom"/>
            <w:gridSpan w:val="6"/>
          </w:tcPr>
          <w:p>
            <w:pPr>
              <w:spacing w:after="0" w:line="183" w:lineRule="exact"/>
              <w:rPr>
                <w:sz w:val="20"/>
                <w:szCs w:val="20"/>
                <w:color w:val="auto"/>
              </w:rPr>
            </w:pPr>
            <w:r>
              <w:rPr>
                <w:rFonts w:ascii="Times New Roman" w:cs="Times New Roman" w:eastAsia="Times New Roman" w:hAnsi="Times New Roman"/>
                <w:sz w:val="17"/>
                <w:szCs w:val="17"/>
                <w:color w:val="0000EE"/>
              </w:rPr>
              <w:t>Sarbanes-Oxley Act of 2002.</w:t>
            </w:r>
          </w:p>
        </w:tc>
      </w:tr>
      <w:tr>
        <w:trPr>
          <w:trHeight w:val="20"/>
        </w:trPr>
        <w:tc>
          <w:tcPr>
            <w:tcW w:w="14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500" w:type="dxa"/>
            <w:vAlign w:val="bottom"/>
            <w:gridSpan w:val="5"/>
          </w:tcPr>
          <w:p>
            <w:pPr>
              <w:spacing w:after="0" w:line="20" w:lineRule="exact"/>
              <w:rPr>
                <w:sz w:val="1"/>
                <w:szCs w:val="1"/>
                <w:color w:val="auto"/>
              </w:rPr>
            </w:pPr>
          </w:p>
        </w:tc>
      </w:tr>
      <w:tr>
        <w:trPr>
          <w:trHeight w:val="31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101.INS</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101.SCH</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101.CAL</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101.DEF</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Definition Linkbase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101.LAB</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101.PRE</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auto"/>
              </w:rPr>
              <w:t>Exhibit 104</w:t>
            </w:r>
          </w:p>
        </w:tc>
        <w:tc>
          <w:tcPr>
            <w:tcW w:w="74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61595</wp:posOffset>
            </wp:positionV>
            <wp:extent cx="141414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36" w:lineRule="exact"/>
        <w:rPr>
          <w:sz w:val="20"/>
          <w:szCs w:val="20"/>
          <w:color w:val="auto"/>
        </w:rPr>
      </w:pPr>
    </w:p>
    <w:p>
      <w:pPr>
        <w:ind w:left="300" w:hanging="250"/>
        <w:spacing w:after="0"/>
        <w:tabs>
          <w:tab w:leader="none" w:pos="3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October 23, 2025</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October 23, 2025</w:t>
      </w:r>
      <w:r>
        <w:rPr>
          <w:sz w:val="20"/>
          <w:szCs w:val="20"/>
          <w:color w:val="auto"/>
        </w:rPr>
        <w:tab/>
      </w:r>
      <w:r>
        <w:rPr>
          <w:rFonts w:ascii="Times New Roman" w:cs="Times New Roman" w:eastAsia="Times New Roman" w:hAnsi="Times New Roman"/>
          <w:sz w:val="18"/>
          <w:szCs w:val="18"/>
          <w:color w:val="auto"/>
        </w:rPr>
        <w:t>By:  /s/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Philip R. Mays, Senior Vice President,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October 23, 2025</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Senior Vice President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and 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4" w:name="page55"/>
    <w:bookmarkEnd w:id="54"/>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Philip R. Mays, certify that:</w:t>
      </w:r>
    </w:p>
    <w:p>
      <w:pPr>
        <w:spacing w:after="0" w:line="185" w:lineRule="exact"/>
        <w:rPr>
          <w:sz w:val="20"/>
          <w:szCs w:val="20"/>
          <w:color w:val="auto"/>
        </w:rPr>
      </w:pPr>
    </w:p>
    <w:p>
      <w:pPr>
        <w:ind w:left="700" w:hanging="650"/>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7000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Philip R. Mays, Senior Vice President,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5" w:name="page56"/>
    <w:bookmarkEnd w:id="5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September 30, 2025,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56" w:name="page57"/>
    <w:bookmarkEnd w:id="5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September 30, 2025,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6746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Philip R. Mays, Senior Vice President,</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Roman"/>
      <w:start w:val="5"/>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80" Type="http://schemas.openxmlformats.org/officeDocument/2006/relationships/hyperlink" Target="https://www.sec.gov/Archives/edgar/data/0001786117/000155837019011294/ex-3d1.htm" TargetMode="External"/><Relationship Id="rId81" Type="http://schemas.openxmlformats.org/officeDocument/2006/relationships/hyperlink" Target="https://www.sec.gov/Archives/edgar/data/1786117/000155837023000881/pine-20230201xex3d1.htm" TargetMode="External"/><Relationship Id="rId82" Type="http://schemas.openxmlformats.org/officeDocument/2006/relationships/hyperlink" Target="https://www.sec.gov/Archives/edgar/data/0001786117/000119312519277917/d79379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2025-10-23T15:43:13Z</dcterms:created>
  <dcterms:modified xsi:type="dcterms:W3CDTF">2025-10-23T15:43:13Z</dcterms:modified>
</cp:coreProperties>
</file>