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3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-195580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64770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86995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5" w:lineRule="exact"/>
        <w:rPr>
          <w:sz w:val="24"/>
          <w:szCs w:val="24"/>
          <w:color w:val="auto"/>
        </w:rPr>
      </w:pPr>
    </w:p>
    <w:p>
      <w:pPr>
        <w:ind w:left="440" w:right="180" w:hanging="430"/>
        <w:spacing w:after="0" w:line="273" w:lineRule="auto"/>
        <w:tabs>
          <w:tab w:leader="none" w:pos="4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2023</w:t>
      </w:r>
    </w:p>
    <w:p>
      <w:pPr>
        <w:spacing w:after="0" w:line="6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54" w:lineRule="exact"/>
        <w:rPr>
          <w:sz w:val="24"/>
          <w:szCs w:val="24"/>
          <w:color w:val="auto"/>
        </w:rPr>
      </w:pPr>
    </w:p>
    <w:p>
      <w:pPr>
        <w:ind w:left="440" w:right="180" w:hanging="430"/>
        <w:spacing w:after="0" w:line="273" w:lineRule="auto"/>
        <w:tabs>
          <w:tab w:leader="none" w:pos="44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 w:lineRule="exact"/>
        <w:rPr>
          <w:sz w:val="24"/>
          <w:szCs w:val="24"/>
          <w:color w:val="auto"/>
        </w:rPr>
      </w:pPr>
    </w:p>
    <w:p>
      <w:pPr>
        <w:ind w:left="3160"/>
        <w:spacing w:after="0"/>
        <w:tabs>
          <w:tab w:leader="none" w:pos="61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3361055</wp:posOffset>
            </wp:positionH>
            <wp:positionV relativeFrom="paragraph">
              <wp:posOffset>-3175</wp:posOffset>
            </wp:positionV>
            <wp:extent cx="11398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7"/>
          <w:szCs w:val="17"/>
          <w:b w:val="1"/>
          <w:bCs w:val="1"/>
          <w:color w:val="auto"/>
        </w:rPr>
        <w:t>001-39143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95885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ALPINE INCOME PROPERTY TRUST,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69215</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68" w:lineRule="exact"/>
        <w:rPr>
          <w:sz w:val="24"/>
          <w:szCs w:val="24"/>
          <w:color w:val="auto"/>
        </w:rPr>
      </w:pPr>
    </w:p>
    <w:tbl>
      <w:tblPr>
        <w:tblLayout w:type="fixed"/>
        <w:tblInd w:w="1200" w:type="dxa"/>
        <w:tblCellMar>
          <w:top w:w="0" w:type="dxa"/>
          <w:left w:w="0" w:type="dxa"/>
          <w:bottom w:w="0" w:type="dxa"/>
          <w:right w:w="0" w:type="dxa"/>
        </w:tblCellMar>
      </w:tblPr>
      <w:tr>
        <w:trPr>
          <w:trHeight w:val="202"/>
        </w:trPr>
        <w:tc>
          <w:tcPr>
            <w:tcW w:w="5840" w:type="dxa"/>
            <w:vAlign w:val="bottom"/>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13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84-2769895</w:t>
            </w:r>
          </w:p>
        </w:tc>
      </w:tr>
      <w:tr>
        <w:trPr>
          <w:trHeight w:val="203"/>
        </w:trPr>
        <w:tc>
          <w:tcPr>
            <w:tcW w:w="5840" w:type="dxa"/>
            <w:vAlign w:val="bottom"/>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13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840" w:type="dxa"/>
            <w:vAlign w:val="bottom"/>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13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287"/>
        </w:trPr>
        <w:tc>
          <w:tcPr>
            <w:tcW w:w="5840" w:type="dxa"/>
            <w:vAlign w:val="bottom"/>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w w:val="99"/>
              </w:rPr>
              <w:t>369 N. New York Avenue, Suite 201</w:t>
            </w:r>
          </w:p>
        </w:tc>
        <w:tc>
          <w:tcPr>
            <w:tcW w:w="1380" w:type="dxa"/>
            <w:vAlign w:val="bottom"/>
          </w:tcPr>
          <w:p>
            <w:pPr>
              <w:spacing w:after="0"/>
              <w:rPr>
                <w:sz w:val="24"/>
                <w:szCs w:val="24"/>
                <w:color w:val="auto"/>
              </w:rPr>
            </w:pPr>
          </w:p>
        </w:tc>
      </w:tr>
      <w:tr>
        <w:trPr>
          <w:trHeight w:val="203"/>
        </w:trPr>
        <w:tc>
          <w:tcPr>
            <w:tcW w:w="5840" w:type="dxa"/>
            <w:vAlign w:val="bottom"/>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Winter Park, Florida</w:t>
            </w:r>
          </w:p>
        </w:tc>
        <w:tc>
          <w:tcPr>
            <w:tcW w:w="13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32789</w:t>
            </w:r>
          </w:p>
        </w:tc>
      </w:tr>
      <w:tr>
        <w:trPr>
          <w:trHeight w:val="212"/>
        </w:trPr>
        <w:tc>
          <w:tcPr>
            <w:tcW w:w="5840" w:type="dxa"/>
            <w:vAlign w:val="bottom"/>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3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260"/>
        </w:trPr>
        <w:tc>
          <w:tcPr>
            <w:tcW w:w="5840" w:type="dxa"/>
            <w:vAlign w:val="bottom"/>
          </w:tcPr>
          <w:p>
            <w:pPr>
              <w:jc w:val="right"/>
              <w:ind w:right="1319"/>
              <w:spacing w:after="0"/>
              <w:rPr>
                <w:sz w:val="20"/>
                <w:szCs w:val="20"/>
                <w:color w:val="auto"/>
              </w:rPr>
            </w:pPr>
            <w:r>
              <w:rPr>
                <w:rFonts w:ascii="Times New Roman" w:cs="Times New Roman" w:eastAsia="Times New Roman" w:hAnsi="Times New Roman"/>
                <w:sz w:val="16"/>
                <w:szCs w:val="16"/>
                <w:b w:val="1"/>
                <w:bCs w:val="1"/>
                <w:color w:val="auto"/>
              </w:rPr>
              <w:t>(407) 904-3324</w:t>
            </w:r>
          </w:p>
        </w:tc>
        <w:tc>
          <w:tcPr>
            <w:tcW w:w="1380" w:type="dxa"/>
            <w:vAlign w:val="bottom"/>
          </w:tcPr>
          <w:p>
            <w:pPr>
              <w:spacing w:after="0"/>
              <w:rPr>
                <w:sz w:val="22"/>
                <w:szCs w:val="22"/>
                <w:color w:val="auto"/>
              </w:rPr>
            </w:pPr>
          </w:p>
        </w:tc>
      </w:tr>
      <w:tr>
        <w:trPr>
          <w:trHeight w:val="212"/>
        </w:trPr>
        <w:tc>
          <w:tcPr>
            <w:tcW w:w="5840" w:type="dxa"/>
            <w:vAlign w:val="bottom"/>
          </w:tcPr>
          <w:p>
            <w:pPr>
              <w:jc w:val="center"/>
              <w:ind w:left="193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380" w:type="dxa"/>
            <w:vAlign w:val="bottom"/>
          </w:tcPr>
          <w:p>
            <w:pPr>
              <w:spacing w:after="0"/>
              <w:rPr>
                <w:sz w:val="18"/>
                <w:szCs w:val="18"/>
                <w:color w:val="auto"/>
              </w:rPr>
            </w:pPr>
          </w:p>
        </w:tc>
      </w:tr>
    </w:tbl>
    <w:p>
      <w:pPr>
        <w:spacing w:after="0" w:line="3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81915</wp:posOffset>
            </wp:positionV>
            <wp:extent cx="162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1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351"/>
        </w:trPr>
        <w:tc>
          <w:tcPr>
            <w:tcW w:w="416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680" w:type="dxa"/>
            <w:vAlign w:val="bottom"/>
            <w:gridSpan w:val="2"/>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90"/>
        </w:trPr>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$0.01 PAR VALUE</w:t>
            </w:r>
          </w:p>
        </w:tc>
        <w:tc>
          <w:tcPr>
            <w:tcW w:w="18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PINE</w:t>
            </w:r>
          </w:p>
        </w:tc>
        <w:tc>
          <w:tcPr>
            <w:tcW w:w="200" w:type="dxa"/>
            <w:vAlign w:val="bottom"/>
          </w:tcPr>
          <w:p>
            <w:pPr>
              <w:spacing w:after="0"/>
              <w:rPr>
                <w:sz w:val="16"/>
                <w:szCs w:val="16"/>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NYSE</w:t>
            </w:r>
          </w:p>
        </w:tc>
      </w:tr>
    </w:tbl>
    <w:p>
      <w:pPr>
        <w:spacing w:after="0" w:line="214" w:lineRule="exact"/>
        <w:rPr>
          <w:sz w:val="24"/>
          <w:szCs w:val="24"/>
          <w:color w:val="auto"/>
        </w:rPr>
      </w:pPr>
    </w:p>
    <w:p>
      <w:pPr>
        <w:jc w:val="both"/>
        <w:ind w:left="20" w:firstLine="441"/>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jc w:val="both"/>
        <w:ind w:left="20" w:firstLine="441"/>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jc w:val="both"/>
        <w:ind w:left="20" w:firstLine="441"/>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Accelerated Filer</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9"/>
        </w:trPr>
        <w:tc>
          <w:tcPr>
            <w:tcW w:w="19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Emerging Growth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bl>
    <w:p>
      <w:pPr>
        <w:ind w:left="20" w:right="20" w:firstLine="441"/>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460" w:right="1260"/>
        <w:spacing w:after="0" w:line="24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the registrant’s common stock outstanding on April 13, 2023 was 14,068,890.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450215</wp:posOffset>
            </wp:positionV>
            <wp:extent cx="64979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38735</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73025</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1" w:right="8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0" w:type="dxa"/>
            <w:vAlign w:val="bottom"/>
            <w:gridSpan w:val="9"/>
          </w:tcPr>
          <w:p>
            <w:pPr>
              <w:ind w:left="1120"/>
              <w:spacing w:after="0"/>
              <w:rPr>
                <w:sz w:val="20"/>
                <w:szCs w:val="20"/>
                <w:color w:val="auto"/>
              </w:rPr>
            </w:pPr>
            <w:r>
              <w:rPr>
                <w:rFonts w:ascii="Times New Roman" w:cs="Times New Roman" w:eastAsia="Times New Roman" w:hAnsi="Times New Roman"/>
                <w:sz w:val="18"/>
                <w:szCs w:val="18"/>
                <w:color w:val="auto"/>
              </w:rPr>
              <w:t>INDEX</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8"/>
        </w:trPr>
        <w:tc>
          <w:tcPr>
            <w:tcW w:w="296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EE"/>
                <w:w w:val="97"/>
              </w:rPr>
              <w:t>PART I—FINANCIAL INFORMATION</w:t>
            </w:r>
          </w:p>
        </w:tc>
        <w:tc>
          <w:tcPr>
            <w:tcW w:w="5080" w:type="dxa"/>
            <w:vAlign w:val="bottom"/>
            <w:gridSpan w:val="10"/>
            <w:vMerge w:val="restart"/>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No.</w:t>
            </w:r>
          </w:p>
        </w:tc>
        <w:tc>
          <w:tcPr>
            <w:tcW w:w="0" w:type="dxa"/>
            <w:vAlign w:val="bottom"/>
          </w:tcPr>
          <w:p>
            <w:pPr>
              <w:spacing w:after="0"/>
              <w:rPr>
                <w:sz w:val="1"/>
                <w:szCs w:val="1"/>
                <w:color w:val="auto"/>
              </w:rPr>
            </w:pPr>
          </w:p>
        </w:tc>
      </w:tr>
      <w:tr>
        <w:trPr>
          <w:trHeight w:val="161"/>
        </w:trPr>
        <w:tc>
          <w:tcPr>
            <w:tcW w:w="2960" w:type="dxa"/>
            <w:vAlign w:val="bottom"/>
            <w:tcBorders>
              <w:bottom w:val="single" w:sz="8" w:color="0000EE"/>
            </w:tcBorders>
            <w:gridSpan w:val="13"/>
            <w:vMerge w:val="continue"/>
          </w:tcPr>
          <w:p>
            <w:pPr>
              <w:spacing w:after="0"/>
              <w:rPr>
                <w:sz w:val="13"/>
                <w:szCs w:val="13"/>
                <w:color w:val="auto"/>
              </w:rPr>
            </w:pPr>
          </w:p>
        </w:tc>
        <w:tc>
          <w:tcPr>
            <w:tcW w:w="5080" w:type="dxa"/>
            <w:vAlign w:val="bottom"/>
            <w:gridSpan w:val="10"/>
            <w:vMerge w:val="continue"/>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736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EE"/>
              </w:rPr>
              <w:t>Financial Statements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7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Consolidated Balance Sheets – March 31, 2023 (Unaudited) and December 31, 2022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2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 Three months ended March 31, 2023 and 2022 (Unaudited)</w:t>
            </w:r>
          </w:p>
        </w:tc>
        <w:tc>
          <w:tcPr>
            <w:tcW w:w="440" w:type="dxa"/>
            <w:vAlign w:val="bottom"/>
            <w:gridSpan w:val="2"/>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72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Income – Three months ended March 31, 2023 and 2022</w:t>
            </w:r>
          </w:p>
        </w:tc>
        <w:tc>
          <w:tcPr>
            <w:tcW w:w="44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1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Consolidated Statements of Stockholders’ Equity – Three months ended March 31, 2023 and 2022</w:t>
            </w:r>
          </w:p>
        </w:tc>
        <w:tc>
          <w:tcPr>
            <w:tcW w:w="62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7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Consolidated Statements of Cash Flows – Three months ended March 31, 2023 and 2022 (Unaudited)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406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 (Unaudited)</w:t>
            </w:r>
          </w:p>
        </w:tc>
        <w:tc>
          <w:tcPr>
            <w:tcW w:w="3260" w:type="dxa"/>
            <w:vAlign w:val="bottom"/>
            <w:tcBorders>
              <w:top w:val="single" w:sz="8" w:color="0000EE"/>
            </w:tcBorders>
            <w:gridSpan w:val="7"/>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412"/>
        </w:trPr>
        <w:tc>
          <w:tcPr>
            <w:tcW w:w="80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412"/>
        </w:trPr>
        <w:tc>
          <w:tcPr>
            <w:tcW w:w="510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2080" w:type="dxa"/>
            <w:vAlign w:val="bottom"/>
            <w:tcBorders>
              <w:top w:val="single" w:sz="8" w:color="0000EE"/>
            </w:tcBorders>
            <w:gridSpan w:val="2"/>
          </w:tcPr>
          <w:p>
            <w:pPr>
              <w:spacing w:after="0"/>
              <w:rPr>
                <w:sz w:val="24"/>
                <w:szCs w:val="24"/>
                <w:color w:val="auto"/>
              </w:rPr>
            </w:pPr>
          </w:p>
        </w:tc>
        <w:tc>
          <w:tcPr>
            <w:tcW w:w="860" w:type="dxa"/>
            <w:vAlign w:val="bottom"/>
            <w:gridSpan w:val="4"/>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12"/>
        </w:trPr>
        <w:tc>
          <w:tcPr>
            <w:tcW w:w="25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5520" w:type="dxa"/>
            <w:vAlign w:val="bottom"/>
            <w:gridSpan w:val="12"/>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12"/>
        </w:trPr>
        <w:tc>
          <w:tcPr>
            <w:tcW w:w="80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PART II—OTHER INFORMATION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12"/>
        </w:trPr>
        <w:tc>
          <w:tcPr>
            <w:tcW w:w="6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1380" w:type="dxa"/>
            <w:vAlign w:val="bottom"/>
            <w:tcBorders>
              <w:top w:val="single" w:sz="8" w:color="0000EE"/>
              <w:bottom w:val="single" w:sz="8" w:color="0000EE"/>
            </w:tcBorders>
            <w:gridSpan w:val="6"/>
          </w:tcPr>
          <w:p>
            <w:pPr>
              <w:ind w:left="40"/>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580" w:type="dxa"/>
            <w:vAlign w:val="bottom"/>
            <w:tcBorders>
              <w:top w:val="single" w:sz="8" w:color="0000EE"/>
            </w:tcBorders>
            <w:gridSpan w:val="4"/>
          </w:tcPr>
          <w:p>
            <w:pPr>
              <w:spacing w:after="0"/>
              <w:rPr>
                <w:sz w:val="24"/>
                <w:szCs w:val="24"/>
                <w:color w:val="auto"/>
              </w:rPr>
            </w:pPr>
          </w:p>
        </w:tc>
        <w:tc>
          <w:tcPr>
            <w:tcW w:w="5400" w:type="dxa"/>
            <w:vAlign w:val="bottom"/>
            <w:gridSpan w:val="11"/>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12"/>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1A.</w:t>
            </w:r>
          </w:p>
        </w:tc>
        <w:tc>
          <w:tcPr>
            <w:tcW w:w="736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EE"/>
              </w:rPr>
              <w:t>Risk Factors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2960" w:type="dxa"/>
            <w:vAlign w:val="bottom"/>
            <w:gridSpan w:val="7"/>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12"/>
        </w:trPr>
        <w:tc>
          <w:tcPr>
            <w:tcW w:w="80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12"/>
        </w:trPr>
        <w:tc>
          <w:tcPr>
            <w:tcW w:w="250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540" w:type="dxa"/>
            <w:vAlign w:val="bottom"/>
            <w:tcBorders>
              <w:top w:val="single" w:sz="8" w:color="0000EE"/>
            </w:tcBorders>
            <w:gridSpan w:val="4"/>
          </w:tcPr>
          <w:p>
            <w:pPr>
              <w:spacing w:after="0"/>
              <w:rPr>
                <w:sz w:val="24"/>
                <w:szCs w:val="24"/>
                <w:color w:val="auto"/>
              </w:rPr>
            </w:pPr>
          </w:p>
        </w:tc>
        <w:tc>
          <w:tcPr>
            <w:tcW w:w="5000" w:type="dxa"/>
            <w:vAlign w:val="bottom"/>
            <w:gridSpan w:val="9"/>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12"/>
        </w:trPr>
        <w:tc>
          <w:tcPr>
            <w:tcW w:w="6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5.</w:t>
            </w:r>
          </w:p>
        </w:tc>
        <w:tc>
          <w:tcPr>
            <w:tcW w:w="1360" w:type="dxa"/>
            <w:vAlign w:val="bottom"/>
            <w:tcBorders>
              <w:bottom w:val="single" w:sz="8" w:color="0000EE"/>
            </w:tcBorders>
            <w:gridSpan w:val="5"/>
          </w:tcPr>
          <w:p>
            <w:pPr>
              <w:ind w:left="40"/>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6000" w:type="dxa"/>
            <w:vAlign w:val="bottom"/>
            <w:gridSpan w:val="16"/>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12"/>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6.</w:t>
            </w:r>
          </w:p>
        </w:tc>
        <w:tc>
          <w:tcPr>
            <w:tcW w:w="736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EE"/>
              </w:rPr>
              <w:t>Exhibits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12"/>
        </w:trPr>
        <w:tc>
          <w:tcPr>
            <w:tcW w:w="11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220" w:type="dxa"/>
            <w:vAlign w:val="bottom"/>
            <w:tcBorders>
              <w:top w:val="single" w:sz="8" w:color="0000EE"/>
            </w:tcBorders>
            <w:gridSpan w:val="2"/>
          </w:tcPr>
          <w:p>
            <w:pPr>
              <w:spacing w:after="0"/>
              <w:rPr>
                <w:sz w:val="24"/>
                <w:szCs w:val="24"/>
                <w:color w:val="auto"/>
              </w:rPr>
            </w:pPr>
          </w:p>
        </w:tc>
        <w:tc>
          <w:tcPr>
            <w:tcW w:w="6720" w:type="dxa"/>
            <w:vAlign w:val="bottom"/>
            <w:gridSpan w:val="18"/>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ALPINE INCOME PROPERTY TRUST,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16"/>
                <w:szCs w:val="16"/>
                <w:color w:val="auto"/>
              </w:rPr>
            </w:pPr>
          </w:p>
        </w:tc>
        <w:tc>
          <w:tcPr>
            <w:tcW w:w="114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200" w:type="dxa"/>
            <w:vAlign w:val="bottom"/>
          </w:tcPr>
          <w:p>
            <w:pPr>
              <w:spacing w:after="0"/>
              <w:rPr>
                <w:sz w:val="20"/>
                <w:szCs w:val="20"/>
                <w:color w:val="auto"/>
              </w:rPr>
            </w:pPr>
          </w:p>
        </w:tc>
        <w:tc>
          <w:tcPr>
            <w:tcW w:w="1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2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shd w:val="clear" w:color="auto" w:fill="CCEEFF"/>
          </w:tcPr>
          <w:p>
            <w:pPr>
              <w:ind w:left="27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Land, at Cost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Building and Improvements, at Cost</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310,378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Real Estate, at Cost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(25,587)</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Estate—Net</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426,297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Lease Assets—Net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Straight-Line Rent Adjustment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565,447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ind w:left="196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2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Rent and Deferred Revenue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Lease Liabilities—Net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248,957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260,975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Contingencies—See Note 16</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Preferred Stock, $0.01 par value per share, 100 million shares authorized, no shares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issued and outstanding as of March 31, 2023 and December 31, 2022</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$0.01 par value per share, 500 million shares authorized,</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14,064,114 shares issued and outstanding as of March 31, 2023 and 13,394,677</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issued and outstanding as of December 31, 2022</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304,472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565,447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ALPINE INCOME PROPERTY TRUST,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 except share and per share data)</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0"/>
        </w:trPr>
        <w:tc>
          <w:tcPr>
            <w:tcW w:w="5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0" w:type="dxa"/>
            <w:vAlign w:val="bottom"/>
          </w:tcPr>
          <w:p>
            <w:pPr>
              <w:spacing w:after="0"/>
              <w:rPr>
                <w:sz w:val="18"/>
                <w:szCs w:val="18"/>
                <w:color w:val="auto"/>
              </w:rPr>
            </w:pPr>
          </w:p>
        </w:tc>
      </w:tr>
      <w:tr>
        <w:trPr>
          <w:trHeight w:val="209"/>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Lease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10,799</w:t>
            </w:r>
          </w:p>
        </w:tc>
        <w:tc>
          <w:tcPr>
            <w:tcW w:w="20" w:type="dxa"/>
            <w:vAlign w:val="bottom"/>
          </w:tcPr>
          <w:p>
            <w:pPr>
              <w:spacing w:after="0"/>
              <w:rPr>
                <w:sz w:val="18"/>
                <w:szCs w:val="18"/>
                <w:color w:val="auto"/>
              </w:rPr>
            </w:pPr>
          </w:p>
        </w:tc>
      </w:tr>
      <w:tr>
        <w:trPr>
          <w:trHeight w:val="210"/>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11,166</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10,799</w:t>
            </w:r>
          </w:p>
        </w:tc>
        <w:tc>
          <w:tcPr>
            <w:tcW w:w="20" w:type="dxa"/>
            <w:vAlign w:val="bottom"/>
          </w:tcPr>
          <w:p>
            <w:pPr>
              <w:spacing w:after="0"/>
              <w:rPr>
                <w:sz w:val="18"/>
                <w:szCs w:val="18"/>
                <w:color w:val="auto"/>
              </w:rPr>
            </w:pPr>
          </w:p>
        </w:tc>
      </w:tr>
      <w:tr>
        <w:trPr>
          <w:trHeight w:val="20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 Estate Expenses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0" w:type="dxa"/>
            <w:vAlign w:val="bottom"/>
          </w:tcPr>
          <w:p>
            <w:pPr>
              <w:spacing w:after="0"/>
              <w:rPr>
                <w:sz w:val="18"/>
                <w:szCs w:val="18"/>
                <w:color w:val="auto"/>
              </w:rPr>
            </w:pPr>
          </w:p>
        </w:tc>
      </w:tr>
      <w:tr>
        <w:trPr>
          <w:trHeight w:val="216"/>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20" w:type="dxa"/>
            <w:vAlign w:val="bottom"/>
          </w:tcPr>
          <w:p>
            <w:pPr>
              <w:spacing w:after="0"/>
              <w:rPr>
                <w:sz w:val="18"/>
                <w:szCs w:val="18"/>
                <w:color w:val="auto"/>
              </w:rPr>
            </w:pPr>
          </w:p>
        </w:tc>
      </w:tr>
      <w:tr>
        <w:trPr>
          <w:trHeight w:val="209"/>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5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Operations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20" w:type="dxa"/>
            <w:vAlign w:val="bottom"/>
          </w:tcPr>
          <w:p>
            <w:pPr>
              <w:spacing w:after="0"/>
              <w:rPr>
                <w:sz w:val="18"/>
                <w:szCs w:val="18"/>
                <w:color w:val="auto"/>
              </w:rPr>
            </w:pPr>
          </w:p>
        </w:tc>
      </w:tr>
      <w:tr>
        <w:trPr>
          <w:trHeight w:val="216"/>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0" w:type="dxa"/>
            <w:vAlign w:val="bottom"/>
          </w:tcPr>
          <w:p>
            <w:pPr>
              <w:spacing w:after="0"/>
              <w:rPr>
                <w:sz w:val="18"/>
                <w:szCs w:val="18"/>
                <w:color w:val="auto"/>
              </w:rPr>
            </w:pPr>
          </w:p>
        </w:tc>
      </w:tr>
      <w:tr>
        <w:trPr>
          <w:trHeight w:val="20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0" w:type="dxa"/>
            <w:vAlign w:val="bottom"/>
          </w:tcPr>
          <w:p>
            <w:pPr>
              <w:spacing w:after="0"/>
              <w:rPr>
                <w:sz w:val="18"/>
                <w:szCs w:val="18"/>
                <w:color w:val="auto"/>
              </w:rPr>
            </w:pPr>
          </w:p>
        </w:tc>
      </w:tr>
      <w:tr>
        <w:trPr>
          <w:trHeight w:val="216"/>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(406)</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8"/>
                <w:szCs w:val="18"/>
                <w:color w:val="auto"/>
              </w:rPr>
            </w:pPr>
          </w:p>
        </w:tc>
      </w:tr>
      <w:tr>
        <w:trPr>
          <w:trHeight w:val="210"/>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Alpine Income Property Trust, Inc.</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Common Share Data:</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Alpine Income Property Trust, Inc.</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0" w:type="dxa"/>
            <w:vAlign w:val="bottom"/>
          </w:tcPr>
          <w:p>
            <w:pPr>
              <w:spacing w:after="0"/>
              <w:rPr>
                <w:sz w:val="18"/>
                <w:szCs w:val="18"/>
                <w:color w:val="auto"/>
              </w:rPr>
            </w:pPr>
          </w:p>
        </w:tc>
      </w:tr>
      <w:tr>
        <w:trPr>
          <w:trHeight w:val="216"/>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14,000,553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11,662,697</w:t>
            </w:r>
          </w:p>
        </w:tc>
        <w:tc>
          <w:tcPr>
            <w:tcW w:w="20" w:type="dxa"/>
            <w:vAlign w:val="bottom"/>
          </w:tcPr>
          <w:p>
            <w:pPr>
              <w:spacing w:after="0"/>
              <w:rPr>
                <w:sz w:val="18"/>
                <w:szCs w:val="18"/>
                <w:color w:val="auto"/>
              </w:rPr>
            </w:pPr>
          </w:p>
        </w:tc>
      </w:tr>
      <w:tr>
        <w:trPr>
          <w:trHeight w:val="234"/>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15,704,047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13,366,191</w:t>
            </w:r>
          </w:p>
        </w:tc>
        <w:tc>
          <w:tcPr>
            <w:tcW w:w="20" w:type="dxa"/>
            <w:vAlign w:val="bottom"/>
          </w:tcPr>
          <w:p>
            <w:pPr>
              <w:spacing w:after="0"/>
              <w:rPr>
                <w:sz w:val="20"/>
                <w:szCs w:val="20"/>
                <w:color w:val="auto"/>
              </w:rPr>
            </w:pP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520" w:right="1860"/>
        <w:spacing w:after="0" w:line="266" w:lineRule="auto"/>
        <w:rPr>
          <w:sz w:val="20"/>
          <w:szCs w:val="20"/>
          <w:color w:val="auto"/>
        </w:rPr>
      </w:pPr>
      <w:r>
        <w:rPr>
          <w:rFonts w:ascii="Times New Roman" w:cs="Times New Roman" w:eastAsia="Times New Roman" w:hAnsi="Times New Roman"/>
          <w:sz w:val="18"/>
          <w:szCs w:val="18"/>
          <w:color w:val="auto"/>
        </w:rPr>
        <w:t>ALPINE INCOME PROPERTY TRUST, INC. CONSOLIDATED STATEMENTS OF COMPREHENSIVE INCOME (Unaudited,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0"/>
        </w:trPr>
        <w:tc>
          <w:tcPr>
            <w:tcW w:w="5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80" w:type="dxa"/>
            <w:vAlign w:val="bottom"/>
          </w:tcPr>
          <w:p>
            <w:pPr>
              <w:spacing w:after="0"/>
              <w:rPr>
                <w:sz w:val="18"/>
                <w:szCs w:val="18"/>
                <w:color w:val="auto"/>
              </w:rPr>
            </w:pPr>
          </w:p>
        </w:tc>
        <w:tc>
          <w:tcPr>
            <w:tcW w:w="15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 2022</w:t>
            </w:r>
          </w:p>
        </w:tc>
      </w:tr>
      <w:tr>
        <w:trPr>
          <w:trHeight w:val="209"/>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Alpine Income Property Trust, Inc.</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0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Flow Hedging Derivative - Interest Rate Swaps</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(2,766)</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6,832</w:t>
            </w:r>
          </w:p>
        </w:tc>
      </w:tr>
      <w:tr>
        <w:trPr>
          <w:trHeight w:val="21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6,832</w:t>
            </w:r>
          </w:p>
        </w:tc>
      </w:tr>
      <w:tr>
        <w:trPr>
          <w:trHeight w:val="209"/>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w:t>
            </w:r>
          </w:p>
        </w:tc>
      </w:tr>
      <w:tr>
        <w:trPr>
          <w:trHeight w:val="20"/>
        </w:trPr>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5" w:lineRule="auto"/>
        <w:rPr>
          <w:sz w:val="20"/>
          <w:szCs w:val="20"/>
          <w:color w:val="auto"/>
        </w:rPr>
      </w:pPr>
      <w:r>
        <w:rPr>
          <w:rFonts w:ascii="Times New Roman" w:cs="Times New Roman" w:eastAsia="Times New Roman" w:hAnsi="Times New Roman"/>
          <w:sz w:val="17"/>
          <w:szCs w:val="17"/>
          <w:color w:val="auto"/>
        </w:rPr>
        <w:t>ALPINE INCOME PROPERTY TRUST, INC. CONSOLIDATED STATEMENTS OF STOCKHOLDERS’ EQUITY (Unaudited, in thousands, except per share data)</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22"/>
        </w:trPr>
        <w:tc>
          <w:tcPr>
            <w:tcW w:w="322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For the three months ended March 31, 2023: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9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Stock at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4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12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140" w:type="dxa"/>
            <w:vAlign w:val="bottom"/>
          </w:tcPr>
          <w:p>
            <w:pPr>
              <w:spacing w:after="0"/>
              <w:rPr>
                <w:sz w:val="18"/>
                <w:szCs w:val="18"/>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14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Par</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4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Earnings</w:t>
            </w:r>
          </w:p>
        </w:tc>
        <w:tc>
          <w:tcPr>
            <w:tcW w:w="1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4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178"/>
        </w:trPr>
        <w:tc>
          <w:tcPr>
            <w:tcW w:w="14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 January</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1, 2023</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236,841</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14,601</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261,618</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$ 295,375</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Issuance to</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8"/>
        </w:trPr>
        <w:tc>
          <w:tcPr>
            <w:tcW w:w="1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 Issuance,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Net of Equity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12,388</w:t>
            </w: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Dividends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($0.275 per share)</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0" w:type="dxa"/>
            <w:vAlign w:val="bottom"/>
          </w:tcPr>
          <w:p>
            <w:pPr>
              <w:spacing w:after="0"/>
              <w:rPr>
                <w:sz w:val="1"/>
                <w:szCs w:val="1"/>
                <w:color w:val="auto"/>
              </w:rPr>
            </w:pPr>
          </w:p>
        </w:tc>
      </w:tr>
      <w:tr>
        <w:trPr>
          <w:trHeight w:val="198"/>
        </w:trPr>
        <w:tc>
          <w:tcPr>
            <w:tcW w:w="1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0" w:type="dxa"/>
            <w:vAlign w:val="bottom"/>
          </w:tcPr>
          <w:p>
            <w:pPr>
              <w:spacing w:after="0"/>
              <w:rPr>
                <w:sz w:val="1"/>
                <w:szCs w:val="1"/>
                <w:color w:val="auto"/>
              </w:rPr>
            </w:pPr>
          </w:p>
        </w:tc>
      </w:tr>
      <w:tr>
        <w:trPr>
          <w:trHeight w:val="178"/>
        </w:trPr>
        <w:tc>
          <w:tcPr>
            <w:tcW w:w="14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 March</w:t>
            </w:r>
          </w:p>
        </w:tc>
        <w:tc>
          <w:tcPr>
            <w:tcW w:w="2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249,288</w:t>
            </w:r>
          </w:p>
        </w:tc>
        <w:tc>
          <w:tcPr>
            <w:tcW w:w="2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11,835</w:t>
            </w:r>
          </w:p>
        </w:tc>
        <w:tc>
          <w:tcPr>
            <w:tcW w:w="32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270,778</w:t>
            </w:r>
          </w:p>
        </w:tc>
        <w:tc>
          <w:tcPr>
            <w:tcW w:w="3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33,694</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$ 304,472</w:t>
            </w:r>
          </w:p>
        </w:tc>
        <w:tc>
          <w:tcPr>
            <w:tcW w:w="0" w:type="dxa"/>
            <w:vAlign w:val="bottom"/>
          </w:tcPr>
          <w:p>
            <w:pPr>
              <w:spacing w:after="0"/>
              <w:rPr>
                <w:sz w:val="1"/>
                <w:szCs w:val="1"/>
                <w:color w:val="auto"/>
              </w:rPr>
            </w:pPr>
          </w:p>
        </w:tc>
      </w:tr>
      <w:tr>
        <w:trPr>
          <w:trHeight w:val="221"/>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31, 2023</w:t>
            </w:r>
          </w:p>
        </w:tc>
        <w:tc>
          <w:tcPr>
            <w:tcW w:w="260" w:type="dxa"/>
            <w:vAlign w:val="bottom"/>
            <w:gridSpan w:val="2"/>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For the three months ended March 31, 2022:</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9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 Excess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Stock at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Net</w:t>
            </w:r>
          </w:p>
        </w:tc>
        <w:tc>
          <w:tcPr>
            <w:tcW w:w="1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4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12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140" w:type="dxa"/>
            <w:vAlign w:val="bottom"/>
          </w:tcPr>
          <w:p>
            <w:pPr>
              <w:spacing w:after="0"/>
              <w:rPr>
                <w:sz w:val="18"/>
                <w:szCs w:val="18"/>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12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Par</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4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178"/>
        </w:trPr>
        <w:tc>
          <w:tcPr>
            <w:tcW w:w="12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 January</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1, 2022</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200,906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196,523</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$ 227,902</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Issuance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Directors</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8"/>
        </w:trPr>
        <w:tc>
          <w:tcPr>
            <w:tcW w:w="1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 Issuance,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Net of Equity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Dividends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($0.27 per</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0" w:type="dxa"/>
            <w:vAlign w:val="bottom"/>
          </w:tcPr>
          <w:p>
            <w:pPr>
              <w:spacing w:after="0"/>
              <w:rPr>
                <w:sz w:val="1"/>
                <w:szCs w:val="1"/>
                <w:color w:val="auto"/>
              </w:rPr>
            </w:pPr>
          </w:p>
        </w:tc>
      </w:tr>
      <w:tr>
        <w:trPr>
          <w:trHeight w:val="198"/>
        </w:trPr>
        <w:tc>
          <w:tcPr>
            <w:tcW w:w="1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0" w:type="dxa"/>
            <w:vAlign w:val="bottom"/>
          </w:tcPr>
          <w:p>
            <w:pPr>
              <w:spacing w:after="0"/>
              <w:rPr>
                <w:sz w:val="1"/>
                <w:szCs w:val="1"/>
                <w:color w:val="auto"/>
              </w:rPr>
            </w:pPr>
          </w:p>
        </w:tc>
      </w:tr>
      <w:tr>
        <w:trPr>
          <w:trHeight w:val="178"/>
        </w:trPr>
        <w:tc>
          <w:tcPr>
            <w:tcW w:w="12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 March</w:t>
            </w:r>
          </w:p>
        </w:tc>
        <w:tc>
          <w:tcPr>
            <w:tcW w:w="2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207,035</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32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207,128</w:t>
            </w:r>
          </w:p>
        </w:tc>
        <w:tc>
          <w:tcPr>
            <w:tcW w:w="3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31,037</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$ 238,165</w:t>
            </w:r>
          </w:p>
        </w:tc>
        <w:tc>
          <w:tcPr>
            <w:tcW w:w="0" w:type="dxa"/>
            <w:vAlign w:val="bottom"/>
          </w:tcPr>
          <w:p>
            <w:pPr>
              <w:spacing w:after="0"/>
              <w:rPr>
                <w:sz w:val="1"/>
                <w:szCs w:val="1"/>
                <w:color w:val="auto"/>
              </w:rPr>
            </w:pPr>
          </w:p>
        </w:tc>
      </w:tr>
      <w:tr>
        <w:trPr>
          <w:trHeight w:val="221"/>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31, 2022</w:t>
            </w:r>
          </w:p>
        </w:tc>
        <w:tc>
          <w:tcPr>
            <w:tcW w:w="280" w:type="dxa"/>
            <w:vAlign w:val="bottom"/>
            <w:gridSpan w:val="2"/>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ALPINE INCOME PROPERTY TRUST,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0"/>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0" w:type="dxa"/>
            <w:vAlign w:val="bottom"/>
          </w:tcPr>
          <w:p>
            <w:pPr>
              <w:spacing w:after="0"/>
              <w:rPr>
                <w:sz w:val="18"/>
                <w:szCs w:val="18"/>
                <w:color w:val="auto"/>
              </w:rPr>
            </w:pPr>
          </w:p>
        </w:tc>
      </w:tr>
      <w:tr>
        <w:trPr>
          <w:trHeight w:val="209"/>
        </w:trPr>
        <w:tc>
          <w:tcPr>
            <w:tcW w:w="570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0" w:type="dxa"/>
            <w:vAlign w:val="bottom"/>
          </w:tcPr>
          <w:p>
            <w:pPr>
              <w:spacing w:after="0"/>
              <w:rPr>
                <w:sz w:val="18"/>
                <w:szCs w:val="18"/>
                <w:color w:val="auto"/>
              </w:rPr>
            </w:pPr>
          </w:p>
        </w:tc>
      </w:tr>
      <w:tr>
        <w:trPr>
          <w:trHeight w:val="198"/>
        </w:trPr>
        <w:tc>
          <w:tcPr>
            <w:tcW w:w="5700" w:type="dxa"/>
            <w:vAlign w:val="bottom"/>
            <w:gridSpan w:val="3"/>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Operating</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5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Intangible Lease Assets and Liabilities to Lease Income</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Amortization of Deferred Financing Costs to Interest Expense</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(4,453)</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Non-Cash Compensation</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Decrease (Increase) in Assets: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Straight-Line Rent Adjustment</w:t>
            </w: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COVID-19 Rent Repayments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(953)</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Increase (Decrease) in Liabilities: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Rent and Deferred Revenue</w:t>
            </w: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0" w:type="dxa"/>
            <w:vAlign w:val="bottom"/>
          </w:tcPr>
          <w:p>
            <w:pPr>
              <w:spacing w:after="0"/>
              <w:rPr>
                <w:sz w:val="18"/>
                <w:szCs w:val="18"/>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56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20" w:type="dxa"/>
            <w:vAlign w:val="bottom"/>
          </w:tcPr>
          <w:p>
            <w:pPr>
              <w:spacing w:after="0"/>
              <w:rPr>
                <w:sz w:val="18"/>
                <w:szCs w:val="18"/>
                <w:color w:val="auto"/>
              </w:rPr>
            </w:pPr>
          </w:p>
        </w:tc>
      </w:tr>
      <w:tr>
        <w:trPr>
          <w:trHeight w:val="210"/>
        </w:trPr>
        <w:tc>
          <w:tcPr>
            <w:tcW w:w="5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Investing Activities: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Acquisition of Real Estate, Including Capitalized Expenditures</w:t>
            </w: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(66,089)</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56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55,350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(66,089)</w:t>
            </w:r>
          </w:p>
        </w:tc>
        <w:tc>
          <w:tcPr>
            <w:tcW w:w="20" w:type="dxa"/>
            <w:vAlign w:val="bottom"/>
          </w:tcPr>
          <w:p>
            <w:pPr>
              <w:spacing w:after="0"/>
              <w:rPr>
                <w:sz w:val="18"/>
                <w:szCs w:val="18"/>
                <w:color w:val="auto"/>
              </w:rPr>
            </w:pPr>
          </w:p>
        </w:tc>
      </w:tr>
      <w:tr>
        <w:trPr>
          <w:trHeight w:val="210"/>
        </w:trPr>
        <w:tc>
          <w:tcPr>
            <w:tcW w:w="5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Financing Activities: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62,000</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(19,500)</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Cash Paid for Loan Fees</w:t>
            </w: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Stock Issuance, Net</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Dividends Paid</w:t>
            </w: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(4,336)</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20" w:type="dxa"/>
            <w:vAlign w:val="bottom"/>
          </w:tcPr>
          <w:p>
            <w:pPr>
              <w:spacing w:after="0"/>
              <w:rPr>
                <w:sz w:val="18"/>
                <w:szCs w:val="18"/>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5680" w:type="dxa"/>
            <w:vAlign w:val="bottom"/>
            <w:tcBorders>
              <w:top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53,405</w:t>
            </w:r>
          </w:p>
        </w:tc>
        <w:tc>
          <w:tcPr>
            <w:tcW w:w="20" w:type="dxa"/>
            <w:vAlign w:val="bottom"/>
          </w:tcPr>
          <w:p>
            <w:pPr>
              <w:spacing w:after="0"/>
              <w:rPr>
                <w:sz w:val="18"/>
                <w:szCs w:val="18"/>
                <w:color w:val="auto"/>
              </w:rPr>
            </w:pPr>
          </w:p>
        </w:tc>
      </w:tr>
      <w:tr>
        <w:trPr>
          <w:trHeight w:val="209"/>
        </w:trPr>
        <w:tc>
          <w:tcPr>
            <w:tcW w:w="5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20" w:type="dxa"/>
            <w:vAlign w:val="bottom"/>
          </w:tcPr>
          <w:p>
            <w:pPr>
              <w:spacing w:after="0"/>
              <w:rPr>
                <w:sz w:val="18"/>
                <w:szCs w:val="18"/>
                <w:color w:val="auto"/>
              </w:rPr>
            </w:pPr>
          </w:p>
        </w:tc>
      </w:tr>
      <w:tr>
        <w:trPr>
          <w:trHeight w:val="216"/>
        </w:trPr>
        <w:tc>
          <w:tcPr>
            <w:tcW w:w="5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9,497</w:t>
            </w:r>
          </w:p>
        </w:tc>
        <w:tc>
          <w:tcPr>
            <w:tcW w:w="20" w:type="dxa"/>
            <w:vAlign w:val="bottom"/>
          </w:tcPr>
          <w:p>
            <w:pPr>
              <w:spacing w:after="0"/>
              <w:rPr>
                <w:sz w:val="18"/>
                <w:szCs w:val="18"/>
                <w:color w:val="auto"/>
              </w:rPr>
            </w:pPr>
          </w:p>
        </w:tc>
      </w:tr>
      <w:tr>
        <w:trPr>
          <w:trHeight w:val="250"/>
        </w:trPr>
        <w:tc>
          <w:tcPr>
            <w:tcW w:w="57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63,559</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20" w:type="dxa"/>
            <w:vAlign w:val="bottom"/>
          </w:tcPr>
          <w:p>
            <w:pPr>
              <w:spacing w:after="0"/>
              <w:rPr>
                <w:sz w:val="21"/>
                <w:szCs w:val="21"/>
                <w:color w:val="auto"/>
              </w:rPr>
            </w:pPr>
          </w:p>
        </w:tc>
      </w:tr>
      <w:tr>
        <w:trPr>
          <w:trHeight w:val="196"/>
        </w:trPr>
        <w:tc>
          <w:tcPr>
            <w:tcW w:w="20" w:type="dxa"/>
            <w:vAlign w:val="bottom"/>
            <w:shd w:val="clear" w:color="auto" w:fill="CCEEFF"/>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75"/>
        </w:trPr>
        <w:tc>
          <w:tcPr>
            <w:tcW w:w="57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Reconciliation of Cash to the Consolidated Balance Sheets:</w:t>
            </w: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20" w:type="dxa"/>
            <w:vAlign w:val="bottom"/>
          </w:tcPr>
          <w:p>
            <w:pPr>
              <w:spacing w:after="0"/>
              <w:rPr>
                <w:sz w:val="18"/>
                <w:szCs w:val="18"/>
                <w:color w:val="auto"/>
              </w:rPr>
            </w:pPr>
          </w:p>
        </w:tc>
      </w:tr>
      <w:tr>
        <w:trPr>
          <w:trHeight w:val="216"/>
        </w:trPr>
        <w:tc>
          <w:tcPr>
            <w:tcW w:w="57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59,269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0" w:type="dxa"/>
            <w:vAlign w:val="bottom"/>
          </w:tcPr>
          <w:p>
            <w:pPr>
              <w:spacing w:after="0"/>
              <w:rPr>
                <w:sz w:val="18"/>
                <w:szCs w:val="18"/>
                <w:color w:val="auto"/>
              </w:rPr>
            </w:pPr>
          </w:p>
        </w:tc>
      </w:tr>
      <w:tr>
        <w:trPr>
          <w:trHeight w:val="210"/>
        </w:trPr>
        <w:tc>
          <w:tcPr>
            <w:tcW w:w="57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500" w:right="1980"/>
        <w:spacing w:after="0" w:line="266" w:lineRule="auto"/>
        <w:rPr>
          <w:sz w:val="20"/>
          <w:szCs w:val="20"/>
          <w:color w:val="auto"/>
        </w:rPr>
      </w:pPr>
      <w:r>
        <w:rPr>
          <w:rFonts w:ascii="Times New Roman" w:cs="Times New Roman" w:eastAsia="Times New Roman" w:hAnsi="Times New Roman"/>
          <w:sz w:val="18"/>
          <w:szCs w:val="18"/>
          <w:color w:val="auto"/>
        </w:rPr>
        <w:t>ALPINE INCOME PROPERTY TRUST, INC. CONSOLIDATED STATEMENTS OF CASH FLOWS (Continued) (Unaudited, in thousands)</w:t>
      </w: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0"/>
        </w:trPr>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6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March 31, 2022</w:t>
            </w:r>
          </w:p>
        </w:tc>
      </w:tr>
      <w:tr>
        <w:trPr>
          <w:trHeight w:val="209"/>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r>
      <w:tr>
        <w:trPr>
          <w:trHeight w:val="216"/>
        </w:trPr>
        <w:tc>
          <w:tcPr>
            <w:tcW w:w="5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 (Loss) on Cash Flow Hedge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6,832</w:t>
            </w:r>
          </w:p>
        </w:tc>
      </w:tr>
      <w:tr>
        <w:trPr>
          <w:trHeight w:val="234"/>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 and Operating Lease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 BUSINESS AND ORGANIZATION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BUSINESS</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Alpine Income Property Trust, Inc. (the “Company” or “PINE”) is a real estate company that owns and operates a high-quality portfolio of commercial net lease properties. The terms “us,” “we,” “our,” and “the Company” as used in this report refer to Alpine Income Property Trust, Inc. together with our consolidated subsidiaries.</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portfolio consists of 138 net leased properties located in 106 markets in 34 states. The properties in our portfolio are primarily subject to long-term, triple-net leases, which generally require the tenant to pay all of the property operating expenses such as real estate taxes, insurance, assessments and other governmental fees, utilities, repairs and maintenance and certain capital expenditures.</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has no employees and is externally managed by Alpine Income Property Manager, LLC, a Delaware limited liability company and a wholly owned subsidiary of CTO Realty Growth, Inc. (our “Manager”). CTO Realty Growth, Inc. (NYSE: CTO) is a Maryland corporation that is a publicly traded diversified real estate investment trust (“REIT”) and the sole member of our Manager (“CTO”).</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is a Maryland corporation that was formed on August 19, 2019. On November 26, 2019, the Company closed its initial public offering (“IPO”). We conduct the substantial majority of our operations through Alpine Income Property OP, LP (the “Operating Partnership”). Our wholly owned subsidiary, Alpine Income Property GP, LLC (“PINE GP”), is the sole general partner of the Operating Partnership. Substantially all of our assets are held by, and our operations are conducted through, the Operating Partnership. As of March 31, 2023, we have a total ownership interest in the Operating Partnership of 89.2%, with CTO holding, directly and indirectly, a 7.8% ownership interest in the Operating Partnership. The remaining 3.0% ownership interest is held by an unrelated third party in connection with the issuance of units of the Operating Partnership (“OP Units”) as consideration for a portfolio of net lease properties acquired during the year ended December 31, 2021. Our interest in the Operating Partnership generally entitles us to share in cash distributions from, and in the profits and losses of, the Operating Partnership in proportion to our percentage ownership. We, through PINE GP, generally have the exclusive power under the partnership agreement to manage and conduct the business and affairs of the Operating Partnership, subject to certain approval and voting rights of the limited partners. Our Board of Directors (the “Board”) manages or provides oversight of our business and affairs.</w:t>
      </w:r>
    </w:p>
    <w:p>
      <w:pPr>
        <w:spacing w:after="0" w:line="200" w:lineRule="exact"/>
        <w:rPr>
          <w:sz w:val="20"/>
          <w:szCs w:val="20"/>
          <w:color w:val="auto"/>
        </w:rPr>
      </w:pPr>
    </w:p>
    <w:p>
      <w:pPr>
        <w:spacing w:after="0" w:line="203" w:lineRule="exact"/>
        <w:rPr>
          <w:sz w:val="20"/>
          <w:szCs w:val="20"/>
          <w:color w:val="auto"/>
        </w:rPr>
      </w:pPr>
    </w:p>
    <w:p>
      <w:pPr>
        <w:jc w:val="both"/>
        <w:ind w:left="60" w:right="59" w:firstLine="385"/>
        <w:spacing w:after="0" w:line="253" w:lineRule="auto"/>
        <w:rPr>
          <w:sz w:val="20"/>
          <w:szCs w:val="20"/>
          <w:color w:val="auto"/>
        </w:rPr>
      </w:pPr>
      <w:r>
        <w:rPr>
          <w:rFonts w:ascii="Times New Roman" w:cs="Times New Roman" w:eastAsia="Times New Roman" w:hAnsi="Times New Roman"/>
          <w:sz w:val="18"/>
          <w:szCs w:val="18"/>
          <w:color w:val="auto"/>
        </w:rPr>
        <w:t>The Company has elected to be taxed as a REIT for U.S. federal income tax purposes under the Internal Revenue Code of 1986, as amended (the “Code”). To qualify as a REIT, the Company must meet certain organizational and operational requirements, including a requirement to distribute at least 90% of the Company’s annual REIT taxable income, without regard to the dividends paid deduction or net capital gain, to its stockholders (which does not necessarily equal net income as calculated in accordance with generally accepted accounting principles). As a REIT, the Company is generally not subject to U.S. federal corporate income tax to the extent of its distributions to stockholders. If the Company fails to qualify as a REIT in any taxable year, the Company will be subject to U.S. federal income tax on its taxable income at regular corporate rates and generally will not be permitted to qualify for treatment as a REIT for the four taxable years following the year during which qualification is lost unless the Internal Revenue Service grants the Company relief under certain statutory provisions. Such an event could materially adversely affect the Company’s net income and net cash available for distribution to stockholders. Even if the Company qualifies for taxation as a REIT, the Company may be subject to state and local taxes on its income and property and federal income and excise taxes on its undistributed income.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 SUMMARY OF SIGNIFICANT ACCOUNTING POLICIES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USE OF ESTIMATES IN THE PREPARATION OF FINANCIAL STATEMENTS</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presented. Actual results could differ from those estimates.</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Among other factors, fluctuating market conditions that can exist in the national real estate markets and the volatility and uncertainty in the financial and credit markets make it possible that the estimates and assumptions, most notably those related to PINE’s investment in properties, could change materially due to continued volatility in the real estate and financial markets, or as a result of a significant dislocation in those markets.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follows Financial Accounting Standards Board (“FASB”) Accounting Standards Codification (“ASC”) Topic 360-10,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in conducting its impairment analyses. The Company reviews the recoverability of long-lived assets, primarily real estate, for impairment whenever events or changes in circumstances indicate that the carrying amount of an asset may not be recoverable. Examples of situations considered to be triggering events include: a substantial decline in operating cash flows during the period, a current or projected loss from operations, a property not fully leased or leased at rates that are less than current market rates, and any other quantitative or qualitative events deemed significant by management. Long-lived assets are evaluated for impairment by using an undiscounted cash flow approach, which considers future estimated capital expenditures. Impairment of long-lived assets is measured at fair value less cost to sell.</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PURCHASE ACCOUNTING FOR ACQUISITIONS OF REAL ESTATE SUBJECT TO A LEASE</w:t>
      </w:r>
    </w:p>
    <w:p>
      <w:pPr>
        <w:spacing w:after="0" w:line="227" w:lineRule="exact"/>
        <w:rPr>
          <w:sz w:val="20"/>
          <w:szCs w:val="20"/>
          <w:color w:val="auto"/>
        </w:rPr>
      </w:pPr>
    </w:p>
    <w:p>
      <w:pPr>
        <w:jc w:val="both"/>
        <w:ind w:left="60" w:right="59" w:firstLine="545"/>
        <w:spacing w:after="0" w:line="253" w:lineRule="auto"/>
        <w:rPr>
          <w:sz w:val="20"/>
          <w:szCs w:val="20"/>
          <w:color w:val="auto"/>
        </w:rPr>
      </w:pPr>
      <w:r>
        <w:rPr>
          <w:rFonts w:ascii="Times New Roman" w:cs="Times New Roman" w:eastAsia="Times New Roman" w:hAnsi="Times New Roman"/>
          <w:sz w:val="18"/>
          <w:szCs w:val="18"/>
          <w:color w:val="auto"/>
        </w:rPr>
        <w:t xml:space="preserve">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Accounting Standards Update (“ASU”) 2017-01, Business Combinations (Topic 805): </w:t>
      </w:r>
      <w:r>
        <w:rPr>
          <w:rFonts w:ascii="Times New Roman" w:cs="Times New Roman" w:eastAsia="Times New Roman" w:hAnsi="Times New Roman"/>
          <w:sz w:val="18"/>
          <w:szCs w:val="18"/>
          <w:i w:val="1"/>
          <w:iCs w:val="1"/>
          <w:color w:val="auto"/>
        </w:rPr>
        <w:t>Clarifying the Definition of a Business</w:t>
      </w:r>
      <w:r>
        <w:rPr>
          <w:rFonts w:ascii="Times New Roman" w:cs="Times New Roman" w:eastAsia="Times New Roman" w:hAnsi="Times New Roman"/>
          <w:sz w:val="18"/>
          <w:szCs w:val="18"/>
          <w:color w:val="auto"/>
        </w:rPr>
        <w:t>,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spacing w:after="0" w:line="192" w:lineRule="exact"/>
        <w:rPr>
          <w:sz w:val="20"/>
          <w:szCs w:val="20"/>
          <w:color w:val="auto"/>
        </w:rPr>
      </w:pPr>
    </w:p>
    <w:p>
      <w:pPr>
        <w:jc w:val="both"/>
        <w:ind w:left="60" w:right="59" w:firstLine="500"/>
        <w:spacing w:after="0" w:line="253" w:lineRule="auto"/>
        <w:rPr>
          <w:sz w:val="20"/>
          <w:szCs w:val="20"/>
          <w:color w:val="auto"/>
        </w:rPr>
      </w:pPr>
      <w:r>
        <w:rPr>
          <w:rFonts w:ascii="Times New Roman" w:cs="Times New Roman" w:eastAsia="Times New Roman" w:hAnsi="Times New Roman"/>
          <w:sz w:val="18"/>
          <w:szCs w:val="18"/>
          <w:color w:val="auto"/>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management believes that it is likely that the tenant will renew the lease upon expiration, in which case the Company amortizes the value attributable to the renewal over the renewal period.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SALES OF REAL ESTATE</w:t>
      </w:r>
    </w:p>
    <w:p>
      <w:pPr>
        <w:spacing w:after="0" w:line="227" w:lineRule="exact"/>
        <w:rPr>
          <w:sz w:val="20"/>
          <w:szCs w:val="20"/>
          <w:color w:val="auto"/>
        </w:rPr>
      </w:pPr>
    </w:p>
    <w:p>
      <w:pPr>
        <w:jc w:val="both"/>
        <w:ind w:left="60" w:right="59" w:firstLine="500"/>
        <w:spacing w:after="0" w:line="258" w:lineRule="auto"/>
        <w:rPr>
          <w:sz w:val="20"/>
          <w:szCs w:val="20"/>
          <w:color w:val="auto"/>
        </w:rPr>
      </w:pPr>
      <w:r>
        <w:rPr>
          <w:rFonts w:ascii="Times New Roman" w:cs="Times New Roman" w:eastAsia="Times New Roman" w:hAnsi="Times New Roman"/>
          <w:sz w:val="18"/>
          <w:szCs w:val="18"/>
          <w:color w:val="auto"/>
        </w:rPr>
        <w:t>When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 on dispositions of assets. In accordance with the FASB guidance, gains or losses on sales of real estate are generally recognized using the full accrual method.</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PROPERTY LEASE REVENUE</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rental arrangements associated with the Company’s property portfolio are classified as operating leases. The Company recognizes lease income on these properties on a straight-line basis over the term of the lease. Accordingly, contractual lease payment increases are recognized evenly over the term of the lease. The periodic difference between lease income recognized under this method and contractual lease payment terms (i.e., straight-line rent) is recorded as a deferred operating lease receivable and is included in straight-line rent adjustment on the accompanying consolidated balance sheets. The Company’s leases provide for reimbursement from tenants for variable lease payments including common area maintenance, insurance, real estate taxes, and other operating expenses. A portion of our variable lease payment revenue is estimated each period and is recognized as rental income in the period the recoverable costs are incurred and accrued.</w:t>
      </w:r>
    </w:p>
    <w:p>
      <w:pPr>
        <w:spacing w:after="0" w:line="19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collectability of tenant receivables and straight-line rent adjustments is determined based on, among other things, the aging of the tenant receivable, management’s evaluation of credit risk associated with the tenant and industry of the tenant, and a review of specifically identified accounts using judgment. As of March 31, 2023 and December 31, 2022, the Company’s allowance for doubtful accounts totaled $0.4 million.</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OPERATING LAND LEASE EXPENSE</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is the lessee under operating land leases for certain of its properties, which leases are classified as operating leases pursuant to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corresponding lease expense is recognized on a straight-line basis over the term of the lease and is included in real estate expenses in the accompanying consolidated statements of operations.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Cash and cash equivalents include cash on hand, bank demand accounts, and money market accounts having original maturities of 90 days or less. The Company’s bank balances as of March 31, 2023 and December 31, 2022 include certain amounts over the Federal Deposit Insurance Corporation limits. The carrying value of cash and cash equivalents is reported at Level 1 in the fair value hierarchy, which represents valuation based upon quoted prices in active markets for identical assets or liabilities.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27"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Restricted cash totaled $59.3 million as of March 31, 2023 largely due to property dispositions that occurred during the three months ended March 31, 2023 (See Note 3, “Property Portfolio”) which is held in various escrow accounts to be reinvested through the like-kind exchange structure into other income properties.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DERIVATIVE FINANCIAL INSTRUMENTS AND HEDGING ACTIVITY</w:t>
      </w:r>
    </w:p>
    <w:p>
      <w:pPr>
        <w:spacing w:after="0" w:line="22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its cash flow hedging derivatives in accordance with FASB ASC Topic 815-20,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Hedging</w:t>
      </w:r>
      <w:r>
        <w:rPr>
          <w:rFonts w:ascii="Times New Roman" w:cs="Times New Roman" w:eastAsia="Times New Roman" w:hAnsi="Times New Roman"/>
          <w:sz w:val="18"/>
          <w:szCs w:val="18"/>
          <w:color w:val="auto"/>
        </w:rPr>
        <w:t>. Depending upon the hedge’s value at each balance sheet date, the derivatives are included in either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accounts payable, accrued expenses, and other liabilities on the accompanying consolidated balance sheet at its fair value. On the date each interest rate swap was entered into, the Company designated the derivatives as a hedge of the variability of cash flows to be paid related to the recognized long-term debt liabilities.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will continue to do so on a quarterly basis.</w:t>
      </w:r>
    </w:p>
    <w:p>
      <w:pPr>
        <w:spacing w:after="0" w:line="180"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10, “Interest Rate Swaps”).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carrying amounts of the Company’s financial assets and liabilities including cash and cash equivalents, restricted cash, accounts receivable included in other assets, accounts payable, accrued expenses and other liabilities approximate fair value because of the short maturity of these instruments. The carrying value of the Credit Facility, hereinafter defined, approximates current market rates for revolving credit arrangements with similar risks and maturities. The Company estimates the fair value of its mortgage note payable and term loans based on incremental borrowing rates for similar types of borrowing arrangements with the same remaining maturity and on the discounted estimated future cash payments to be made for other debt. The discount rate used to calculate the fair value of debt approximates current lending rates for loans and assumes the debt is outstanding through maturity. Since such amounts are estimates that are based on limited available market information for similar transactions, which is a Level 2 non-recurring measurement, there can be no assurance that the disclosed value of any financial instrument could be realized by immediate settlement of the instrument.</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1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Company’s estimates of fair value of financial and non-financial assets and liabilities is based on the framework established by GAAP. The framework specifies a hierarchy of valuation inputs which was established to increase consistency, clarity and comparability in fair value measurements and related disclosures. GAAP describes a fair value hierarchy based upon three levels of inputs that may be used to measure fair value, two of which are considered observable and one that is considered unobservable. The following describes the three levels:</w:t>
      </w:r>
    </w:p>
    <w:p>
      <w:pPr>
        <w:spacing w:after="0" w:line="170" w:lineRule="exact"/>
        <w:rPr>
          <w:sz w:val="20"/>
          <w:szCs w:val="20"/>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 is based upon quoted prices in active markets for identical assets or liabilities.</w:t>
      </w:r>
    </w:p>
    <w:p>
      <w:pPr>
        <w:spacing w:after="0" w:line="211"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63"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14"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Walgreens accounted for 12% of total revenues. There were no tenants who accounted for more than 10% of total revenues during the three months ended March 31, 2022.</w:t>
      </w:r>
    </w:p>
    <w:p>
      <w:pPr>
        <w:spacing w:after="0" w:line="162"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As of March 31, 2023 and December 31, 2022, 14% and 19%, respectively, of the Company’s real estate portfolio, based on square footage, was located in the state of Texas.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3. PROPERTY PORTFOLIO</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As of March 31, 2023, the Company’s property portfolio consisted of 138 properties with total square footage of 3.5 million.</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Leasing revenue consists of long-term rental revenue from retail and office properties, which is recognized as earned, using the straight-line method over the life of each lease. Lease payments below include straight-line base rental revenue as well as the non-cash accretion of above and below market lease amortization. The variable lease payments are comprised of percentage rent payments and reimbursements from tenants for common area maintenance, insurance, real estate taxes, and other operating expenses.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components of leasing revenue are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430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Borders>
              <w:bottom w:val="single" w:sz="8" w:color="auto"/>
            </w:tcBorders>
          </w:tcPr>
          <w:p>
            <w:pPr>
              <w:spacing w:after="0"/>
              <w:rPr>
                <w:sz w:val="20"/>
                <w:szCs w:val="20"/>
                <w:color w:val="auto"/>
              </w:rPr>
            </w:pPr>
          </w:p>
        </w:tc>
      </w:tr>
      <w:tr>
        <w:trPr>
          <w:trHeight w:val="209"/>
        </w:trPr>
        <w:tc>
          <w:tcPr>
            <w:tcW w:w="404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5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560" w:type="dxa"/>
            <w:vAlign w:val="bottom"/>
            <w:tcBorders>
              <w:bottom w:val="single" w:sz="8" w:color="auto"/>
            </w:tcBorders>
          </w:tcPr>
          <w:p>
            <w:pPr>
              <w:spacing w:after="0"/>
              <w:rPr>
                <w:sz w:val="18"/>
                <w:szCs w:val="18"/>
                <w:color w:val="auto"/>
              </w:rPr>
            </w:pPr>
          </w:p>
        </w:tc>
      </w:tr>
      <w:tr>
        <w:trPr>
          <w:trHeight w:val="21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Income</w:t>
            </w:r>
          </w:p>
        </w:tc>
        <w:tc>
          <w:tcPr>
            <w:tcW w:w="1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Payments</w:t>
            </w:r>
          </w:p>
        </w:tc>
        <w:tc>
          <w:tcPr>
            <w:tcW w:w="176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10,163</w:t>
            </w:r>
          </w:p>
        </w:tc>
        <w:tc>
          <w:tcPr>
            <w:tcW w:w="220" w:type="dxa"/>
            <w:vAlign w:val="bottom"/>
          </w:tcPr>
          <w:p>
            <w:pPr>
              <w:spacing w:after="0"/>
              <w:rPr>
                <w:sz w:val="18"/>
                <w:szCs w:val="18"/>
                <w:color w:val="auto"/>
              </w:rPr>
            </w:pPr>
          </w:p>
        </w:tc>
        <w:tc>
          <w:tcPr>
            <w:tcW w:w="176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9,731</w:t>
            </w:r>
          </w:p>
        </w:tc>
      </w:tr>
      <w:tr>
        <w:trPr>
          <w:trHeight w:val="216"/>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Variable Lease Payments</w:t>
            </w:r>
          </w:p>
        </w:tc>
        <w:tc>
          <w:tcPr>
            <w:tcW w:w="17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2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0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Income</w:t>
            </w:r>
          </w:p>
        </w:tc>
        <w:tc>
          <w:tcPr>
            <w:tcW w:w="176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11,166</w:t>
            </w:r>
          </w:p>
        </w:tc>
        <w:tc>
          <w:tcPr>
            <w:tcW w:w="220" w:type="dxa"/>
            <w:vAlign w:val="bottom"/>
          </w:tcPr>
          <w:p>
            <w:pPr>
              <w:spacing w:after="0"/>
              <w:rPr>
                <w:sz w:val="18"/>
                <w:szCs w:val="18"/>
                <w:color w:val="auto"/>
              </w:rPr>
            </w:pPr>
          </w:p>
        </w:tc>
        <w:tc>
          <w:tcPr>
            <w:tcW w:w="176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10,799</w:t>
            </w:r>
          </w:p>
        </w:tc>
      </w:tr>
      <w:tr>
        <w:trPr>
          <w:trHeight w:val="20"/>
        </w:trPr>
        <w:tc>
          <w:tcPr>
            <w:tcW w:w="40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Minimum Future Rental Receipts. </w:t>
      </w:r>
      <w:r>
        <w:rPr>
          <w:rFonts w:ascii="Times New Roman" w:cs="Times New Roman" w:eastAsia="Times New Roman" w:hAnsi="Times New Roman"/>
          <w:sz w:val="18"/>
          <w:szCs w:val="18"/>
          <w:color w:val="auto"/>
        </w:rPr>
        <w:t>Minimum future rental receipts under non-cancelable operating leases, excluding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rent and other lease payments that are not fixed and determinable, having remaining terms in excess of one year subsequent to March 31, 2023, are summarized as follows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60" w:type="dxa"/>
            <w:vAlign w:val="bottom"/>
          </w:tcPr>
          <w:p>
            <w:pPr>
              <w:spacing w:after="0"/>
              <w:rPr>
                <w:sz w:val="20"/>
                <w:szCs w:val="20"/>
                <w:color w:val="auto"/>
              </w:rPr>
            </w:pPr>
          </w:p>
        </w:tc>
        <w:tc>
          <w:tcPr>
            <w:tcW w:w="188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10"/>
        </w:trPr>
        <w:tc>
          <w:tcPr>
            <w:tcW w:w="6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2023</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27,557</w:t>
            </w: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35,802</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34,167</w:t>
            </w: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33,475</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30,405</w:t>
            </w: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26,556</w:t>
            </w:r>
          </w:p>
        </w:tc>
      </w:tr>
      <w:tr>
        <w:trPr>
          <w:trHeight w:val="216"/>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and Thereafter (Cumulative)</w:t>
            </w:r>
          </w:p>
        </w:tc>
        <w:tc>
          <w:tcPr>
            <w:tcW w:w="4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83,960</w:t>
            </w:r>
          </w:p>
        </w:tc>
      </w:tr>
      <w:tr>
        <w:trPr>
          <w:trHeight w:val="210"/>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271,922</w:t>
            </w:r>
          </w:p>
        </w:tc>
      </w:tr>
      <w:tr>
        <w:trPr>
          <w:trHeight w:val="20"/>
        </w:trPr>
        <w:tc>
          <w:tcPr>
            <w:tcW w:w="6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2023 Activity. </w:t>
      </w:r>
      <w:r>
        <w:rPr>
          <w:rFonts w:ascii="Times New Roman" w:cs="Times New Roman" w:eastAsia="Times New Roman" w:hAnsi="Times New Roman"/>
          <w:sz w:val="18"/>
          <w:szCs w:val="18"/>
          <w:color w:val="auto"/>
        </w:rPr>
        <w:t>No properties were acquired during the three months ended March 31, 2023. During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2023, the Company sold ten properties for an aggregate sales price of $56.2 million, generating aggregate gains on sale of $4.5 million.</w:t>
      </w:r>
    </w:p>
    <w:p>
      <w:pPr>
        <w:spacing w:after="0" w:line="10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2022 Activity. </w:t>
      </w:r>
      <w:r>
        <w:rPr>
          <w:rFonts w:ascii="Times New Roman" w:cs="Times New Roman" w:eastAsia="Times New Roman" w:hAnsi="Times New Roman"/>
          <w:sz w:val="18"/>
          <w:szCs w:val="18"/>
          <w:color w:val="auto"/>
        </w:rPr>
        <w:t>During the three months ended March 31, 2022, the Company acquired 16 properties for a combined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price of $65.5 million, or a total cost of $66.0 million including capitalized acquisition costs. The properties are located in 12 states, leased to 7 different tenants, and had a weighted average remaining lease term of 9.0 years at the time of acquisition. Of the total acquisition cost, $17.7 million was allocated to land, $41.7 million was allocated to buildings and improvements, $7.5 million was allocated to intangible assets pertaining to the in-place lease value, leasing fees, and above market lease value, and $0.9 million was allocated to intangible liabilities for the below market lease value. The weighted average amortization period for the intangible assets and liabilities was 9.2 years at acquisition. No properties were disposed of during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4. FAIR VALUE OF FINANCIAL INSTRUMENTS</w:t>
      </w:r>
    </w:p>
    <w:p>
      <w:pPr>
        <w:spacing w:after="0" w:line="21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value and estimated fair value of the Company’s financial instruments not carried at fair value on the consolidated balance sheets at March 31, 2023 and December 31, 2022 (in thousands):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2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420" w:type="dxa"/>
            <w:vAlign w:val="bottom"/>
          </w:tcPr>
          <w:p>
            <w:pPr>
              <w:spacing w:after="0"/>
              <w:rPr>
                <w:sz w:val="20"/>
                <w:szCs w:val="20"/>
                <w:color w:val="auto"/>
              </w:rPr>
            </w:pPr>
          </w:p>
        </w:tc>
        <w:tc>
          <w:tcPr>
            <w:tcW w:w="250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187"/>
        </w:trPr>
        <w:tc>
          <w:tcPr>
            <w:tcW w:w="3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8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8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 Level 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9,018</w:t>
            </w:r>
          </w:p>
        </w:tc>
      </w:tr>
      <w:tr>
        <w:trPr>
          <w:trHeight w:val="216"/>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 Level 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59,269</w:t>
            </w:r>
          </w:p>
        </w:tc>
        <w:tc>
          <w:tcPr>
            <w:tcW w:w="20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59,269</w:t>
            </w:r>
          </w:p>
        </w:tc>
        <w:tc>
          <w:tcPr>
            <w:tcW w:w="18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w:t>
            </w:r>
          </w:p>
        </w:tc>
      </w:tr>
      <w:tr>
        <w:trPr>
          <w:trHeight w:val="21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 Level 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248,957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230,286</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267,116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250,568</w:t>
            </w:r>
          </w:p>
        </w:tc>
      </w:tr>
    </w:tbl>
    <w:p>
      <w:pPr>
        <w:spacing w:after="0" w:line="184" w:lineRule="exact"/>
        <w:rPr>
          <w:sz w:val="20"/>
          <w:szCs w:val="20"/>
          <w:color w:val="auto"/>
        </w:rPr>
      </w:pPr>
    </w:p>
    <w:p>
      <w:pPr>
        <w:jc w:val="both"/>
        <w:ind w:left="60" w:right="59" w:firstLine="324"/>
        <w:spacing w:after="0" w:line="236" w:lineRule="auto"/>
        <w:rPr>
          <w:sz w:val="20"/>
          <w:szCs w:val="20"/>
          <w:color w:val="auto"/>
        </w:rPr>
      </w:pPr>
      <w:r>
        <w:rPr>
          <w:rFonts w:ascii="Times New Roman" w:cs="Times New Roman" w:eastAsia="Times New Roman" w:hAnsi="Times New Roman"/>
          <w:sz w:val="18"/>
          <w:szCs w:val="18"/>
          <w:color w:val="auto"/>
        </w:rPr>
        <w:t>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spacing w:after="0" w:line="186" w:lineRule="exact"/>
        <w:rPr>
          <w:sz w:val="20"/>
          <w:szCs w:val="20"/>
          <w:color w:val="auto"/>
        </w:rPr>
      </w:pPr>
    </w:p>
    <w:p>
      <w:pPr>
        <w:jc w:val="both"/>
        <w:ind w:left="60" w:right="59" w:firstLine="324"/>
        <w:spacing w:after="0" w:line="236" w:lineRule="auto"/>
        <w:rPr>
          <w:sz w:val="20"/>
          <w:szCs w:val="20"/>
          <w:color w:val="auto"/>
        </w:rPr>
      </w:pPr>
      <w:r>
        <w:rPr>
          <w:rFonts w:ascii="Times New Roman" w:cs="Times New Roman" w:eastAsia="Times New Roman" w:hAnsi="Times New Roman"/>
          <w:sz w:val="18"/>
          <w:szCs w:val="18"/>
          <w:color w:val="auto"/>
        </w:rPr>
        <w:t>The following tables present the fair value of assets measured on a recurring basis by level as of March 31, 2023 and December 31, 2022 (in thousands). See Note 10, “Interest Rate Swaps” for further disclosure related to the Company’s interest rate swaps.</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7"/>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Fair Value at Reporting Date Using</w:t>
            </w:r>
          </w:p>
        </w:tc>
      </w:tr>
      <w:tr>
        <w:trPr>
          <w:trHeight w:val="187"/>
        </w:trPr>
        <w:tc>
          <w:tcPr>
            <w:tcW w:w="2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Quoted Prices in</w:t>
            </w:r>
          </w:p>
        </w:tc>
        <w:tc>
          <w:tcPr>
            <w:tcW w:w="160" w:type="dxa"/>
            <w:vAlign w:val="bottom"/>
          </w:tcPr>
          <w:p>
            <w:pPr>
              <w:spacing w:after="0"/>
              <w:rPr>
                <w:sz w:val="16"/>
                <w:szCs w:val="16"/>
                <w:color w:val="auto"/>
              </w:rPr>
            </w:pPr>
          </w:p>
        </w:tc>
        <w:tc>
          <w:tcPr>
            <w:tcW w:w="132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Active Markets</w:t>
            </w:r>
          </w:p>
        </w:tc>
        <w:tc>
          <w:tcPr>
            <w:tcW w:w="16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16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2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38"/>
        </w:trPr>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Assets (Level 1)</w:t>
            </w:r>
          </w:p>
        </w:tc>
        <w:tc>
          <w:tcPr>
            <w:tcW w:w="14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Inputs (Level 2)</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r>
      <w:tr>
        <w:trPr>
          <w:trHeight w:val="210"/>
        </w:trPr>
        <w:tc>
          <w:tcPr>
            <w:tcW w:w="33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16"/>
        </w:trPr>
        <w:tc>
          <w:tcPr>
            <w:tcW w:w="3380" w:type="dxa"/>
            <w:vAlign w:val="bottom"/>
            <w:gridSpan w:val="2"/>
          </w:tcPr>
          <w:p>
            <w:pPr>
              <w:ind w:left="340"/>
              <w:spacing w:after="0" w:line="216" w:lineRule="exact"/>
              <w:rPr>
                <w:sz w:val="20"/>
                <w:szCs w:val="20"/>
                <w:color w:val="auto"/>
              </w:rPr>
            </w:pPr>
            <w:r>
              <w:rPr>
                <w:rFonts w:ascii="Times New Roman" w:cs="Times New Roman" w:eastAsia="Times New Roman" w:hAnsi="Times New Roman"/>
                <w:sz w:val="17"/>
                <w:szCs w:val="17"/>
                <w:color w:val="auto"/>
              </w:rPr>
              <w:t xml:space="preserve">2026 Term Loan Interest Rate Swap </w:t>
            </w:r>
            <w:r>
              <w:rPr>
                <w:rFonts w:ascii="Times New Roman" w:cs="Times New Roman" w:eastAsia="Times New Roman" w:hAnsi="Times New Roman"/>
                <w:sz w:val="25"/>
                <w:szCs w:val="25"/>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gridSpan w:val="2"/>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 xml:space="preserve">2027 Term Loan Interest Rate Swap </w:t>
            </w:r>
            <w:r>
              <w:rPr>
                <w:rFonts w:ascii="Times New Roman" w:cs="Times New Roman" w:eastAsia="Times New Roman" w:hAnsi="Times New Roman"/>
                <w:sz w:val="25"/>
                <w:szCs w:val="25"/>
                <w:color w:val="auto"/>
                <w:vertAlign w:val="superscript"/>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gridSpan w:val="2"/>
          </w:tcPr>
          <w:p>
            <w:pPr>
              <w:ind w:left="340"/>
              <w:spacing w:after="0" w:line="216" w:lineRule="exact"/>
              <w:rPr>
                <w:sz w:val="20"/>
                <w:szCs w:val="20"/>
                <w:color w:val="auto"/>
              </w:rPr>
            </w:pPr>
            <w:r>
              <w:rPr>
                <w:rFonts w:ascii="Times New Roman" w:cs="Times New Roman" w:eastAsia="Times New Roman" w:hAnsi="Times New Roman"/>
                <w:sz w:val="17"/>
                <w:szCs w:val="17"/>
                <w:color w:val="auto"/>
              </w:rPr>
              <w:t xml:space="preserve">Credit Facility Interest Rate Swap </w:t>
            </w:r>
            <w:r>
              <w:rPr>
                <w:rFonts w:ascii="Times New Roman" w:cs="Times New Roman" w:eastAsia="Times New Roman" w:hAnsi="Times New Roman"/>
                <w:sz w:val="25"/>
                <w:szCs w:val="25"/>
                <w:color w:val="auto"/>
                <w:vertAlign w:val="superscript"/>
              </w:rPr>
              <w:t>(3)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3380" w:type="dxa"/>
            <w:vAlign w:val="bottom"/>
            <w:gridSpan w:val="2"/>
          </w:tcPr>
          <w:p>
            <w:pPr>
              <w:ind w:left="340"/>
              <w:spacing w:after="0" w:line="216" w:lineRule="exact"/>
              <w:rPr>
                <w:sz w:val="20"/>
                <w:szCs w:val="20"/>
                <w:color w:val="auto"/>
              </w:rPr>
            </w:pPr>
            <w:r>
              <w:rPr>
                <w:rFonts w:ascii="Times New Roman" w:cs="Times New Roman" w:eastAsia="Times New Roman" w:hAnsi="Times New Roman"/>
                <w:sz w:val="17"/>
                <w:szCs w:val="17"/>
                <w:color w:val="auto"/>
              </w:rPr>
              <w:t xml:space="preserve">2026 Term Loan Interest Rate Swap </w:t>
            </w:r>
            <w:r>
              <w:rPr>
                <w:rFonts w:ascii="Times New Roman" w:cs="Times New Roman" w:eastAsia="Times New Roman" w:hAnsi="Times New Roman"/>
                <w:sz w:val="25"/>
                <w:szCs w:val="25"/>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gridSpan w:val="2"/>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 xml:space="preserve">2027 Term Loan Interest Rate Swap </w:t>
            </w:r>
            <w:r>
              <w:rPr>
                <w:rFonts w:ascii="Times New Roman" w:cs="Times New Roman" w:eastAsia="Times New Roman" w:hAnsi="Times New Roman"/>
                <w:sz w:val="25"/>
                <w:szCs w:val="25"/>
                <w:color w:val="auto"/>
                <w:vertAlign w:val="superscript"/>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108"/>
        </w:trPr>
        <w:tc>
          <w:tcPr>
            <w:tcW w:w="2240" w:type="dxa"/>
            <w:vAlign w:val="bottom"/>
            <w:tcBorders>
              <w:bottom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r>
    </w:tbl>
    <w:p>
      <w:pPr>
        <w:spacing w:after="0" w:line="58" w:lineRule="exact"/>
        <w:rPr>
          <w:sz w:val="20"/>
          <w:szCs w:val="20"/>
          <w:color w:val="auto"/>
        </w:rPr>
      </w:pPr>
    </w:p>
    <w:p>
      <w:pPr>
        <w:jc w:val="both"/>
        <w:ind w:left="380" w:right="79" w:hanging="330"/>
        <w:spacing w:after="0" w:line="229" w:lineRule="auto"/>
        <w:tabs>
          <w:tab w:leader="none" w:pos="38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March 31, 2023, the Company has utilized interest rate swaps to fix SOFR and achieve a weighted average fixed interest rate of 2.05% plus 0.10% and the applicable spread on the $100 million 2026 Term Loan (hereinafter defined) balance. See Note 10, “Interest Rate Swaps” for further disclosure related to the Company’s interest rate swaps.</w:t>
      </w:r>
    </w:p>
    <w:p>
      <w:pPr>
        <w:jc w:val="both"/>
        <w:ind w:left="380" w:right="79" w:hanging="330"/>
        <w:spacing w:after="0" w:line="221" w:lineRule="auto"/>
        <w:tabs>
          <w:tab w:leader="none" w:pos="38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March 31, 2023, the Company has utilized interest rate swaps to fix SOFR and achieve a weighted average fixed interest rate of 1.18% plus 0.10% and the applicable spread on the $100 million 2027 Term Loan (hereinafter defined) balance. See Note 10, “Interest Rate Swaps” for further disclosure related to the Company’s interest rate swaps.</w:t>
      </w:r>
    </w:p>
    <w:p>
      <w:pPr>
        <w:jc w:val="both"/>
        <w:ind w:left="380" w:right="79" w:hanging="330"/>
        <w:spacing w:after="0" w:line="233" w:lineRule="auto"/>
        <w:tabs>
          <w:tab w:leader="none" w:pos="38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March 31, 2023, the Company has utilized an interest rate swap to fix SOFR and achieve a fixed interest rate of 3.211% plus 0.10% and the applicable spread on $50 million of the outstanding balance on the Credit Facility (hereinafter defined). See Note 10, “Interest Rate Swaps” for further disclosure related to the Company’s interest rate swaps.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5. INTANGIBLE ASSETS AND LIABILITIES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Intangible assets and liabilities consist of the value of above-market and below-market leases, the value of in-place leases, and the value of leasing costs, based in each case on their fair values. Intangible assets and liabilities consisted of the following as of March 31, 2023 and December 31, 2022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5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40" w:type="dxa"/>
            <w:vAlign w:val="bottom"/>
          </w:tcPr>
          <w:p>
            <w:pPr>
              <w:spacing w:after="0"/>
              <w:rPr>
                <w:sz w:val="18"/>
                <w:szCs w:val="18"/>
                <w:color w:val="auto"/>
              </w:rPr>
            </w:pP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 w:type="dxa"/>
            <w:vAlign w:val="bottom"/>
          </w:tcPr>
          <w:p>
            <w:pPr>
              <w:spacing w:after="0"/>
              <w:rPr>
                <w:sz w:val="18"/>
                <w:szCs w:val="18"/>
                <w:color w:val="auto"/>
              </w:rPr>
            </w:pPr>
          </w:p>
        </w:tc>
      </w:tr>
      <w:tr>
        <w:trPr>
          <w:trHeight w:val="209"/>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Lease Assets:</w:t>
            </w: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Value of In-Place Leases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49,974</w:t>
            </w:r>
          </w:p>
        </w:tc>
        <w:tc>
          <w:tcPr>
            <w:tcW w:w="20" w:type="dxa"/>
            <w:vAlign w:val="bottom"/>
          </w:tcPr>
          <w:p>
            <w:pPr>
              <w:spacing w:after="0"/>
              <w:rPr>
                <w:sz w:val="18"/>
                <w:szCs w:val="18"/>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Value of Above Market In-Place Leases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20" w:type="dxa"/>
            <w:vAlign w:val="bottom"/>
          </w:tcPr>
          <w:p>
            <w:pPr>
              <w:spacing w:after="0"/>
              <w:rPr>
                <w:sz w:val="18"/>
                <w:szCs w:val="18"/>
                <w:color w:val="auto"/>
              </w:rPr>
            </w:pPr>
          </w:p>
        </w:tc>
      </w:tr>
      <w:tr>
        <w:trPr>
          <w:trHeight w:val="216"/>
        </w:trPr>
        <w:tc>
          <w:tcPr>
            <w:tcW w:w="5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Value of Intangible Leasing Costs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20,579</w:t>
            </w:r>
          </w:p>
        </w:tc>
        <w:tc>
          <w:tcPr>
            <w:tcW w:w="20" w:type="dxa"/>
            <w:vAlign w:val="bottom"/>
          </w:tcPr>
          <w:p>
            <w:pPr>
              <w:spacing w:after="0"/>
              <w:rPr>
                <w:sz w:val="18"/>
                <w:szCs w:val="18"/>
                <w:color w:val="auto"/>
              </w:rPr>
            </w:pPr>
          </w:p>
        </w:tc>
      </w:tr>
      <w:tr>
        <w:trPr>
          <w:trHeight w:val="209"/>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Sub-total Intangible Lease Assets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74,450</w:t>
            </w:r>
          </w:p>
        </w:tc>
        <w:tc>
          <w:tcPr>
            <w:tcW w:w="20" w:type="dxa"/>
            <w:vAlign w:val="bottom"/>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0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(15,242)</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(14,018)</w:t>
            </w:r>
          </w:p>
        </w:tc>
        <w:tc>
          <w:tcPr>
            <w:tcW w:w="20" w:type="dxa"/>
            <w:vAlign w:val="bottom"/>
          </w:tcPr>
          <w:p>
            <w:pPr>
              <w:spacing w:after="0"/>
              <w:rPr>
                <w:sz w:val="18"/>
                <w:szCs w:val="18"/>
                <w:color w:val="auto"/>
              </w:rPr>
            </w:pPr>
          </w:p>
        </w:tc>
      </w:tr>
      <w:tr>
        <w:trPr>
          <w:trHeight w:val="210"/>
        </w:trPr>
        <w:tc>
          <w:tcPr>
            <w:tcW w:w="51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Sub-total Intangible Lease Assets—Net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60,432</w:t>
            </w:r>
          </w:p>
        </w:tc>
        <w:tc>
          <w:tcPr>
            <w:tcW w:w="20" w:type="dxa"/>
            <w:vAlign w:val="bottom"/>
          </w:tcPr>
          <w:p>
            <w:pPr>
              <w:spacing w:after="0"/>
              <w:rPr>
                <w:sz w:val="18"/>
                <w:szCs w:val="18"/>
                <w:color w:val="auto"/>
              </w:rPr>
            </w:pPr>
          </w:p>
        </w:tc>
      </w:tr>
      <w:tr>
        <w:trPr>
          <w:trHeight w:val="20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Lease Liabilities:</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Value of Below Market In-Place Leases</w:t>
            </w:r>
          </w:p>
        </w:tc>
        <w:tc>
          <w:tcPr>
            <w:tcW w:w="2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(6,065)</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20" w:type="dxa"/>
            <w:vAlign w:val="bottom"/>
          </w:tcPr>
          <w:p>
            <w:pPr>
              <w:spacing w:after="0"/>
              <w:rPr>
                <w:sz w:val="18"/>
                <w:szCs w:val="18"/>
                <w:color w:val="auto"/>
              </w:rPr>
            </w:pPr>
          </w:p>
        </w:tc>
      </w:tr>
      <w:tr>
        <w:trPr>
          <w:trHeight w:val="210"/>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 Intangible Lease Liabilities</w:t>
            </w:r>
          </w:p>
        </w:tc>
        <w:tc>
          <w:tcPr>
            <w:tcW w:w="2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20" w:type="dxa"/>
            <w:vAlign w:val="bottom"/>
          </w:tcPr>
          <w:p>
            <w:pPr>
              <w:spacing w:after="0"/>
              <w:rPr>
                <w:sz w:val="18"/>
                <w:szCs w:val="18"/>
                <w:color w:val="auto"/>
              </w:rPr>
            </w:pPr>
          </w:p>
        </w:tc>
      </w:tr>
      <w:tr>
        <w:trPr>
          <w:trHeight w:val="216"/>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0" w:type="dxa"/>
            <w:vAlign w:val="bottom"/>
          </w:tcPr>
          <w:p>
            <w:pPr>
              <w:spacing w:after="0"/>
              <w:rPr>
                <w:sz w:val="18"/>
                <w:szCs w:val="18"/>
                <w:color w:val="auto"/>
              </w:rPr>
            </w:pPr>
          </w:p>
        </w:tc>
      </w:tr>
      <w:tr>
        <w:trPr>
          <w:trHeight w:val="209"/>
        </w:trPr>
        <w:tc>
          <w:tcPr>
            <w:tcW w:w="5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Sub-total Intangible Lease Liabilities—Net</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20" w:type="dxa"/>
            <w:vAlign w:val="bottom"/>
          </w:tcPr>
          <w:p>
            <w:pPr>
              <w:spacing w:after="0"/>
              <w:rPr>
                <w:sz w:val="18"/>
                <w:szCs w:val="18"/>
                <w:color w:val="auto"/>
              </w:rPr>
            </w:pPr>
          </w:p>
        </w:tc>
      </w:tr>
      <w:tr>
        <w:trPr>
          <w:trHeight w:val="21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and Liabilities—Net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55,382</w:t>
            </w:r>
          </w:p>
        </w:tc>
        <w:tc>
          <w:tcPr>
            <w:tcW w:w="20" w:type="dxa"/>
            <w:vAlign w:val="bottom"/>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reflects the net amortization of intangible assets and liabilities during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2023 and 2022 (in thousands):</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40" w:type="dxa"/>
            <w:vAlign w:val="bottom"/>
            <w:gridSpan w:val="5"/>
          </w:tcPr>
          <w:p>
            <w:pPr>
              <w:ind w:left="8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9"/>
        </w:trPr>
        <w:tc>
          <w:tcPr>
            <w:tcW w:w="5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2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0" w:type="dxa"/>
            <w:vAlign w:val="bottom"/>
          </w:tcPr>
          <w:p>
            <w:pPr>
              <w:spacing w:after="0"/>
              <w:rPr>
                <w:sz w:val="18"/>
                <w:szCs w:val="18"/>
                <w:color w:val="auto"/>
              </w:rPr>
            </w:pPr>
          </w:p>
        </w:tc>
      </w:tr>
      <w:tr>
        <w:trPr>
          <w:trHeight w:val="210"/>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2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to Properties Revenue</w:t>
            </w:r>
          </w:p>
        </w:tc>
        <w:tc>
          <w:tcPr>
            <w:tcW w:w="20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8"/>
                <w:szCs w:val="18"/>
                <w:color w:val="auto"/>
              </w:rPr>
            </w:pPr>
          </w:p>
        </w:tc>
      </w:tr>
      <w:tr>
        <w:trPr>
          <w:trHeight w:val="209"/>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Amortization of Intangible Assets and Liabilities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estimated future amortization expense (income) related to net intangible assets and liabilities is as follows (in thousands):</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Net Future</w:t>
            </w:r>
          </w:p>
        </w:tc>
      </w:tr>
      <w:tr>
        <w:trPr>
          <w:trHeight w:val="216"/>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Amortization of</w:t>
            </w:r>
          </w:p>
        </w:tc>
      </w:tr>
      <w:tr>
        <w:trPr>
          <w:trHeight w:val="216"/>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Future Amortization</w:t>
            </w:r>
          </w:p>
        </w:tc>
        <w:tc>
          <w:tcPr>
            <w:tcW w:w="12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Future Accretion to</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Intangible Assets and</w:t>
            </w:r>
          </w:p>
        </w:tc>
      </w:tr>
      <w:tr>
        <w:trPr>
          <w:trHeight w:val="238"/>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320" w:type="dxa"/>
            <w:vAlign w:val="bottom"/>
          </w:tcPr>
          <w:p>
            <w:pPr>
              <w:spacing w:after="0"/>
              <w:rPr>
                <w:sz w:val="20"/>
                <w:szCs w:val="20"/>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20" w:type="dxa"/>
            <w:vAlign w:val="bottom"/>
          </w:tcPr>
          <w:p>
            <w:pPr>
              <w:spacing w:after="0"/>
              <w:rPr>
                <w:sz w:val="20"/>
                <w:szCs w:val="20"/>
                <w:color w:val="auto"/>
              </w:rPr>
            </w:pPr>
          </w:p>
        </w:tc>
        <w:tc>
          <w:tcPr>
            <w:tcW w:w="1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Property Revenue</w:t>
            </w:r>
          </w:p>
        </w:tc>
        <w:tc>
          <w:tcPr>
            <w:tcW w:w="180" w:type="dxa"/>
            <w:vAlign w:val="bottom"/>
          </w:tcPr>
          <w:p>
            <w:pPr>
              <w:spacing w:after="0"/>
              <w:rPr>
                <w:sz w:val="20"/>
                <w:szCs w:val="20"/>
                <w:color w:val="auto"/>
              </w:rPr>
            </w:pPr>
          </w:p>
        </w:tc>
        <w:tc>
          <w:tcPr>
            <w:tcW w:w="15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r>
      <w:tr>
        <w:trPr>
          <w:trHeight w:val="209"/>
        </w:trPr>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2023</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w:t>
            </w:r>
          </w:p>
        </w:tc>
      </w:tr>
      <w:tr>
        <w:trPr>
          <w:trHeight w:val="21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(415)</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7,689</w:t>
            </w:r>
          </w:p>
        </w:tc>
      </w:tr>
      <w:tr>
        <w:trPr>
          <w:trHeight w:val="21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(379)</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w:t>
            </w:r>
          </w:p>
        </w:tc>
      </w:tr>
      <w:tr>
        <w:trPr>
          <w:trHeight w:val="21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(367)</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w:t>
            </w:r>
          </w:p>
        </w:tc>
      </w:tr>
      <w:tr>
        <w:trPr>
          <w:trHeight w:val="21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(308)</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w:t>
            </w:r>
          </w:p>
        </w:tc>
      </w:tr>
      <w:tr>
        <w:trPr>
          <w:trHeight w:val="21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(259)</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w:t>
            </w:r>
          </w:p>
        </w:tc>
      </w:tr>
      <w:tr>
        <w:trPr>
          <w:trHeight w:val="21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(435)</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11,919</w:t>
            </w:r>
          </w:p>
        </w:tc>
      </w:tr>
      <w:tr>
        <w:trPr>
          <w:trHeight w:val="21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51,598</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49,118</w:t>
            </w:r>
          </w:p>
        </w:tc>
      </w:tr>
      <w:tr>
        <w:trPr>
          <w:trHeight w:val="20"/>
        </w:trPr>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As of March 31, 2023, the weighted average amortization period of both the total intangible assets and liabilities was 9.1 years.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7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NOTE 6. OTHER ASSETS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57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tc>
        <w:tc>
          <w:tcPr>
            <w:tcW w:w="120" w:type="dxa"/>
            <w:vAlign w:val="bottom"/>
          </w:tcPr>
          <w:p>
            <w:pPr>
              <w:spacing w:after="0"/>
              <w:rPr>
                <w:sz w:val="24"/>
                <w:szCs w:val="24"/>
                <w:color w:val="auto"/>
              </w:rPr>
            </w:pPr>
          </w:p>
        </w:tc>
        <w:tc>
          <w:tcPr>
            <w:tcW w:w="2060" w:type="dxa"/>
            <w:vAlign w:val="bottom"/>
            <w:gridSpan w:val="3"/>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vMerge w:val="continue"/>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09"/>
        </w:trPr>
        <w:tc>
          <w:tcPr>
            <w:tcW w:w="5780" w:type="dxa"/>
            <w:vAlign w:val="bottom"/>
            <w:tcBorders>
              <w:top w:val="single" w:sz="8" w:color="CCEEFF"/>
            </w:tcBorders>
            <w:gridSpan w:val="4"/>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Tenant Receivables—Net of Allowance for Doubtful Accounts </w:t>
            </w:r>
            <w:r>
              <w:rPr>
                <w:rFonts w:ascii="Times New Roman" w:cs="Times New Roman" w:eastAsia="Times New Roman" w:hAnsi="Times New Roman"/>
                <w:sz w:val="24"/>
                <w:szCs w:val="24"/>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0" w:type="dxa"/>
            <w:vAlign w:val="bottom"/>
          </w:tcPr>
          <w:p>
            <w:pPr>
              <w:spacing w:after="0"/>
              <w:rPr>
                <w:sz w:val="1"/>
                <w:szCs w:val="1"/>
                <w:color w:val="auto"/>
              </w:rPr>
            </w:pPr>
          </w:p>
        </w:tc>
      </w:tr>
      <w:tr>
        <w:trPr>
          <w:trHeight w:val="216"/>
        </w:trPr>
        <w:tc>
          <w:tcPr>
            <w:tcW w:w="5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16"/>
        </w:trPr>
        <w:tc>
          <w:tcPr>
            <w:tcW w:w="5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on Acquisitions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Prepaid Expenses, Deposits, and Other</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0" w:type="dxa"/>
            <w:vAlign w:val="bottom"/>
          </w:tcPr>
          <w:p>
            <w:pPr>
              <w:spacing w:after="0"/>
              <w:rPr>
                <w:sz w:val="1"/>
                <w:szCs w:val="1"/>
                <w:color w:val="auto"/>
              </w:rPr>
            </w:pPr>
          </w:p>
        </w:tc>
      </w:tr>
      <w:tr>
        <w:trPr>
          <w:trHeight w:val="216"/>
        </w:trPr>
        <w:tc>
          <w:tcPr>
            <w:tcW w:w="5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Financing Costs—Net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0" w:type="dxa"/>
            <w:vAlign w:val="bottom"/>
          </w:tcPr>
          <w:p>
            <w:pPr>
              <w:spacing w:after="0"/>
              <w:rPr>
                <w:sz w:val="1"/>
                <w:szCs w:val="1"/>
                <w:color w:val="auto"/>
              </w:rPr>
            </w:pPr>
          </w:p>
        </w:tc>
      </w:tr>
      <w:tr>
        <w:trPr>
          <w:trHeight w:val="216"/>
        </w:trPr>
        <w:tc>
          <w:tcPr>
            <w:tcW w:w="5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12,477</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14,632</w:t>
            </w:r>
          </w:p>
        </w:tc>
        <w:tc>
          <w:tcPr>
            <w:tcW w:w="0" w:type="dxa"/>
            <w:vAlign w:val="bottom"/>
          </w:tcPr>
          <w:p>
            <w:pPr>
              <w:spacing w:after="0"/>
              <w:rPr>
                <w:sz w:val="1"/>
                <w:szCs w:val="1"/>
                <w:color w:val="auto"/>
              </w:rPr>
            </w:pPr>
          </w:p>
        </w:tc>
      </w:tr>
      <w:tr>
        <w:trPr>
          <w:trHeight w:val="216"/>
        </w:trPr>
        <w:tc>
          <w:tcPr>
            <w:tcW w:w="5780" w:type="dxa"/>
            <w:vAlign w:val="bottom"/>
            <w:gridSpan w:val="4"/>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Operating Leases - Right-of-Use Asset </w:t>
            </w:r>
            <w:r>
              <w:rPr>
                <w:rFonts w:ascii="Times New Roman" w:cs="Times New Roman" w:eastAsia="Times New Roman" w:hAnsi="Times New Roman"/>
                <w:sz w:val="25"/>
                <w:szCs w:val="25"/>
                <w:color w:val="auto"/>
                <w:vertAlign w:val="superscript"/>
              </w:rPr>
              <w:t>(2)</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0" w:type="dxa"/>
            <w:vAlign w:val="bottom"/>
          </w:tcPr>
          <w:p>
            <w:pPr>
              <w:spacing w:after="0"/>
              <w:rPr>
                <w:sz w:val="1"/>
                <w:szCs w:val="1"/>
                <w:color w:val="auto"/>
              </w:rPr>
            </w:pPr>
          </w:p>
        </w:tc>
      </w:tr>
      <w:tr>
        <w:trPr>
          <w:trHeight w:val="210"/>
        </w:trPr>
        <w:tc>
          <w:tcPr>
            <w:tcW w:w="5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19,962</w:t>
            </w:r>
          </w:p>
        </w:tc>
        <w:tc>
          <w:tcPr>
            <w:tcW w:w="140" w:type="dxa"/>
            <w:vAlign w:val="bottom"/>
          </w:tcPr>
          <w:p>
            <w:pPr>
              <w:spacing w:after="0"/>
              <w:rPr>
                <w:sz w:val="18"/>
                <w:szCs w:val="18"/>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hanging="330"/>
        <w:spacing w:after="0"/>
        <w:tabs>
          <w:tab w:leader="none" w:pos="38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Includes a $0.4 million allowance for doubtful accounts as of March 31, 2023 and December 31, 2022.</w:t>
      </w:r>
    </w:p>
    <w:p>
      <w:pPr>
        <w:spacing w:after="0" w:line="3" w:lineRule="exact"/>
        <w:rPr>
          <w:rFonts w:ascii="Times New Roman" w:cs="Times New Roman" w:eastAsia="Times New Roman" w:hAnsi="Times New Roman"/>
          <w:sz w:val="11"/>
          <w:szCs w:val="11"/>
          <w:color w:val="auto"/>
        </w:rPr>
      </w:pPr>
    </w:p>
    <w:p>
      <w:pPr>
        <w:ind w:left="380" w:hanging="330"/>
        <w:spacing w:after="0"/>
        <w:tabs>
          <w:tab w:leader="none" w:pos="38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See Note 7, “Operating Land Leases” for further disclosure related to the Company’s right-of-use asset balance as of March 31, 2023.</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7. OPERATING LAND LEASES</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is the lessee under operating land leases for certain of its properties.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requires a lessee to recognize right-of-use assets and lease liabilities that arise from leases, whether qualifying as an operating or finance lease. As of March 31, 2023, the Company’s right-of-use assets and corresponding lease liabilities each totaled $1.6 million, which balances are reflected within other assets and accounts payable, accrued expenses, and other liabilities, respectively, on the consolidated balance sheets. The right-of-use assets and lease liabilities are measured based on the present value of the lease payments utilizing discount rates estimated to be equal to that which the Company would pay to borrow on a collateralized basis over a similar term, for an amount equal to the lease payments, in a similar economic environment.</w:t>
      </w:r>
    </w:p>
    <w:p>
      <w:pPr>
        <w:spacing w:after="0" w:line="187"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Company’s operating land leases do not include variable lease payments and generally provide renewal options, at the Company’s election, to extend the terms of the respective leases. Renewal option periods are included in the calculation of the right-of-use assets and corresponding lease liabilities when it is reasonably certain that the Company, as lessee, will exercise the option to extend the lease.</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Amortization of right-of-use assets for operating land leases is recognized on a straight-line basis over the term of the lease and is included within real estate expenses in the consolidated statements of operations. Amortization totaled less than $0.1 million during the three months ended March 31, 2023 and 2022.</w:t>
      </w:r>
    </w:p>
    <w:p>
      <w:pPr>
        <w:spacing w:after="0" w:line="162" w:lineRule="exact"/>
        <w:rPr>
          <w:sz w:val="20"/>
          <w:szCs w:val="20"/>
          <w:color w:val="auto"/>
        </w:rPr>
      </w:pPr>
    </w:p>
    <w:p>
      <w:pPr>
        <w:jc w:val="both"/>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The following table reflects a summary of operating land leases, under which the Company is the lessee, for the three months ended March 31, 2023 and 2022 (in thousands):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20" w:type="dxa"/>
            <w:vAlign w:val="bottom"/>
            <w:gridSpan w:val="6"/>
          </w:tcPr>
          <w:p>
            <w:pPr>
              <w:ind w:lef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0"/>
        </w:trPr>
        <w:tc>
          <w:tcPr>
            <w:tcW w:w="3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60" w:type="dxa"/>
            <w:vAlign w:val="bottom"/>
            <w:gridSpan w:val="2"/>
          </w:tcPr>
          <w:p>
            <w:pPr>
              <w:spacing w:after="0"/>
              <w:rPr>
                <w:sz w:val="18"/>
                <w:szCs w:val="18"/>
                <w:color w:val="auto"/>
              </w:rPr>
            </w:pPr>
          </w:p>
        </w:tc>
      </w:tr>
      <w:tr>
        <w:trPr>
          <w:trHeight w:val="196"/>
        </w:trPr>
        <w:tc>
          <w:tcPr>
            <w:tcW w:w="3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Outflows</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2.0 %</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2.0 %</w:t>
            </w:r>
          </w:p>
        </w:tc>
        <w:tc>
          <w:tcPr>
            <w:tcW w:w="20" w:type="dxa"/>
            <w:vAlign w:val="bottom"/>
          </w:tcPr>
          <w:p>
            <w:pPr>
              <w:spacing w:after="0"/>
              <w:rPr>
                <w:sz w:val="18"/>
                <w:szCs w:val="18"/>
                <w:color w:val="auto"/>
              </w:rPr>
            </w:pPr>
          </w:p>
        </w:tc>
      </w:tr>
      <w:tr>
        <w:trPr>
          <w:trHeight w:val="864"/>
        </w:trPr>
        <w:tc>
          <w:tcPr>
            <w:tcW w:w="3720" w:type="dxa"/>
            <w:vAlign w:val="bottom"/>
          </w:tcPr>
          <w:p>
            <w:pPr>
              <w:spacing w:after="0"/>
              <w:rPr>
                <w:sz w:val="24"/>
                <w:szCs w:val="24"/>
                <w:color w:val="auto"/>
              </w:rPr>
            </w:pP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7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Minimum future lease payments under non-cancelable operating land leases, having remaining terms in excess of one year subsequent to March 31, 2023, are summarized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0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10"/>
        </w:trPr>
        <w:tc>
          <w:tcPr>
            <w:tcW w:w="6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2023</w:t>
            </w:r>
          </w:p>
        </w:tc>
        <w:tc>
          <w:tcPr>
            <w:tcW w:w="3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10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09"/>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r>
      <w:tr>
        <w:trPr>
          <w:trHeight w:val="216"/>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Imputed Interest</w:t>
            </w:r>
          </w:p>
        </w:tc>
        <w:tc>
          <w:tcPr>
            <w:tcW w:w="10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0"/>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 – Liability</w:t>
            </w: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w:t>
            </w:r>
          </w:p>
        </w:tc>
      </w:tr>
      <w:tr>
        <w:trPr>
          <w:trHeight w:val="20"/>
        </w:trPr>
        <w:tc>
          <w:tcPr>
            <w:tcW w:w="6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8. ACCOUNTS PAYABLE, ACCRUED EXPENSES, AND OTHER LIABILITIES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40" w:type="dxa"/>
            <w:vAlign w:val="bottom"/>
            <w:tcBorders>
              <w:bottom w:val="single" w:sz="8" w:color="auto"/>
            </w:tcBorders>
          </w:tcPr>
          <w:p>
            <w:pPr>
              <w:spacing w:after="0"/>
              <w:rPr>
                <w:sz w:val="20"/>
                <w:szCs w:val="20"/>
                <w:color w:val="auto"/>
              </w:rPr>
            </w:pPr>
          </w:p>
        </w:tc>
      </w:tr>
      <w:tr>
        <w:trPr>
          <w:trHeight w:val="209"/>
        </w:trPr>
        <w:tc>
          <w:tcPr>
            <w:tcW w:w="22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40" w:type="dxa"/>
            <w:vAlign w:val="bottom"/>
          </w:tcPr>
          <w:p>
            <w:pPr>
              <w:spacing w:after="0"/>
              <w:rPr>
                <w:sz w:val="18"/>
                <w:szCs w:val="18"/>
                <w:color w:val="auto"/>
              </w:rPr>
            </w:pP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10"/>
        </w:trPr>
        <w:tc>
          <w:tcPr>
            <w:tcW w:w="5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r>
      <w:tr>
        <w:trPr>
          <w:trHeight w:val="216"/>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Security Deposits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to CTO</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16"/>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180" w:type="dxa"/>
            <w:vAlign w:val="bottom"/>
            <w:tcBorders>
              <w:bottom w:val="single" w:sz="8" w:color="CCEEFF"/>
            </w:tcBorders>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Operating Leases - Liability </w:t>
            </w:r>
            <w:r>
              <w:rPr>
                <w:rFonts w:ascii="Times New Roman" w:cs="Times New Roman" w:eastAsia="Times New Roman" w:hAnsi="Times New Roman"/>
                <w:sz w:val="25"/>
                <w:szCs w:val="25"/>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w:t>
            </w:r>
          </w:p>
        </w:tc>
      </w:tr>
      <w:tr>
        <w:trPr>
          <w:trHeight w:val="209"/>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Payable, Accrued Expenses, and Other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w:t>
            </w:r>
          </w:p>
        </w:tc>
      </w:tr>
      <w:tr>
        <w:trPr>
          <w:trHeight w:val="20"/>
        </w:trPr>
        <w:tc>
          <w:tcPr>
            <w:tcW w:w="22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2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40" w:type="dxa"/>
            <w:vAlign w:val="bottom"/>
          </w:tcPr>
          <w:p>
            <w:pPr>
              <w:spacing w:after="0"/>
              <w:rPr>
                <w:sz w:val="7"/>
                <w:szCs w:val="7"/>
                <w:color w:val="auto"/>
              </w:rPr>
            </w:pPr>
          </w:p>
        </w:tc>
      </w:tr>
    </w:tbl>
    <w:p>
      <w:pPr>
        <w:spacing w:after="0" w:line="58" w:lineRule="exact"/>
        <w:rPr>
          <w:sz w:val="20"/>
          <w:szCs w:val="20"/>
          <w:color w:val="auto"/>
        </w:rPr>
      </w:pPr>
    </w:p>
    <w:p>
      <w:pPr>
        <w:ind w:left="380" w:hanging="330"/>
        <w:spacing w:after="0"/>
        <w:tabs>
          <w:tab w:leader="none" w:pos="38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See Note 7, “Operating Land Leases” for further disclosure related to the Company’s operating lease liability balance as of March 31, 2023.</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9. LONG-TERM DEBT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2023, the Company’s outstanding indebtedness, at face value, was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Face Value Debt</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Stated Interest Rate</w:t>
            </w:r>
          </w:p>
        </w:tc>
        <w:tc>
          <w:tcPr>
            <w:tcW w:w="1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0" w:type="dxa"/>
            <w:vAlign w:val="bottom"/>
          </w:tcPr>
          <w:p>
            <w:pPr>
              <w:spacing w:after="0"/>
              <w:rPr>
                <w:sz w:val="1"/>
                <w:szCs w:val="1"/>
                <w:color w:val="auto"/>
              </w:rPr>
            </w:pPr>
          </w:p>
        </w:tc>
      </w:tr>
      <w:tr>
        <w:trPr>
          <w:trHeight w:val="191"/>
        </w:trPr>
        <w:tc>
          <w:tcPr>
            <w:tcW w:w="362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Credit Facility </w:t>
            </w:r>
            <w:r>
              <w:rPr>
                <w:rFonts w:ascii="Times New Roman" w:cs="Times New Roman" w:eastAsia="Times New Roman" w:hAnsi="Times New Roman"/>
                <w:sz w:val="26"/>
                <w:szCs w:val="26"/>
                <w:color w:val="auto"/>
                <w:vertAlign w:val="superscript"/>
              </w:rPr>
              <w:t>(1)</w:t>
            </w:r>
          </w:p>
        </w:tc>
        <w:tc>
          <w:tcPr>
            <w:tcW w:w="14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30-Day SOFR + 0.10% +</w:t>
            </w:r>
          </w:p>
        </w:tc>
        <w:tc>
          <w:tcPr>
            <w:tcW w:w="16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shd w:val="clear" w:color="auto" w:fill="CCEEFF"/>
          </w:tcPr>
          <w:p>
            <w:pPr>
              <w:spacing w:after="0"/>
              <w:rPr>
                <w:sz w:val="20"/>
                <w:szCs w:val="20"/>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 - 2.20%]</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2027</w:t>
            </w:r>
          </w:p>
        </w:tc>
        <w:tc>
          <w:tcPr>
            <w:tcW w:w="0" w:type="dxa"/>
            <w:vAlign w:val="bottom"/>
          </w:tcPr>
          <w:p>
            <w:pPr>
              <w:spacing w:after="0"/>
              <w:rPr>
                <w:sz w:val="1"/>
                <w:szCs w:val="1"/>
                <w:color w:val="auto"/>
              </w:rPr>
            </w:pPr>
          </w:p>
        </w:tc>
      </w:tr>
      <w:tr>
        <w:trPr>
          <w:trHeight w:val="198"/>
        </w:trPr>
        <w:tc>
          <w:tcPr>
            <w:tcW w:w="3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2026 Term Loan </w:t>
            </w:r>
            <w:r>
              <w:rPr>
                <w:rFonts w:ascii="Times New Roman" w:cs="Times New Roman" w:eastAsia="Times New Roman" w:hAnsi="Times New Roman"/>
                <w:sz w:val="26"/>
                <w:szCs w:val="26"/>
                <w:color w:val="auto"/>
                <w:vertAlign w:val="superscript"/>
              </w:rPr>
              <w:t>(2)</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30-Day SOFR + 0.10% +</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[1.35% - 1.95%]</w:t>
            </w:r>
          </w:p>
        </w:tc>
        <w:tc>
          <w:tcPr>
            <w:tcW w:w="1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2026</w:t>
            </w:r>
          </w:p>
        </w:tc>
        <w:tc>
          <w:tcPr>
            <w:tcW w:w="0" w:type="dxa"/>
            <w:vAlign w:val="bottom"/>
          </w:tcPr>
          <w:p>
            <w:pPr>
              <w:spacing w:after="0"/>
              <w:rPr>
                <w:sz w:val="1"/>
                <w:szCs w:val="1"/>
                <w:color w:val="auto"/>
              </w:rPr>
            </w:pPr>
          </w:p>
        </w:tc>
      </w:tr>
      <w:tr>
        <w:trPr>
          <w:trHeight w:val="198"/>
        </w:trPr>
        <w:tc>
          <w:tcPr>
            <w:tcW w:w="36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2027 Term Loan </w:t>
            </w:r>
            <w:r>
              <w:rPr>
                <w:rFonts w:ascii="Times New Roman" w:cs="Times New Roman" w:eastAsia="Times New Roman" w:hAnsi="Times New Roman"/>
                <w:sz w:val="26"/>
                <w:szCs w:val="26"/>
                <w:color w:val="auto"/>
                <w:vertAlign w:val="superscript"/>
              </w:rPr>
              <w:t>(3)</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30-Day SOFR + 0.10% +</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gridSpan w:val="2"/>
            <w:vMerge w:val="continue"/>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shd w:val="clear" w:color="auto" w:fill="CCEEFF"/>
          </w:tcPr>
          <w:p>
            <w:pPr>
              <w:spacing w:after="0"/>
              <w:rPr>
                <w:sz w:val="20"/>
                <w:szCs w:val="20"/>
                <w:color w:val="auto"/>
              </w:rPr>
            </w:pPr>
          </w:p>
        </w:tc>
        <w:tc>
          <w:tcPr>
            <w:tcW w:w="2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 - 1.90%]</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2027</w:t>
            </w:r>
          </w:p>
        </w:tc>
        <w:tc>
          <w:tcPr>
            <w:tcW w:w="0" w:type="dxa"/>
            <w:vAlign w:val="bottom"/>
          </w:tcPr>
          <w:p>
            <w:pPr>
              <w:spacing w:after="0"/>
              <w:rPr>
                <w:sz w:val="1"/>
                <w:szCs w:val="1"/>
                <w:color w:val="auto"/>
              </w:rPr>
            </w:pPr>
          </w:p>
        </w:tc>
      </w:tr>
      <w:tr>
        <w:trPr>
          <w:trHeight w:val="21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Debt/Weighted-Average Rate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Pr>
          <w:p>
            <w:pPr>
              <w:spacing w:after="0"/>
              <w:rPr>
                <w:sz w:val="18"/>
                <w:szCs w:val="18"/>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3.51%</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1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380" w:right="79" w:hanging="330"/>
        <w:spacing w:after="0" w:line="229" w:lineRule="auto"/>
        <w:tabs>
          <w:tab w:leader="none" w:pos="38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March 31, 2023, the Company has utilized an interest rate swap to fix SOFR and achieve a fixed interest rate of 3.211% plus 0.10% and the applicable spread on $50 million of the outstanding balance on the Credit Facility (hereinafter defined). See Note 10, “Interest Rate Swaps” for further disclosure related to the Company’s interest rate swap.</w:t>
      </w:r>
    </w:p>
    <w:p>
      <w:pPr>
        <w:jc w:val="both"/>
        <w:ind w:left="380" w:right="79" w:hanging="330"/>
        <w:spacing w:after="0" w:line="221" w:lineRule="auto"/>
        <w:tabs>
          <w:tab w:leader="none" w:pos="38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March 31, 2023, the Company has utilized interest rate swaps to fix SOFR and achieve a weighted average fixed interest rate of 2.05% plus 0.10% and the applicable spread on the $100 million 2026 Term Loan (hereinafter defined) balance. See Note 10, “Interest Rate Swaps” for further disclosure related to the Company’s interest rate swaps.</w:t>
      </w:r>
    </w:p>
    <w:p>
      <w:pPr>
        <w:jc w:val="both"/>
        <w:ind w:left="380" w:right="79" w:hanging="330"/>
        <w:spacing w:after="0" w:line="233" w:lineRule="auto"/>
        <w:tabs>
          <w:tab w:leader="none" w:pos="38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March 31, 2023, the Company has utilized interest rate swaps to fix SOFR and achieve a weighted average fixed interest rate of 1.18% plus 0.10% and the applicable spread on the $100 million 2027 Term Loan (hereinafter defined) balance. See Note 10, “Interest Rate Swaps” for further disclosure related to the Company’s interest rate swaps.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Credit Facility. </w:t>
      </w:r>
      <w:r>
        <w:rPr>
          <w:rFonts w:ascii="Times New Roman" w:cs="Times New Roman" w:eastAsia="Times New Roman" w:hAnsi="Times New Roman"/>
          <w:sz w:val="18"/>
          <w:szCs w:val="18"/>
          <w:color w:val="auto"/>
        </w:rPr>
        <w:t>On September 30, 2022, the Company and the Operating Partnership entered into a credit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“2022 Amended and Restated Credit Agreement” or “Credit Facility”) with KeyBank National Association, as administrative agent, and certain other lenders named therein, which amended and restated the 2027 Term Loan Credit Agreement (hereinafter defined) to include, among other things:</w:t>
      </w:r>
    </w:p>
    <w:p>
      <w:pPr>
        <w:spacing w:after="0" w:line="114" w:lineRule="exact"/>
        <w:rPr>
          <w:sz w:val="20"/>
          <w:szCs w:val="20"/>
          <w:color w:val="auto"/>
        </w:rPr>
      </w:pPr>
    </w:p>
    <w:p>
      <w:pPr>
        <w:ind w:left="1040" w:right="559" w:hanging="315"/>
        <w:spacing w:after="0" w:line="261"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origination of a new senior unsecured revolving credit facility in the amount of $250 million which matures on January 31, 2027, with the option to extend for one year;</w:t>
      </w:r>
    </w:p>
    <w:p>
      <w:pPr>
        <w:jc w:val="both"/>
        <w:ind w:left="1040" w:right="79" w:hanging="315"/>
        <w:spacing w:after="0" w:line="250"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accordion option that allows the Company to request additional revolving loan commitments and additional term loan commitments, provided the aggregate amount of revolving loan commitments and term loan commitments shall not exceed $750 million;</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certain financial covenants; and</w:t>
      </w:r>
    </w:p>
    <w:p>
      <w:pPr>
        <w:spacing w:after="0" w:line="9" w:lineRule="exact"/>
        <w:rPr>
          <w:rFonts w:ascii="Times New Roman" w:cs="Times New Roman" w:eastAsia="Times New Roman" w:hAnsi="Times New Roman"/>
          <w:sz w:val="18"/>
          <w:szCs w:val="18"/>
          <w:color w:val="auto"/>
        </w:rPr>
      </w:pPr>
    </w:p>
    <w:p>
      <w:pPr>
        <w:ind w:left="1040" w:right="79" w:hanging="315"/>
        <w:spacing w:after="0" w:line="260"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a sustainability-linked pricing component pursuant to which the Company will receive interest rate reductions up to 0.025% based on performance against sustainability performance targets.</w:t>
      </w:r>
    </w:p>
    <w:p>
      <w:pPr>
        <w:spacing w:after="0" w:line="11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Pursuant to the 2022 Amended and Restated Credit Agreement, the indebtedness outstanding under the Credit Facility accrues at a rate ranging from SOFR plus 0.10% plus 125 basis points to SOFR plus 0.10% plus 220 basis points, based on the total balance outstanding under the Credit Facility as a percentage of the total asset value of the Company, as defined in the 2022 Amended and Restated Credit Agreement. The Company may utilize daily simple SOFR or term SOFR, at its election. The Credit Facility also accrues a fee of 15 or 25 basis points for any unused portion of the borrowing capacity based on whether the unused portion is greater or less than 50% of the total borrowing capacity.</w:t>
      </w:r>
    </w:p>
    <w:p>
      <w:pPr>
        <w:spacing w:after="0" w:line="120" w:lineRule="exact"/>
        <w:rPr>
          <w:sz w:val="20"/>
          <w:szCs w:val="20"/>
          <w:color w:val="auto"/>
        </w:rPr>
      </w:pPr>
    </w:p>
    <w:p>
      <w:pPr>
        <w:jc w:val="both"/>
        <w:ind w:left="60" w:right="59" w:firstLine="369"/>
        <w:spacing w:after="0" w:line="256" w:lineRule="auto"/>
        <w:rPr>
          <w:sz w:val="20"/>
          <w:szCs w:val="20"/>
          <w:color w:val="auto"/>
        </w:rPr>
      </w:pPr>
      <w:r>
        <w:rPr>
          <w:rFonts w:ascii="Times New Roman" w:cs="Times New Roman" w:eastAsia="Times New Roman" w:hAnsi="Times New Roman"/>
          <w:sz w:val="18"/>
          <w:szCs w:val="18"/>
          <w:color w:val="auto"/>
        </w:rPr>
        <w:t>The Company is subject to customary restrictive covenants under the 2022 Amended and Restated Credit Agreement and the 2026 Term Loan Credit Agreement (hereinafter defined), as amended, collectively referred to herein as the “Credit Agreements”, including, but not limited to, limitations on the Company’s ability to: (a) incur indebtedness; (b) make certain investments; (c) incur certain liens; (d) engage in certain affiliate transactions; and (e) engage in certain major transactions such as mergers. The Credit Agreements also contain financial covenants covering the Company, including but not limited to, tangible net worth and fixed charge coverage ratios.</w:t>
      </w:r>
    </w:p>
    <w:p>
      <w:pPr>
        <w:spacing w:after="0" w:line="12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At March 31, 2023, the commitment level under the Credit Facility was $250.0 million and the Company had an outstanding balance of $50.0 million.</w:t>
      </w:r>
    </w:p>
    <w:p>
      <w:pPr>
        <w:spacing w:after="0" w:line="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2026 Term Loan. </w:t>
      </w:r>
      <w:r>
        <w:rPr>
          <w:rFonts w:ascii="Times New Roman" w:cs="Times New Roman" w:eastAsia="Times New Roman" w:hAnsi="Times New Roman"/>
          <w:sz w:val="18"/>
          <w:szCs w:val="18"/>
          <w:color w:val="auto"/>
        </w:rPr>
        <w:t>On May 21, 2021, the Operating Partnership, the Company and certain subsidiaries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into a credit agreement (the “2026 Term Loan Credit Agreement”) with Truist Bank, N.A. as administrative agent, and certain other lenders named therein, for a term loan (the “2026 Term Loan”) in an aggregate principal amount of $60.0 million with a maturity of five years. On April 14, 2022, the Company entered into the Amendment, Increase and Joinder to the 2026 Term Loan Credit Agreement (the “2026 Term Loan Amendment”), which increased the term loan commitment under the 2026 Term Loan by $40 million to an aggregate of $100 million. The 2026 Term Loan Amendment also effectuated the transition of the underlying variable interest rate from LIBOR to SOFR.</w:t>
      </w:r>
    </w:p>
    <w:p>
      <w:pPr>
        <w:spacing w:after="0" w:line="11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October 5, 2022, the Company entered into an amendment which, among other things, amended certain financial covenants and added a sustainability-linked pricing component consistent with what is contained in the 2022 Amended and Restated Credit Agreement (the “2026 Term Loan Second Amendment”), effective September 30, 2022.</w:t>
      </w:r>
    </w:p>
    <w:p>
      <w:pPr>
        <w:spacing w:after="0" w:line="10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2027 Term Loan. </w:t>
      </w:r>
      <w:r>
        <w:rPr>
          <w:rFonts w:ascii="Times New Roman" w:cs="Times New Roman" w:eastAsia="Times New Roman" w:hAnsi="Times New Roman"/>
          <w:sz w:val="18"/>
          <w:szCs w:val="18"/>
          <w:color w:val="auto"/>
        </w:rPr>
        <w:t>On September 30, 2021, the Operating Partnership, the Company and certain subsidiaries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entered into a credit agreement (the “2027 Term Loan Credit Agreement”) with KeyBank National Association as administrative agent, and certain other lenders named therein, for a term loan (the “2027 Term Loan”) in an aggregate principal amount of $80.0 million (the “Term Commitment”) maturing in January 2027. On April 14, 2022, the Company entered into the Amendment, Increase and Joinder to the 2027 Term Loan Credit Agreement (the “2027 Term Loan Amendment”), which increased the Term Commitment by $20 million to an aggregate of $100 million. The 2027 Term Loan Amendment also effectuated the transition of the underlying variable interest rate from LIBOR to SOFR.</w:t>
      </w:r>
    </w:p>
    <w:p>
      <w:pPr>
        <w:spacing w:after="0" w:line="11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September 30, 2022, the Company entered into the 2022 Amended and Restated Credit Agreement which amended and restated the 2027 Term Loan Credit Agreement to include the origination of a new revolving credit facility in the amount of $250.0 million as previously described. The 2022 Amended and Restated Credit Agreement includes an accordion option that allows the Company to request additional revolving loan commitments and additional term loan commitments not to exceed $750.0 million in the aggregate.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Long-term debt as of March 31, 2023 and December 31, 2022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220" w:type="dxa"/>
            <w:vAlign w:val="bottom"/>
          </w:tcPr>
          <w:p>
            <w:pPr>
              <w:spacing w:after="0"/>
              <w:rPr>
                <w:sz w:val="20"/>
                <w:szCs w:val="20"/>
                <w:color w:val="auto"/>
              </w:rPr>
            </w:pPr>
          </w:p>
        </w:tc>
        <w:tc>
          <w:tcPr>
            <w:tcW w:w="20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187"/>
        </w:trPr>
        <w:tc>
          <w:tcPr>
            <w:tcW w:w="42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Due Within</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Due Within</w:t>
            </w:r>
          </w:p>
        </w:tc>
      </w:tr>
      <w:tr>
        <w:trPr>
          <w:trHeight w:val="238"/>
        </w:trPr>
        <w:tc>
          <w:tcPr>
            <w:tcW w:w="4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22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One Year</w:t>
            </w:r>
          </w:p>
        </w:tc>
      </w:tr>
      <w:tr>
        <w:trPr>
          <w:trHeight w:val="209"/>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Term Loan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 Term Loan</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Costs, net of Accumulated Amortization</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(1,134)</w:t>
            </w:r>
          </w:p>
        </w:tc>
        <w:tc>
          <w:tcPr>
            <w:tcW w:w="120" w:type="dxa"/>
            <w:vAlign w:val="bottom"/>
          </w:tcPr>
          <w:p>
            <w:pPr>
              <w:spacing w:after="0"/>
              <w:rPr>
                <w:sz w:val="18"/>
                <w:szCs w:val="18"/>
                <w:color w:val="auto"/>
              </w:rPr>
            </w:pPr>
          </w:p>
        </w:tc>
        <w:tc>
          <w:tcPr>
            <w:tcW w:w="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248,957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267,116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Payments applicable to reduction of principal amounts as of March 31, 2023 will be required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340" w:type="dxa"/>
            <w:vAlign w:val="bottom"/>
          </w:tcPr>
          <w:p>
            <w:pPr>
              <w:spacing w:after="0"/>
              <w:rPr>
                <w:sz w:val="20"/>
                <w:szCs w:val="20"/>
                <w:color w:val="auto"/>
              </w:rPr>
            </w:pPr>
          </w:p>
        </w:tc>
        <w:tc>
          <w:tcPr>
            <w:tcW w:w="14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6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2023</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3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 - Face Value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0"/>
        </w:trPr>
        <w:tc>
          <w:tcPr>
            <w:tcW w:w="6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carrying value of long-term debt as of March 31, 2023 consisted of the following (in thousands):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Face Amount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Costs, net of Accumulated Amortization</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r>
      <w:tr>
        <w:trPr>
          <w:trHeight w:val="209"/>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248,957</w:t>
            </w:r>
          </w:p>
        </w:tc>
      </w:tr>
      <w:tr>
        <w:trPr>
          <w:trHeight w:val="20"/>
        </w:trPr>
        <w:tc>
          <w:tcPr>
            <w:tcW w:w="7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addition to the $1.0 million of financing costs, net of accumulated amortization included in the table above, as of March 31, 2023, the Company also had financing costs, net of accumulated amortization related to the Credit Facility of $1.5 million which is included in other assets on the consolidated balance sheets. These costs are amortized on a straight-line basis over the term of the Credit Facility and are included in interest expense in the consolidated statements of operations.</w:t>
      </w:r>
    </w:p>
    <w:p>
      <w:pPr>
        <w:spacing w:after="0" w:line="75"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a summary of interest expense incurred and paid during the three months ended March 31, 2023 and 2022 (in thousands):</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9"/>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2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March 31, 2022</w:t>
            </w:r>
          </w:p>
        </w:tc>
      </w:tr>
      <w:tr>
        <w:trPr>
          <w:trHeight w:val="210"/>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r>
      <w:tr>
        <w:trPr>
          <w:trHeight w:val="216"/>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 to Interest Expense</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09"/>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r>
      <w:tr>
        <w:trPr>
          <w:trHeight w:val="20"/>
        </w:trPr>
        <w:tc>
          <w:tcPr>
            <w:tcW w:w="5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6"/>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Paid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r>
      <w:tr>
        <w:trPr>
          <w:trHeight w:val="20"/>
        </w:trPr>
        <w:tc>
          <w:tcPr>
            <w:tcW w:w="5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was in compliance with all of its debt covenants as of March 31, 2023.</w:t>
      </w: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10. INTEREST RATE SWAPS</w:t>
      </w:r>
    </w:p>
    <w:p>
      <w:pPr>
        <w:spacing w:after="0" w:line="121"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The Company has entered into interest rate swap agreements to hedge against changes in future cash flows resulting from fluctuating interest rates related to the below noted borrowings. The interest rate agreements were 100% effective during the three months ended March 31, 2023. Accordingly, the changes in fair value on the interest rate swaps have been classified in accumulated other comprehensive income (loss). The fair value of the interest rate swap agreements are included in other assets and accounts payable, accrued expenses and other liabilities, respectively, on the consolidated balance sheets. Information related to the Company’s interest rate swap agreements is noted below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as of</w:t>
            </w:r>
          </w:p>
        </w:tc>
        <w:tc>
          <w:tcPr>
            <w:tcW w:w="0" w:type="dxa"/>
            <w:vAlign w:val="bottom"/>
          </w:tcPr>
          <w:p>
            <w:pPr>
              <w:spacing w:after="0"/>
              <w:rPr>
                <w:sz w:val="1"/>
                <w:szCs w:val="1"/>
                <w:color w:val="auto"/>
              </w:rPr>
            </w:pPr>
          </w:p>
        </w:tc>
      </w:tr>
      <w:tr>
        <w:trPr>
          <w:trHeight w:val="215"/>
        </w:trPr>
        <w:tc>
          <w:tcPr>
            <w:tcW w:w="2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Hedged Item</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Date</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Date</w:t>
            </w:r>
          </w:p>
        </w:tc>
        <w:tc>
          <w:tcPr>
            <w:tcW w:w="12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25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4"/>
                <w:szCs w:val="24"/>
                <w:color w:val="auto"/>
                <w:vertAlign w:val="superscript"/>
              </w:rPr>
              <w:t>(1)</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2.05% + 0.10% +</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2026</w:t>
            </w:r>
          </w:p>
        </w:tc>
        <w:tc>
          <w:tcPr>
            <w:tcW w:w="2520" w:type="dxa"/>
            <w:vAlign w:val="bottom"/>
            <w:gridSpan w:val="2"/>
            <w:vMerge w:val="continue"/>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5/21/2021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5/21/2026</w:t>
            </w:r>
          </w:p>
        </w:tc>
        <w:tc>
          <w:tcPr>
            <w:tcW w:w="1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applicable spread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4,795</w:t>
            </w: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2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4"/>
                <w:szCs w:val="24"/>
                <w:color w:val="auto"/>
                <w:vertAlign w:val="superscript"/>
              </w:rPr>
              <w:t>(2)</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1.18%+ 0.10%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2027</w:t>
            </w:r>
          </w:p>
        </w:tc>
        <w:tc>
          <w:tcPr>
            <w:tcW w:w="252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9/30/2021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11/26/2024</w:t>
            </w:r>
          </w:p>
        </w:tc>
        <w:tc>
          <w:tcPr>
            <w:tcW w:w="12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applicable spread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40" w:type="dxa"/>
            <w:vAlign w:val="bottom"/>
          </w:tcPr>
          <w:p>
            <w:pPr>
              <w:spacing w:after="0"/>
              <w:rPr>
                <w:sz w:val="18"/>
                <w:szCs w:val="18"/>
                <w:color w:val="auto"/>
              </w:rPr>
            </w:pPr>
          </w:p>
        </w:tc>
        <w:tc>
          <w:tcPr>
            <w:tcW w:w="4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4,621</w:t>
            </w:r>
          </w:p>
        </w:tc>
        <w:tc>
          <w:tcPr>
            <w:tcW w:w="0" w:type="dxa"/>
            <w:vAlign w:val="bottom"/>
          </w:tcPr>
          <w:p>
            <w:pPr>
              <w:spacing w:after="0"/>
              <w:rPr>
                <w:sz w:val="1"/>
                <w:szCs w:val="1"/>
                <w:color w:val="auto"/>
              </w:rPr>
            </w:pPr>
          </w:p>
        </w:tc>
      </w:tr>
      <w:tr>
        <w:trPr>
          <w:trHeight w:val="189"/>
        </w:trPr>
        <w:tc>
          <w:tcPr>
            <w:tcW w:w="360" w:type="dxa"/>
            <w:vAlign w:val="bottom"/>
            <w:shd w:val="clear" w:color="auto" w:fill="CCEEFF"/>
          </w:tcPr>
          <w:p>
            <w:pPr>
              <w:spacing w:after="0"/>
              <w:rPr>
                <w:sz w:val="16"/>
                <w:szCs w:val="16"/>
                <w:color w:val="auto"/>
              </w:rPr>
            </w:pPr>
          </w:p>
        </w:tc>
        <w:tc>
          <w:tcPr>
            <w:tcW w:w="25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4"/>
                <w:szCs w:val="24"/>
                <w:color w:val="auto"/>
                <w:vertAlign w:val="superscript"/>
              </w:rPr>
              <w:t>(3)</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1.60%+ 0.10% +</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2027</w:t>
            </w:r>
          </w:p>
        </w:tc>
        <w:tc>
          <w:tcPr>
            <w:tcW w:w="2520" w:type="dxa"/>
            <w:vAlign w:val="bottom"/>
            <w:gridSpan w:val="2"/>
            <w:vMerge w:val="continue"/>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11/26/2024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1/31/2027</w:t>
            </w:r>
          </w:p>
        </w:tc>
        <w:tc>
          <w:tcPr>
            <w:tcW w:w="1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applicable spread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2,106</w:t>
            </w:r>
          </w:p>
        </w:tc>
        <w:tc>
          <w:tcPr>
            <w:tcW w:w="0" w:type="dxa"/>
            <w:vAlign w:val="bottom"/>
          </w:tcPr>
          <w:p>
            <w:pPr>
              <w:spacing w:after="0"/>
              <w:rPr>
                <w:sz w:val="1"/>
                <w:szCs w:val="1"/>
                <w:color w:val="auto"/>
              </w:rPr>
            </w:pPr>
          </w:p>
        </w:tc>
      </w:tr>
      <w:tr>
        <w:trPr>
          <w:trHeight w:val="189"/>
        </w:trPr>
        <w:tc>
          <w:tcPr>
            <w:tcW w:w="2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 xml:space="preserve">Credit Facility </w:t>
            </w:r>
            <w:r>
              <w:rPr>
                <w:rFonts w:ascii="Times New Roman" w:cs="Times New Roman" w:eastAsia="Times New Roman" w:hAnsi="Times New Roman"/>
                <w:sz w:val="26"/>
                <w:szCs w:val="26"/>
                <w:color w:val="auto"/>
                <w:vertAlign w:val="superscript"/>
              </w:rPr>
              <w:t>(4)</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3.211%+ 0.10%+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2880" w:type="dxa"/>
            <w:vAlign w:val="bottom"/>
            <w:gridSpan w:val="3"/>
            <w:vMerge w:val="continue"/>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3/1/2023</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3/1/2028</w:t>
            </w:r>
          </w:p>
        </w:tc>
        <w:tc>
          <w:tcPr>
            <w:tcW w:w="120" w:type="dxa"/>
            <w:vAlign w:val="bottom"/>
          </w:tcPr>
          <w:p>
            <w:pPr>
              <w:spacing w:after="0"/>
              <w:rPr>
                <w:sz w:val="24"/>
                <w:szCs w:val="24"/>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applicable spread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40" w:type="dxa"/>
            <w:vAlign w:val="bottom"/>
          </w:tcPr>
          <w:p>
            <w:pPr>
              <w:spacing w:after="0"/>
              <w:rPr>
                <w:sz w:val="24"/>
                <w:szCs w:val="24"/>
                <w:color w:val="auto"/>
              </w:rPr>
            </w:pPr>
          </w:p>
        </w:tc>
        <w:tc>
          <w:tcPr>
            <w:tcW w:w="4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-10795</wp:posOffset>
            </wp:positionV>
            <wp:extent cx="141414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47" w:lineRule="exact"/>
        <w:rPr>
          <w:sz w:val="20"/>
          <w:szCs w:val="20"/>
          <w:color w:val="auto"/>
        </w:rPr>
      </w:pPr>
    </w:p>
    <w:p>
      <w:pPr>
        <w:ind w:left="380" w:hanging="330"/>
        <w:spacing w:after="0"/>
        <w:tabs>
          <w:tab w:leader="none" w:pos="38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March 31, 2023, the Company has utilized interest rate swaps to fix SOFR and achieve a weighted average fixed interest rate of 2.05% plus</w:t>
      </w:r>
    </w:p>
    <w:p>
      <w:pPr>
        <w:spacing w:after="0" w:line="3" w:lineRule="exact"/>
        <w:rPr>
          <w:rFonts w:ascii="Times New Roman" w:cs="Times New Roman" w:eastAsia="Times New Roman" w:hAnsi="Times New Roman"/>
          <w:sz w:val="11"/>
          <w:szCs w:val="11"/>
          <w:color w:val="auto"/>
        </w:rPr>
      </w:pPr>
    </w:p>
    <w:p>
      <w:pPr>
        <w:ind w:left="380"/>
        <w:spacing w:after="0" w:line="221" w:lineRule="auto"/>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0.10% and the applicable spread on the $100 million 2026 Term Loan balance. The weighted average fixed interest rate of 2.05%, is comprised of:</w:t>
      </w:r>
    </w:p>
    <w:p>
      <w:pPr>
        <w:jc w:val="both"/>
        <w:ind w:left="380" w:right="199" w:hanging="6"/>
        <w:spacing w:after="0" w:line="221" w:lineRule="auto"/>
        <w:tabs>
          <w:tab w:leader="none" w:pos="552"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rate swaps on $60.0 million of the 2026 Term Loan balance effective May 21, 2021, as amended on April 14, 2022 in connection with the 2026 Term Loan Amendment, to fix SOFR (prior to April 14, 2022, the swap was to fix LIBOR), and (ii) a rate swap on $40.0 million of the 2026 Term Loan Balance effective September 30, 2022, to fix SOFR.</w:t>
      </w:r>
    </w:p>
    <w:p>
      <w:pPr>
        <w:ind w:left="380" w:hanging="330"/>
        <w:spacing w:after="0" w:line="221" w:lineRule="auto"/>
        <w:tabs>
          <w:tab w:leader="none" w:pos="38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March 31, 2023, the Company has utilized interest rate swaps to fix SOFR and achieve a weighted average fixed interest rate of 1.18% plus</w:t>
      </w:r>
    </w:p>
    <w:p>
      <w:pPr>
        <w:ind w:left="380"/>
        <w:spacing w:after="0" w:line="221" w:lineRule="auto"/>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0.10% and the applicable spread on the $100 million 2027 Term Loan balance. The weighted average fixed interest rate of 1.18%, is comprised of:</w:t>
      </w:r>
    </w:p>
    <w:p>
      <w:pPr>
        <w:jc w:val="both"/>
        <w:ind w:left="380" w:right="79" w:hanging="6"/>
        <w:spacing w:after="0" w:line="221" w:lineRule="auto"/>
        <w:tabs>
          <w:tab w:leader="none" w:pos="555"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rate swaps on $80.0 million of the 2027 Term Loan balance effective September 30, 2021, as amended on April 14, 2022 in connection with the 2027 Term Loan Amendment, to fix SOFR, (prior to April 14, 2022, the swap was to fix LIBOR), and (ii) a rate swap on $20.0 million of the 2027 Term Loan balance effective September 30, 2022, to fix SOFR.</w:t>
      </w:r>
    </w:p>
    <w:p>
      <w:pPr>
        <w:ind w:left="380" w:right="79" w:hanging="330"/>
        <w:spacing w:after="0" w:line="221" w:lineRule="auto"/>
        <w:tabs>
          <w:tab w:leader="none" w:pos="38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interest rate swap agreement hedges $80.0 million of the $100.0 million 2027 Term Loan balance under different terms and commences concurrent to the interest rate agreements maturing on November 26, 2024 to extend the fixed interest rate through maturity on January 31, 2027.</w:t>
      </w:r>
    </w:p>
    <w:p>
      <w:pPr>
        <w:ind w:left="380" w:right="79" w:hanging="330"/>
        <w:spacing w:after="0" w:line="239" w:lineRule="auto"/>
        <w:tabs>
          <w:tab w:leader="none" w:pos="38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March 31, 2023, the Company has utilized an interest rate swap to fix SOFR and achieve a fixed interest rate of 3.211% plus 0.10% and the applicable spread on $50 million of the outstanding balance on the Credit Facility. The swap was effective on March 1,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11. EQUITY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SHELF REGISTRATION</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December 1, 2020, the Company filed a shelf registration statement on Form S-3, relating to the registration and potential issuance of its common stock, preferred stock, warrants, rights, and units with a maximum aggregate offering price of up to $350.0 million. The Securities and Exchange Commission declared the Form S-3 effective on December 11, 2020.</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FOLLOW-ON PUBLIC OFFERING</w:t>
      </w:r>
    </w:p>
    <w:p>
      <w:pPr>
        <w:spacing w:after="0" w:line="21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June 2021, the Company completed a follow-on public offering of 3,220,000 shares of common stock, which included the full exercise of the underwriters’ option to purchase an additional 420,000 shares of common stock. Upon closing, the Company issued 3,220,000 shares and received net proceeds of $54.3 million, after deducting the underwriting discount and expenses.</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ATM PROGRAM</w:t>
      </w:r>
    </w:p>
    <w:p>
      <w:pPr>
        <w:spacing w:after="0" w:line="187" w:lineRule="exact"/>
        <w:rPr>
          <w:sz w:val="20"/>
          <w:szCs w:val="20"/>
          <w:color w:val="auto"/>
        </w:rPr>
      </w:pPr>
    </w:p>
    <w:p>
      <w:pPr>
        <w:jc w:val="both"/>
        <w:ind w:left="60" w:right="59" w:firstLine="324"/>
        <w:spacing w:after="0" w:line="238" w:lineRule="auto"/>
        <w:rPr>
          <w:sz w:val="20"/>
          <w:szCs w:val="20"/>
          <w:color w:val="auto"/>
        </w:rPr>
      </w:pPr>
      <w:r>
        <w:rPr>
          <w:rFonts w:ascii="Times New Roman" w:cs="Times New Roman" w:eastAsia="Times New Roman" w:hAnsi="Times New Roman"/>
          <w:sz w:val="18"/>
          <w:szCs w:val="18"/>
          <w:color w:val="auto"/>
        </w:rPr>
        <w:t>On December 14, 2020, the Company implemented a $100.0 million “at-the-market” equity offering program (the “2020 ATM Program”) pursuant to which the Company may sell, from time to time, shares of the Company’s common stock. During the three months ended March 31, 2022, the Company sold 314,671 shares under the 2020 ATM Program for gross proceeds of $6.2 million at a weighted average price of $19.65 per share, generating net proceeds of $6.1 million after deducting transaction fees totaling $0.1 million. During the year ended December 31, 2022, the Company sold 446,167 shares under the 2020 ATM Program for gross proceeds of $8.7 million at a weighted average price of $19.44 per share, generating net proceeds of $8.6 million after deducting transaction fees totaling $0.1 million. During the year ended December 31, 2021, the Company sold 761,902 shares under the 2020 ATM Program for gross proceeds of $14.0 million at a weighted average price of $18.36 per share, generating net proceeds of $13.8 million after deducting transaction fees totaling $0.2 million. The Company was not active under the 2020 ATM Program during the year ended December 31, 2020. The 2020 ATM Program was terminated in advance of implementing the 2022 ATM Program, hereinafter defined.</w:t>
      </w:r>
    </w:p>
    <w:p>
      <w:pPr>
        <w:spacing w:after="0" w:line="15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October 21, 2022, the Company implemented a $150.0 million “at-the-market” equity offering program (the “2022 ATM Program”) pursuant to which the Company may sell, from time to time, shares of the Company’s common stock. During the three months ended March 31, 2023, the Company sold 665,929 shares under the 2022 ATM Program for gross proceeds of $12.6 million at a weighted average price of $18.96 per share, generating net proceeds of $12.4 million after deducting transaction fees totaling $0.2 million. During the year ended December 31, 2022, the Company sold 1,479,241 shares under the 2022 ATM Program for gross proceeds of $27.8 million at a weighted average price of $18.81 per share, generating net proceeds of $27.4 million after deducting transaction fees totaling $0.4 million.</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NONCONTROLLING INTEREST</w:t>
      </w:r>
    </w:p>
    <w:p>
      <w:pPr>
        <w:spacing w:after="0" w:line="21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of March 31, 2023, CTO holds, directly and indirectly, a 7.8% noncontrolling ownership interest in the Operating Partnership as a result of 1,223,854 OP Units issued to CTO at the time of the Company’s IPO. An additional 3.0% noncontrolling ownership interest is held by an unrelated third party in connection with the issuance of 479,640 OP Units as consideration for a portfolio of net lease properties acquired during the year ended December 31, 2021.</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has elected to be taxed as a REIT for U.S. federal income tax purposes under the Code. To qualify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U.S. federal corporate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 During the three months ended March 31, 2023 and 2022, the Company declared and paid cash dividends on its common stock and OP Units of $0.275 per share and $0.270 per share,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12. COMMON STOCK AND EARNINGS PER SHARE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Basic earnings per common share are computed by dividing net income attributable to the Company for the period by the weighted average number of shares of common stock outstanding for the period. Diluted earnings per common share are determined based on the assumption of the conversion of OP Units on a one-for-one basis using the treasury stock method at average market prices for the periods.</w:t>
      </w:r>
    </w:p>
    <w:p>
      <w:pPr>
        <w:spacing w:after="0" w:line="153"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basic and diluted earnings per common share (in thousands, except share and per share data):</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9"/>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March 31, 2022</w:t>
            </w:r>
          </w:p>
        </w:tc>
      </w:tr>
      <w:tr>
        <w:trPr>
          <w:trHeight w:val="210"/>
        </w:trPr>
        <w:tc>
          <w:tcPr>
            <w:tcW w:w="5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Alpine Income Property Trust, Inc.</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0"/>
        </w:trPr>
        <w:tc>
          <w:tcPr>
            <w:tcW w:w="5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6"/>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14,000,553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11,662,697</w:t>
            </w:r>
          </w:p>
        </w:tc>
      </w:tr>
      <w:tr>
        <w:trPr>
          <w:trHeight w:val="190"/>
        </w:trPr>
        <w:tc>
          <w:tcPr>
            <w:tcW w:w="5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Weighted Average Number of Common Shares Applicable to OP Units using</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42"/>
        </w:trPr>
        <w:tc>
          <w:tcPr>
            <w:tcW w:w="5960" w:type="dxa"/>
            <w:vAlign w:val="bottom"/>
            <w:tcBorders>
              <w:bottom w:val="single" w:sz="8" w:color="CCEEFF"/>
            </w:tcBorders>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Treasury Stock Method </w:t>
            </w:r>
            <w:r>
              <w:rPr>
                <w:rFonts w:ascii="Times New Roman" w:cs="Times New Roman" w:eastAsia="Times New Roman" w:hAnsi="Times New Roman"/>
                <w:sz w:val="26"/>
                <w:szCs w:val="26"/>
                <w:color w:val="auto"/>
                <w:vertAlign w:val="superscript"/>
              </w:rPr>
              <w:t>(1)</w:t>
            </w: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1,703,494</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1,703,494</w:t>
            </w:r>
          </w:p>
        </w:tc>
      </w:tr>
      <w:tr>
        <w:trPr>
          <w:trHeight w:val="209"/>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Applicable to Diluted Earnings per Share</w:t>
            </w: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15,704,047</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13,366,191</w:t>
            </w:r>
          </w:p>
        </w:tc>
      </w:tr>
      <w:tr>
        <w:trPr>
          <w:trHeight w:val="20"/>
        </w:trPr>
        <w:tc>
          <w:tcPr>
            <w:tcW w:w="5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7"/>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Common Share Data:</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Alpine Income Property Trust, Inc.</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34"/>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48260</wp:posOffset>
            </wp:positionV>
            <wp:extent cx="14141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28" w:lineRule="exact"/>
        <w:rPr>
          <w:sz w:val="20"/>
          <w:szCs w:val="20"/>
          <w:color w:val="auto"/>
        </w:rPr>
      </w:pPr>
    </w:p>
    <w:p>
      <w:pPr>
        <w:jc w:val="both"/>
        <w:ind w:left="380" w:right="79" w:hanging="330"/>
        <w:spacing w:after="0" w:line="241" w:lineRule="auto"/>
        <w:tabs>
          <w:tab w:leader="none" w:pos="38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Represents shares underlying OP Units including (i) 1,223,854 shares underlying OP Units issued to CTO in connection with our formation transactions and (ii) 479,640 shares underlying OP Units issued to an unrelated third party in connection with the acquisition of a portfolio of properties during the year ended December 31, 2022 (see Note 11, “Equity”).</w:t>
      </w:r>
    </w:p>
    <w:p>
      <w:pPr>
        <w:spacing w:after="0" w:line="1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13. SHARE REPURCHASES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March 2020, the Board approved a $5.0 million stock repurchase program (the “$5.0 Million Repurchase Program”). During the year ended December 31, 2020, the Company repurchased 456,237 shares of its common stock on the open market for a total cost of $5.0 million, or an average price per share of $11.02, which completed the $5.0 Million Repurchase Program. There were no repurchases of the Company’s common stock during the three months ended March 31, 2023, or 2022.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14. STOCK-BASED COMPENSATION</w:t>
      </w:r>
    </w:p>
    <w:p>
      <w:pPr>
        <w:spacing w:after="0" w:line="229" w:lineRule="exact"/>
        <w:rPr>
          <w:sz w:val="20"/>
          <w:szCs w:val="20"/>
          <w:color w:val="auto"/>
        </w:rPr>
      </w:pPr>
    </w:p>
    <w:p>
      <w:pPr>
        <w:jc w:val="both"/>
        <w:ind w:left="60" w:right="59" w:firstLine="486"/>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IPO, the Company adopted the Individual Equity Incentive Plan (the “Individual Plan”) and the Manager Equity Incentive Plan (the “Manager Plan”), which are collectively referred to herein as the Equity Incentive Plans. The purpose of the Equity Incentive Plans is to provide equity incentive opportunities to members of the Manager’s management team and employees who perform services for the Company, the Company’s independent directors, advisers, consultants and other personnel, either individually or via grants of incentive equity to the Manager.</w:t>
      </w:r>
    </w:p>
    <w:p>
      <w:pPr>
        <w:spacing w:after="0" w:line="187"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On November 26, 2019, the Company granted restricted shares of common stock to each of the inaugural Company’s initial non-employee directors under the Individual Plan. Each of the initial non-employee directors received an award of 2,000 restricted shares of common stock on November 26, 2019. The restricted shares vested in substantially equal installments on each of the first, second and third anniversaries of the grant date. As of December 31, 2022, all increments of this award had vested. In addition, the restricted shares are subject to a holding period beginning on the grant date and ending on the date that the grantee ceases to serve as a member of the Board (the “Holding Period”). During the Holding Period, the restricted shares may not be sold, pledged or otherwise transferred by the grantee. Except for the one-time IPO-related grant of these 8,000 restricted shares of common stock, and the quarterly common stock grants to the non-employee directors in lieu of cash retainer fees (pursuant to the directors’ annual election under the Company’s Non-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Employee Director Compensation Policy), the Company has not made any grants under the Equity Incentive Plans. Any future grants under the Equity Incentive Plans will be approved by the compensation committee of the Board. The 2019 non-employee director share awards had an aggregate grant date fair value of $0.15 million. The Company’s determination of the grant date fair value of the three-year vest restricted stock awards was calculated by multiplying the number of shares issued by the Company’s stock price at the grant date. Compensation cost was recognized on a straight-line basis over the vesting period and is included in general and administrative expenses in the Company’s consolidated statements of operations. Award forfeitures are accounted for in the period in which they occur. No stock compensation expense was recognized during the three months ended March 31, 2023, while the Company recognized stock compensation expense of $0.01 million during the three months ended March 31, 2022.</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Each member of the Board has the option to receive his or her annual retainer in shares of Company common stock rather than cash. The number of shares awarded to the directors making such election is calculated quarterly by dividing the amount of the quarterly retainer payment due to such director by the trailing 20-day average price of the Company’s common stock as of the last business day of the calendar quarter, rounded down to the nearest whole number of shares. During the three months ended March 31, 2023, the expense recognized for the value of the Company’s common stock received by non-employee directors totaled $0.08 million, or 4,776 shares which were issued on April 3, 2023. During the three months ended March 31, 2022, the expense recognized for the value of the Company’s common stock received by non-employee directors totaled $0.07 million, or 3,514 shares which were issued on April 1, 2022.</w:t>
      </w:r>
    </w:p>
    <w:p>
      <w:pPr>
        <w:spacing w:after="0" w:line="19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Stock compensation expense for the three months ended March 31, 2023 and 2022 is summarized as follows (in thousands):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0"/>
        </w:trPr>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220" w:type="dxa"/>
            <w:vAlign w:val="bottom"/>
          </w:tcPr>
          <w:p>
            <w:pPr>
              <w:spacing w:after="0"/>
              <w:rPr>
                <w:sz w:val="18"/>
                <w:szCs w:val="18"/>
                <w:color w:val="auto"/>
              </w:rPr>
            </w:pPr>
          </w:p>
        </w:tc>
        <w:tc>
          <w:tcPr>
            <w:tcW w:w="16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March 31, 2022</w:t>
            </w:r>
          </w:p>
        </w:tc>
      </w:tr>
      <w:tr>
        <w:trPr>
          <w:trHeight w:val="210"/>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 Expense – Director Restricted Stock</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 Compensation Expense – Director Retainers Paid in Stock</w:t>
            </w: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 Compensation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15. RELATED PARTY MANAGEMENT COMPANY</w:t>
      </w:r>
    </w:p>
    <w:p>
      <w:pPr>
        <w:spacing w:after="0" w:line="21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are externally managed by the Manager, a wholly owned subsidiary of CTO. Subsequent to the IPO, through March 31, 2023, CTO has purchased an aggregate of 293,024 shares of PINE common stock in the open market including</w:t>
      </w:r>
    </w:p>
    <w:p>
      <w:pPr>
        <w:jc w:val="both"/>
        <w:ind w:left="60" w:right="59" w:hanging="10"/>
        <w:spacing w:after="0" w:line="253" w:lineRule="auto"/>
        <w:tabs>
          <w:tab w:leader="none" w:pos="2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129,271 shares purchased during the three months ended March 31, 2023 for $2.1 million, or an average price per share of $16.21 (ii) 155,665 shares purchased during the year ended December 31, 2022 for $2.7 million, or an average price per share of $17.57 and (iii) 8,088 shares purchased during the year ended December 31, 2021 for $0.1 million, or an average price per share of $17.65.</w:t>
      </w:r>
    </w:p>
    <w:p>
      <w:pPr>
        <w:spacing w:after="0" w:line="18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As of March 31, 2023, CTO owns, in the aggregate, 1,223,854 OP Units and 1,108,814 shares of PINE common stock, inclusive of (i) 394,737 shares of common stock totaling $7.5 million issued in connection with a private placement that closed concurrently with the IPO, (ii) 421,053 shares of common stock totaling $8.0 million issued in connection with the IPO, and (iii) 293,024 shares of common stock totaling $5.0 million purchased by CTO subsequent to the IPO. The aggregate 1,223,854 OP Units and 1,108,814 shares of PINE common stock held by CTO represent an investment totaling $39.3 million, or 14.8% of PINE’s outstanding equity, as of March 31, 2023.</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Management Agreement</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On November 26, 2019, the Operating Partnership and PINE entered into a management agreement with the Manager (the “Management Agreement”). Pursuant to the terms of the Management Agreement, our Manager manages, operates and administers our day-to-day operations, business and affairs, subject to the direction and supervision of the Board and in accordance with the investment guidelines approved and monitored by the Board. We pay our Manager a base management fee equal to 0.375% per quarter of our “total equity” (as defined in the Management Agreement and based on a 1.5% annual rate), calculated and payable in cash, quarterly in arrears.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Manager has the ability to earn an annual incentive fee based on our total stockholder return exceeding an 8% cumulative annual hurdle rate (the “Outperformance Amount”) subject to a high-water mark price. We would pay our Manager an incentive fee with respect to each annual measurement period in the amount of the greater of (i) $0.00 and (ii) the product of (a) 15% multiplied by (b) the Outperformance Amount multiplied by (c) the weighted average shares. No incentive fee was due for the year ended December 31, 2022.</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initial term of the Management Agreement will expire on November 26, 2024 and will automatically renew for an unlimited number of successive one-year periods thereafter, unless the agreement is not renewed or is terminated in accordance with its terms.</w:t>
      </w:r>
    </w:p>
    <w:p>
      <w:pPr>
        <w:spacing w:after="0" w:line="1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independent directors review our Manager’s performance and the management fees annually and, following the initial term, the Management Agreement may be terminated annually upon the affirmative vote of two-thirds of our independent directors or upon a determination by the holders of a majority of the outstanding shares of our common stock, based upon (i) unsatisfactory performance by the Manager that is materially detrimental to us or (ii) a determination that the management fees payable to our Manager are not fair, subject to our Manager’s right to prevent such termination due to unfair fees by accepting a reduction of management fees agreed to by two-thirds of our independent directors. We may also terminate the Management Agreement for cause at any time, including during the initial term, without the payment of any termination fee, with 30 days’ prior written notice from the Board. During the initial term of the Management Agreement, we may not terminate the Management Agreement except for cause.</w:t>
      </w:r>
    </w:p>
    <w:p>
      <w:pPr>
        <w:spacing w:after="0" w:line="18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pay directly or reimburse our Manager for certain expenses, if incurred by our Manager. We do not reimburse any compensation expenses incurred by our Manager or its affiliates. Expense reimbursements to our Manager are made in cash on a quarterly basis following the end of each quarter. In addition, we pay all of our operating expenses, except those specifically required to be borne by our Manager pursuant to the Management Agreement.</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incurred management fee expenses totaling $1.1 million and $0.9 million during the three months ended March 31, 2023 and 2022, respectively. The Company also paid dividends on the common stock and OP Units owned by affiliates of the Manager in the amount of $0.6 million for the three months ended March 31, 2023 and 2022.</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represents amounts due to (from) CTO (in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6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80" w:type="dxa"/>
            <w:vAlign w:val="bottom"/>
          </w:tcPr>
          <w:p>
            <w:pPr>
              <w:spacing w:after="0"/>
              <w:rPr>
                <w:sz w:val="18"/>
                <w:szCs w:val="18"/>
                <w:color w:val="auto"/>
              </w:rPr>
            </w:pPr>
          </w:p>
        </w:tc>
        <w:tc>
          <w:tcPr>
            <w:tcW w:w="17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 due to CTO</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bottom w:val="single" w:sz="8" w:color="CCEEFF"/>
            </w:tcBorders>
            <w:gridSpan w:val="3"/>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Total </w:t>
            </w:r>
            <w:r>
              <w:rPr>
                <w:rFonts w:ascii="Times New Roman" w:cs="Times New Roman" w:eastAsia="Times New Roman" w:hAnsi="Times New Roman"/>
                <w:sz w:val="24"/>
                <w:szCs w:val="24"/>
                <w:color w:val="auto"/>
                <w:vertAlign w:val="superscript"/>
              </w:rPr>
              <w:t>(1)</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2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80" w:hanging="330"/>
        <w:spacing w:after="0"/>
        <w:tabs>
          <w:tab w:leader="none" w:pos="38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Included in accrued expenses, see Note 8, “Accounts Payable, Accrued Expenses, and Other Liabilities”.</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ROFO Agreement</w:t>
      </w:r>
    </w:p>
    <w:p>
      <w:pPr>
        <w:spacing w:after="0" w:line="20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November 26, 2019, PINE also entered into an Exclusivity and Right of First Offer Agreement with CTO (the “ROFO Agreement”). During the term of the ROFO Agreement, CTO will not, and will cause each of its affiliates (which for purposes of the ROFO Agreement will not include our company and our subsidiaries) not to, acquire, directly or indirectly, a single-tenant, net leased property, unless CTO has notified us of the opportunity and we have affirmatively rejected the opportunity to acquire the applicable property or properties.</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terms of the ROFO Agreement do not restrict CTO or any of its affiliates from providing financing for a third party’s acquisition of single-tenant, net leased properties or from developing and owning any single-tenant, net leased property.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Pursuant to the ROFO Agreement, neither CTO nor any of its affiliates (which for purposes of the ROFO Agreement does not include our company and our subsidiaries) may sell to any third party any single-tenant, net leased property that was owned by CTO or any of its affiliates as of the closing date of the IPO or that is developed and owned by CTO or any of its affiliates after the closing date of the IPO, without first offering us the right to purchase such property.</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term of the ROFO Agreement will continue for so long as the Management Agreement with our Manager is in effect.</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On April 6, 2021, the Company entered into a purchase and sale agreement with a certain subsidiary of CTO for the purchase of one net lease property for $11.5 million. The acquisition was completed on April 23, 2021.</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April 2, 2021, the Company entered into a purchase and sale agreement with certain subsidiaries of CTO for the purchase of six net lease properties (the “CMBS Portfolio”). The terms of the purchase and sale agreement, as amended on April 20, 2021, provided a total purchase price of $44.5 million for the CMBS Portfolio. The acquisition of the CMBS Portfolio was completed on June 30, 2021.</w:t>
      </w:r>
    </w:p>
    <w:p>
      <w:pPr>
        <w:spacing w:after="0" w:line="18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On January 5, 2022, the Company entered into a purchase and sale agreement with a certain subsidiary of CTO for the purchase of one net lease property for $6.9 million. The acquisition was completed on January 7, 2022.</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entry into these purchase and sale agreements, and subsequent completion of the related acquisitions, are a result of the Company exercising its right to purchase the aforementioned properties under the ROFO Agreement.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Conflicts of Interest</w:t>
      </w:r>
    </w:p>
    <w:p>
      <w:pPr>
        <w:spacing w:after="0" w:line="20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Conflicts of interest may exist or could arise in the future with CTO and its affiliates, including our Manager, the individuals who serve as our executive officers and executive officers of CTO, any individual who serves as a director of our company and as a director of CTO and any limited partner of the Operating Partnership. Conflicts may include, without limitation: conflicts arising from the enforcement of agreements between us and CTO or our Manager; conflicts in the amount of time that executive officers and employees of CTO, who are provided to us through our Manager, will spend on our affairs versus CTO’s affairs; and conflicts in future transactions that we may pursue with CTO and its affiliates. We do not generally expect to enter into joint ventures with CTO, but if we do so, the terms and conditions of our joint venture investment will be subject to the approval of a majority of disinterested directors of the Board.</w:t>
      </w:r>
    </w:p>
    <w:p>
      <w:pPr>
        <w:spacing w:after="0" w:line="19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addition, we are subject to conflicts of interest arising out of our relationships with our Manager. Pursuant to the Management Agreement, our Manager is obligated to supply us with our senior management team. However, our Manager is not obligated to dedicate any specific CTO personnel exclusively to us, nor are the CTO personnel provided to us by our Manager obligated to dedicate any specific portion of their time to the management of our business. Additionally, our Manager is a wholly owned subsidiary of CTO. All of our executive officers are executive officers and employees of CTO and one of our officers (John P. Albright) is also a member of CTO’s board of directors. As a result, our Manager and the CTO personnel it provides to us may have conflicts between their duties to us and their duties to, and interests in, CTO.</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may acquire or sell net leased properties that would potentially fit the investment criteria for our Manager or its affiliates. Similarly, our Manager or its affiliates may acquire or sell net leased properties that would potentially fit our investment criteria. Although such acquisitions or dispositions could present conflicts of interest, we nonetheless may pursue and consummate such transactions. Additionally, we may engage in transactions directly with our Manager or its affiliates, including the purchase and sale of all or a portion of a portfolio of assets. If we acquire a net leased property from CTO or one of its affiliates or sell a net leased property to CTO or one of its affiliates, the purchase price we pay to CTO or one of its affiliates or the purchase price paid to us by CTO or one of its affiliates may be higher or lower, respectively, than the purchase price that would have been paid to or by us if the transaction were the result of arm’s length negotiations with an unaffiliated third party.</w:t>
      </w:r>
    </w:p>
    <w:p>
      <w:pPr>
        <w:spacing w:after="0" w:line="18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 deciding whether to issue additional debt or equity securities, we will rely, in part, on recommendations made by our Manager. While such decisions are subject to the approval of the Board, our Manager is entitled to be paid a base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management fee that is based on our “total equity” (as defined in the Management Agreement). As a result, our Manager may have an incentive to recommend that we issue additional equity securities at dilutive prices.</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All of our executive officers are executive officers and employees of CTO. These individuals and other CTO personnel provided to us through our Manager devote as much time to us as our Manager deems appropriate. However, our executive officers and other CTO personnel provided to us through our Manager may have conflicts in allocating their time and services between us, on the one hand, and CTO and its affiliates, on the other. During a period of prolonged economic weakness or another economic downturn affecting the real estate industry or at other times when we need focused support and assistance from our Manager and the CTO executive officers and other personnel provided to us through our Manager, we may not receive the necessary support and assistance we require or that we would otherwise receive if we were self-managed.</w:t>
      </w:r>
    </w:p>
    <w:p>
      <w:pPr>
        <w:spacing w:after="0" w:line="20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Additionally, the ROFO Agreement does contain exceptions to CTO’s exclusivity for opportunities that include only an incidental interest in single-tenant, net leased properties. Accordingly, the ROFO Agreement will not prevent CTO from pursuing certain acquisition opportunities that otherwise satisfy our then-current investment criteria.</w:t>
      </w:r>
    </w:p>
    <w:p>
      <w:pPr>
        <w:spacing w:after="0" w:line="176"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Our directors and executive officers have duties to our company under applicable Maryland law in connection with their management of our company. At the same time, PINE GP has fiduciary duties, as the general partner, to the Operating Partnership and to the limited partners under Delaware law in connection with the management of the Operating Partnership. These duties as a general partner to the Operating Partnership and its partners may come into conflict with the duties of our directors and executive officers to us. Unless otherwise provided for in the relevant partnership agreement, Delaware law generally requires a general partner of a Delaware limited partnership to adhere to fiduciary duty standards under which it owes its limited partners the highest duties of loyalty and care and which generally prohibits such general partner from taking any action or engaging in any transaction as to which it has a conflict of interest. The partnership agreement provides that in the event of a conflict between the interests of our stockholders on the one hand and the limited partners of the Operating Partnership on the other hand, PINE GP will endeavor in good faith to resolve the conflict in a manner not adverse to either our stockholders or the limited partners; provided, however, that so long as we own a controlling interest in the Operating Partnership, any such conflict that we, in our sole and absolute discretion, determine cannot be resolved in a manner not adverse to either our stockholders or the limited partners of the Operating Partnership shall be resolved in favor of our stockholders, and we shall not be liable for monetary damages for losses sustained, liabilities incurred or benefits not derived by the limited partners in connection with such decisions.</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16. COMMITMENTS AND CONTINGENCIES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1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17. SUBSEQUENT EVENTS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Subsequent events and transactions were evaluated through April 20, 2023 the date the consolidated financial statements were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When we refer to “we,” “us,” “our,” or “the Company,” we mean Alpine Income Property Trust, Inc. and its consolidated subsidiaries. References to “Notes to Financial Statements” refer to the Notes to the Consolidated Financial Statements of Alpine Income Property Trust, Inc. included in this Quarterly Report on Form 10-Q. Some of the comments we make in this section are forward-looking statements within the meaning of the federal securities laws. For a complete discussion of forward-looking statements, see the section below entitled “Special Note Regarding Forward-Looking Statements.” Certain factors that could cause actual results or events to differ materially from those the Company anticipates or projects are described in “Item 1A. Risk Factors” of the Company’s Annual Report on Form 10-K for the year ended December 31, 2022.</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(set forth in Section 27A of the Securities Act of 1933, as amended, and Section 21E of the Securities Exchange Act of 1934, as amended (the “Exchange Act”)). The words “believe,” “estimate,” “expect,” “intend,” “anticipate,” “will,” “could,” “may,” “should,” “plan,” “potential,” “predict,” “forecast,” “project,” and similar expressions and variations thereof identify certain of such forward-looking statements, which speak only as of the dates on which they were made. Forward-looking statements are made based upon management’s expectations and beliefs concerning future developments and their potential effect upon the Company. There can be no assurance that future developments will be in accordance with management’s expectations or that the effect of future developments on the Company will be those anticipated by management.</w:t>
      </w:r>
    </w:p>
    <w:p>
      <w:pPr>
        <w:spacing w:after="0" w:line="18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Because forward-looking statements relate to the future, by their nature, they are subject to inherent uncertainties, risks and changes in circumstances that are difficult to predict. These risks and uncertainties include, but are not limited to, the strength of the real estate market; the impact of a prolonged recession or downturn in economic conditions; our ability to successfully execute acquisition or development strategies; any loss of key management personnel; changes in local, regional, national and global economic conditions affecting the real estate development business and properties, including unstable macroeconomic conditions due to, among other things, geopolitical conflicts, inflation and rising interest rates; the impact of competitive real estate activity; the loss of any major property tenants; the ultimate geographic spread, severity and duration of pandemics, actions that may be taken by governmental authorities to contain or address the impact of such pandemics, and the potential negative impacts of such pandemics on the global economy and our financial condition and results of operations; and the availability of capital. These risks and uncertainties may cause our actual future results to be materially different than those expressed in our forward-looking statements.</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See “Item 1A. Risk Factors” of the Company’s Annual Report on Form 10-K for the year ended December 31, 2022 for further discussion of these risks, as well as additional risks and uncertainties that could cause actual results or events to differ materially from those described in the Company’s forward-looking statements. Given these risks and uncertainties, readers are cautioned not to place undue reliance on such statements, which speak only as of the date of this Quarterly Report on Form 10-Q. The Company undertakes no obligation to publicly release any revisions to these forward-looking statements that may be made to reflect events or circumstances after the date of this Quarterly Report on Form 10-Q.</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Alpine Income Property Trust, Inc. is a Maryland corporation that conducts its operations so as to qualify as a REIT for U.S. federal income tax purposes. Substantially all of the operations are conducted through our Operating Partnership.</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seek to acquire, own and operate primarily freestanding, commercial real estate properties located in the United States leased primarily pursuant to triple-net, long-term leases. We focus on investments in retail properties. We target tenants in industries that we believe are favorably impacted by macroeconomic trends that support consumer spending, such as strong and growing employment and positive consumer sentiment, as well as tenants in industries that have demonstrated resistance to the impact of the growing e-commerce retail sector or who use a physical presence as a</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component of their omnichannel strategy. We also seek to invest in properties that are net leased to tenants that we determine have attractive credit characteristics, stable operating histories, healthy rent coverage levels, are well-located within their respective markets and/or have rents at-or-below market rent levels. Furthermore, we believe that the size of our company allows us, for at least the near term, to focus our investment activities on the acquisition of single properties or smaller portfolios of properties that represent a transaction size that most of our publicly-traded net lease REIT peers will not pursue on a consistent basis.</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strategy for investing in income-producing properties is focused on factors including, but not limited to, long-term real estate fundamentals, including those markets experiencing significant economic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alignment with the Company’s structure, etc.).</w:t>
      </w:r>
    </w:p>
    <w:p>
      <w:pPr>
        <w:spacing w:after="0" w:line="19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No properties were acquired during the three months ended March 31, 2023. During the three months ended March 31, 2023, the Company sold ten properties for an aggregate sales price of $56.2 million, generating aggregate gains on sale of $4.5 million.</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March 31, 2023, we owned 138 properties with an aggregate gross leasable area of 3.5 million square feet, located in 34 states, with a weighted average remaining lease term of 7.3 years. Our portfolio was 99% leased as of March 31, 2023.</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has no employees and is externally managed by Alpine Income Property Manager, LLC, a Delaware limited liability company and a wholly owned subsidiary of CTO (our “Manager”). CTO is a Maryland corporation that is a publicly traded diversified REIT and the sole member of our Manager.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2023 AND 2022</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presents the Company’s results of operations for the three months ended March 31, 2023, as compared to the three months ended March 31, 2022 (in thousands):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3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Variance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Variance</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Lease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 Estate Expenses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9"/>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Operations</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0" w:type="dxa"/>
            <w:vAlign w:val="bottom"/>
          </w:tcPr>
          <w:p>
            <w:pPr>
              <w:spacing w:after="0"/>
              <w:rPr>
                <w:sz w:val="1"/>
                <w:szCs w:val="1"/>
                <w:color w:val="auto"/>
              </w:rPr>
            </w:pPr>
          </w:p>
        </w:tc>
      </w:tr>
      <w:tr>
        <w:trPr>
          <w:trHeight w:val="198"/>
        </w:trPr>
        <w:tc>
          <w:tcPr>
            <w:tcW w:w="432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1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0" w:type="dxa"/>
            <w:vAlign w:val="bottom"/>
          </w:tcPr>
          <w:p>
            <w:pPr>
              <w:spacing w:after="0"/>
              <w:rPr>
                <w:sz w:val="1"/>
                <w:szCs w:val="1"/>
                <w:color w:val="auto"/>
              </w:rPr>
            </w:pPr>
          </w:p>
        </w:tc>
      </w:tr>
      <w:tr>
        <w:trPr>
          <w:trHeight w:val="178"/>
        </w:trPr>
        <w:tc>
          <w:tcPr>
            <w:tcW w:w="432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Net Income Attributable to Alpine Income Property</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0" w:type="dxa"/>
            <w:vAlign w:val="bottom"/>
          </w:tcPr>
          <w:p>
            <w:pPr>
              <w:spacing w:after="0"/>
              <w:rPr>
                <w:sz w:val="1"/>
                <w:szCs w:val="1"/>
                <w:color w:val="auto"/>
              </w:rPr>
            </w:pPr>
          </w:p>
        </w:tc>
      </w:tr>
      <w:tr>
        <w:trPr>
          <w:trHeight w:val="221"/>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Inc.</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and Direct Cost of Revenues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Revenue from our property operations during the three months ended March 31, 2023 and 2022, totaled $11.2 million and $10.8 million, respectively. The $0.4 million increase in revenues is reflective of the Company’s volume of property acquisitions during the year ended December 31, 2022, partially offset by property sales. The direct costs of revenues for our property operations totaled $1.4 million and $1.1 million for the three months ended March 31, 2023 and 2022, respectively. The $0.3 million increase in the direct cost of revenues is also attributable to the Company’s expanded property portfolio.</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Company’s general and administrative expenses for the three months ended March 31, 2023, as compared to the three months ended March 31, 2022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87"/>
        </w:trPr>
        <w:tc>
          <w:tcPr>
            <w:tcW w:w="4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8"/>
        </w:trPr>
        <w:tc>
          <w:tcPr>
            <w:tcW w:w="4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 Variance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Variance</w:t>
            </w:r>
          </w:p>
        </w:tc>
      </w:tr>
      <w:tr>
        <w:trPr>
          <w:trHeight w:val="209"/>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 to Manager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Stock Compensation Expense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&amp; Officer Insurance Expense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General and Administrative Expense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0"/>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totaled $1.5 million and $1.4 million during the three months ended March 31, 2023 and 2022, respectively. The $0.1 million increase is attributable to growth in the Company’s equity base, which led to increased management fee expenses of $0.2 million, offset by decreases in other general and administrative expenses which totaled less than $0.1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29" w:lineRule="exact"/>
        <w:rPr>
          <w:sz w:val="20"/>
          <w:szCs w:val="20"/>
          <w:color w:val="auto"/>
        </w:rPr>
      </w:pPr>
    </w:p>
    <w:p>
      <w:pPr>
        <w:jc w:val="both"/>
        <w:ind w:left="60" w:right="59" w:firstLine="299"/>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totaled $6.3 million and $5.7 million during the three months ended March 31, 2023 and 2022, respectively. The $0.6 million increase in the depreciation and amortization expense is reflective of the Company’s expanded property portfolio.</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Gain on Disposition of Assets</w:t>
      </w:r>
    </w:p>
    <w:p>
      <w:pPr>
        <w:spacing w:after="0" w:line="229" w:lineRule="exact"/>
        <w:rPr>
          <w:sz w:val="20"/>
          <w:szCs w:val="20"/>
          <w:color w:val="auto"/>
        </w:rPr>
      </w:pPr>
    </w:p>
    <w:p>
      <w:pPr>
        <w:jc w:val="both"/>
        <w:ind w:left="60" w:right="59" w:firstLine="29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2023, the Company sold ten properties for an aggregate sales price of $56.2 million, generating aggregate gains on sale of $4.5 million. The Company did not dispose of any properties during the three months ended March 31, 2022.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Interest expense totaled $2.6 million and $1.7 million during the three months ended March 31, 2023 and 2022, respectively. The $0.9 million increase in interest expense is attributable to increases in the interest rates underlying the Company’s variable rate debt, partially offset by a lower average outstanding debt balance during the three months ended March 31, 2023. The overall decrease in the Company’s long-term debt is a result of disposition of properties during the latter half of 2022 and year to date in 2023.</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Net income totaled $3.7 million and $0.9 million during the three months ended March 31, 2023 and 2022, respectively. The $2.8 million increase in net income is attributable to the factors described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Cash totaled $63.6 million as of March 31, 2023, including restricted cash of $59.3 million. See Note 2 “Summary of Significant Accounting Policies” under the heading Restricted Cash for the Company’s disclosure related to its restricted cash balance as of March 31, 2023.</w:t>
      </w:r>
    </w:p>
    <w:p>
      <w:pPr>
        <w:spacing w:after="0" w:line="174"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As of March 31, 2023, the Company had an outstanding balance of $50.0 million on the $250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revolving Credit Facility. The Company also had $200.0 million in term loans outstanding as of March 31, 2023. See Note 9, “Long-Term Debt” for the Company’s disclosure related to its long-term debt balance at March 31, 2023.</w:t>
      </w:r>
    </w:p>
    <w:p>
      <w:pPr>
        <w:spacing w:after="0" w:line="173"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Acquisitions and Dispositions. </w:t>
      </w:r>
      <w:r>
        <w:rPr>
          <w:rFonts w:ascii="Times New Roman" w:cs="Times New Roman" w:eastAsia="Times New Roman" w:hAnsi="Times New Roman"/>
          <w:sz w:val="18"/>
          <w:szCs w:val="18"/>
          <w:color w:val="auto"/>
        </w:rPr>
        <w:t>As further described in Note 3, “Property Portfolio,” the Company sold ten properties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an aggregate sales price of $56.2 million, generating aggregate gains on sale of $4.5 million.</w:t>
      </w:r>
    </w:p>
    <w:p>
      <w:pPr>
        <w:spacing w:after="0" w:line="158"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ATM Program. </w:t>
      </w:r>
      <w:r>
        <w:rPr>
          <w:rFonts w:ascii="Times New Roman" w:cs="Times New Roman" w:eastAsia="Times New Roman" w:hAnsi="Times New Roman"/>
          <w:sz w:val="18"/>
          <w:szCs w:val="18"/>
          <w:color w:val="auto"/>
        </w:rPr>
        <w:t>During the three months ended March 31, 2023, the Company sold 665,929 shares under the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ATM Program for gross proceeds of $12.6 million at a weighted average price of $18.96 per share, generating net proceeds of $12.4 million.</w:t>
      </w:r>
    </w:p>
    <w:p>
      <w:pPr>
        <w:spacing w:after="0" w:line="173"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As of March 31, 2023, the Company had no commitments related to capital expenditures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of fixed assets, such as land, buildings, and equipment.</w:t>
      </w:r>
    </w:p>
    <w:p>
      <w:pPr>
        <w:spacing w:after="0" w:line="16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believe we will have sufficient liquidity to fund our operations, capital requirements, maintenance, and debt service requirements over the next twelve months and into the foreseeable future, with cash on hand, cash flow from our operations, proceeds from the completion of the sale of assets utilizing the reverse like-kind 1031 exchange structure, $109.5 million of availability remaining under the 2022 ATM Program, and $200.0 million of available capacity on the existing $250.0 million Credit Facility.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Board and management consistently review the allocation of capital with the goal of providing the best long-term risk-adjusted returns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of investing in net leased properties by utilizing capital that we raise, proceeds from recent property sales, and available borrowing capacity from the Credit Facility to increase our portfolio of income-producing properties, providing stabilized cash flows with strong risk-adjusted returns primarily in larger metropolitan areas and growth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reported results are presented in accordance with GAAP. We also disclose FFO and AFFO, both of which are non-GAAP financial measures. We believe these two non-GAAP financial measures are useful to investors because they are widely accepted industry measures used by analysts and investors to compare the operating performance of REITs.</w:t>
      </w:r>
    </w:p>
    <w:p>
      <w:pPr>
        <w:spacing w:after="0" w:line="169" w:lineRule="exact"/>
        <w:rPr>
          <w:sz w:val="20"/>
          <w:szCs w:val="20"/>
          <w:color w:val="auto"/>
        </w:rPr>
      </w:pPr>
    </w:p>
    <w:p>
      <w:pPr>
        <w:jc w:val="both"/>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FFO and AFFO do not represent cash generated from operating activities and are not necessarily indicative of cash available to fund cash requirements; accordingly, they should not be considered alternatives to net income as a performance measure or cash flows from operations as reported on our statement of cash flows as a liquidity measure and should be considered in addition to, and not in lieu of, GAAP financial measures.</w:t>
      </w:r>
    </w:p>
    <w:p>
      <w:pPr>
        <w:spacing w:after="0" w:line="177" w:lineRule="exact"/>
        <w:rPr>
          <w:sz w:val="20"/>
          <w:szCs w:val="20"/>
          <w:color w:val="auto"/>
        </w:rPr>
      </w:pPr>
    </w:p>
    <w:p>
      <w:pPr>
        <w:jc w:val="both"/>
        <w:ind w:left="60" w:right="59" w:firstLine="324"/>
        <w:spacing w:after="0" w:line="243" w:lineRule="auto"/>
        <w:rPr>
          <w:sz w:val="20"/>
          <w:szCs w:val="20"/>
          <w:color w:val="auto"/>
        </w:rPr>
      </w:pPr>
      <w:r>
        <w:rPr>
          <w:rFonts w:ascii="Times New Roman" w:cs="Times New Roman" w:eastAsia="Times New Roman" w:hAnsi="Times New Roman"/>
          <w:sz w:val="18"/>
          <w:szCs w:val="18"/>
          <w:color w:val="auto"/>
        </w:rPr>
        <w:t>We compute FFO in accordance with the definition adopted by the Board of Governors of the National Association of Real Estate Investment Trusts, or NAREIT. NAREIT defines FFO as GAAP net income or loss adjusted to exclude extraordinary items (as defined by GAAP), net gain or loss from sales of depreciable real estate assets, impairment write-downs associated with depreciable real estate assets and real estate related depreciation and amortization, including the pro rata share of such adjustments of unconsolidated subsidiaries. To derive AFFO, we modify the NAREIT computation of FFO to include other adjustments to GAAP net income related to non-cash revenues and expenses such as loss on extinguishment of debt, amortization of above- and below-market lease related intangibles, straight-line rental revenue, amortization of deferred financing costs, non-cash compensation, and other non-cash income or expense. Such items may cause short-term fluctuations in net income but have no impact on operating cash flows or long-term operating performance. We use AFFO as one measure of our performance when we formulate corporate goals.</w:t>
      </w:r>
    </w:p>
    <w:p>
      <w:pPr>
        <w:spacing w:after="0" w:line="186" w:lineRule="exact"/>
        <w:rPr>
          <w:sz w:val="20"/>
          <w:szCs w:val="20"/>
          <w:color w:val="auto"/>
        </w:rPr>
      </w:pPr>
    </w:p>
    <w:p>
      <w:pPr>
        <w:jc w:val="both"/>
        <w:ind w:left="60" w:right="59" w:firstLine="324"/>
        <w:spacing w:after="0" w:line="242" w:lineRule="auto"/>
        <w:rPr>
          <w:sz w:val="20"/>
          <w:szCs w:val="20"/>
          <w:color w:val="auto"/>
        </w:rPr>
      </w:pPr>
      <w:r>
        <w:rPr>
          <w:rFonts w:ascii="Times New Roman" w:cs="Times New Roman" w:eastAsia="Times New Roman" w:hAnsi="Times New Roman"/>
          <w:sz w:val="18"/>
          <w:szCs w:val="18"/>
          <w:color w:val="auto"/>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AFFO is an additional useful supplemental measure for investors to consider because it will help them to better assess our operating performance without the distortions created by other non-cash revenues or expenses. FFO and AFFO may not be comparable to similarly titled measures employed by other companies.</w:t>
      </w: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Reconciliation of Non-GAAP Measures (in thousands, except share data):</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80" w:type="dxa"/>
            <w:vAlign w:val="bottom"/>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10"/>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60" w:type="dxa"/>
            <w:vAlign w:val="bottom"/>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80" w:type="dxa"/>
            <w:vAlign w:val="bottom"/>
          </w:tcPr>
          <w:p>
            <w:pPr>
              <w:spacing w:after="0"/>
              <w:rPr>
                <w:sz w:val="18"/>
                <w:szCs w:val="18"/>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8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(4,453)</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Funds From Operations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 and Liabilities to Lease Income</w:t>
            </w:r>
          </w:p>
        </w:tc>
        <w:tc>
          <w:tcPr>
            <w:tcW w:w="18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Straight-Line Rent Adjustment</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COVID-19 Rent Repayments</w:t>
            </w:r>
          </w:p>
        </w:tc>
        <w:tc>
          <w:tcPr>
            <w:tcW w:w="18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Compensation</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Deferred Financing Costs to Interest Expense</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Non-Cash Expense</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Adjusted Funds From Operations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5,635</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14,000,553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11,662,697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15,704,047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13,366,191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5260" w:type="dxa"/>
            <w:vAlign w:val="bottom"/>
          </w:tcPr>
          <w:p>
            <w:pPr>
              <w:ind w:left="438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5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Data (in thousands, except per share data):</w:t>
            </w:r>
          </w:p>
        </w:tc>
        <w:tc>
          <w:tcPr>
            <w:tcW w:w="180" w:type="dxa"/>
            <w:vAlign w:val="bottom"/>
          </w:tcPr>
          <w:p>
            <w:pPr>
              <w:spacing w:after="0"/>
              <w:rPr>
                <w:sz w:val="20"/>
                <w:szCs w:val="20"/>
                <w:color w:val="auto"/>
              </w:rPr>
            </w:pPr>
          </w:p>
        </w:tc>
        <w:tc>
          <w:tcPr>
            <w:tcW w:w="3460" w:type="dxa"/>
            <w:vAlign w:val="bottom"/>
            <w:gridSpan w:val="4"/>
            <w:vMerge w:val="restart"/>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29"/>
        </w:trPr>
        <w:tc>
          <w:tcPr>
            <w:tcW w:w="5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80" w:type="dxa"/>
            <w:vAlign w:val="bottom"/>
          </w:tcPr>
          <w:p>
            <w:pPr>
              <w:spacing w:after="0"/>
              <w:rPr>
                <w:sz w:val="18"/>
                <w:szCs w:val="18"/>
                <w:color w:val="auto"/>
              </w:rPr>
            </w:pPr>
          </w:p>
        </w:tc>
        <w:tc>
          <w:tcPr>
            <w:tcW w:w="15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FFO</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FFO per Diluted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AFFO</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5,635</w:t>
            </w:r>
          </w:p>
        </w:tc>
        <w:tc>
          <w:tcPr>
            <w:tcW w:w="1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AFFO per Diluted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Critical accounting estimates include those estimates made in accordance with GAAP that involve a significant level of estimation uncertainty and have had or are reasonably likely to have a material impact on the Company’s financial condition or results of operations. Our most significant estimate is as follows:</w:t>
      </w:r>
    </w:p>
    <w:p>
      <w:pPr>
        <w:spacing w:after="0" w:line="174"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Purchase Accounting for Acquisitions of Real Estate Subject to a Lease</w:t>
      </w:r>
      <w:r>
        <w:rPr>
          <w:rFonts w:ascii="Times New Roman" w:cs="Times New Roman" w:eastAsia="Times New Roman" w:hAnsi="Times New Roman"/>
          <w:sz w:val="18"/>
          <w:szCs w:val="18"/>
          <w:color w:val="auto"/>
        </w:rPr>
        <w:t>. As required by GAAP, the fair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 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 and amortization as a result of the fair value allocation. The acquisitions of real estate subject to this estimate totaled 16 properties for a combined purchase price of $65.5 million for the three months ended March 31, 2022, with no acquisitions subject to this estimate during the three months ended March 31, 2023.</w:t>
      </w:r>
    </w:p>
    <w:p>
      <w:pPr>
        <w:spacing w:after="0" w:line="19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for further discussion of the Company’s accounting estimates and policies.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18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in Item 10(f)(1) of Regulation S-K. As a result, pursuant to Item 305(e) of Regulation S-K, we are not required to provide the information required by this Item.</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of the end of the period covered by this report, an evaluation, as required by Rules 13(a)-15 and 15(d)-15 of the Securities Exchange Act of 1934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Company’s disclosure controls and procedures are effective to ensure that information required to be disclosed by the Company in reports that it files or submits under the Exchange Act is recorded, processed, summarized, and reported within the time periods specified in SEC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 There were no changes in the Company’s internal control over financial reporting (as defined in Rules 13a-15(f) or 15d-15(f) under the Exchange Act) during the three months ended March 31, 2023, that have materially affected, or are reasonably likely to materially affect, the Company’s internal control over financial reporting.</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PART II—OTHER INFORMATION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189" w:lineRule="exact"/>
        <w:rPr>
          <w:sz w:val="20"/>
          <w:szCs w:val="20"/>
          <w:color w:val="auto"/>
        </w:rPr>
      </w:pPr>
    </w:p>
    <w:p>
      <w:pPr>
        <w:jc w:val="both"/>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of March 31, 2023, there have been no material changes in our risk factors from those set forth under the heading Part I, “Item 1A. Risk Factors” in the Company’s Annual Report on Form 10-K for the year ended December 31, 2022 (the “Form 10-K”). The risks described in the Form 10-K are not the only risks facing the Company. Additional risks and uncertainties not currently known to the Company or that the Company currently deems to be immaterial also may materially adversely affect the Company.</w:t>
      </w:r>
    </w:p>
    <w:p>
      <w:pPr>
        <w:spacing w:after="0" w:line="179" w:lineRule="exact"/>
        <w:rPr>
          <w:sz w:val="20"/>
          <w:szCs w:val="20"/>
          <w:color w:val="auto"/>
        </w:rPr>
      </w:pPr>
    </w:p>
    <w:p>
      <w:pPr>
        <w:ind w:left="60" w:right="1879"/>
        <w:spacing w:after="0" w:line="477"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ITEM 2. UNREGISTERED SALES OF EQUITY SECURITIES AND USE OF PROCEEDS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DEFAULTS UPON SENIOR SECURITIES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Exhibits:</w:t>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3.1</w:t>
            </w:r>
          </w:p>
        </w:tc>
        <w:tc>
          <w:tcPr>
            <w:tcW w:w="7580" w:type="dxa"/>
            <w:vAlign w:val="bottom"/>
            <w:gridSpan w:val="13"/>
          </w:tcPr>
          <w:p>
            <w:pPr>
              <w:spacing w:after="0"/>
              <w:rPr>
                <w:rFonts w:ascii="Times New Roman" w:cs="Times New Roman" w:eastAsia="Times New Roman" w:hAnsi="Times New Roman"/>
                <w:sz w:val="17"/>
                <w:szCs w:val="17"/>
                <w:color w:val="0000EE"/>
              </w:rPr>
            </w:pPr>
            <w:hyperlink r:id="rId52">
              <w:r>
                <w:rPr>
                  <w:rFonts w:ascii="Times New Roman" w:cs="Times New Roman" w:eastAsia="Times New Roman" w:hAnsi="Times New Roman"/>
                  <w:sz w:val="17"/>
                  <w:szCs w:val="17"/>
                  <w:color w:val="0000EE"/>
                </w:rPr>
                <w:t>Articles of Amendment and Restatement of Alpine Income Property Trust, Inc. (incorporated by reference to</w:t>
              </w:r>
            </w:hyperlink>
          </w:p>
        </w:tc>
      </w:tr>
      <w:tr>
        <w:trPr>
          <w:trHeight w:val="156"/>
        </w:trPr>
        <w:tc>
          <w:tcPr>
            <w:tcW w:w="1420" w:type="dxa"/>
            <w:vAlign w:val="bottom"/>
          </w:tcPr>
          <w:p>
            <w:pPr>
              <w:spacing w:after="0"/>
              <w:rPr>
                <w:sz w:val="13"/>
                <w:szCs w:val="13"/>
                <w:color w:val="auto"/>
              </w:rPr>
            </w:pPr>
          </w:p>
        </w:tc>
        <w:tc>
          <w:tcPr>
            <w:tcW w:w="5980" w:type="dxa"/>
            <w:vAlign w:val="bottom"/>
            <w:tcBorders>
              <w:top w:val="single" w:sz="8" w:color="0000EE"/>
              <w:bottom w:val="single" w:sz="8" w:color="0000EE"/>
            </w:tcBorders>
            <w:gridSpan w:val="7"/>
          </w:tcPr>
          <w:p>
            <w:pPr>
              <w:spacing w:after="0" w:line="155" w:lineRule="exact"/>
              <w:rPr>
                <w:rFonts w:ascii="Times New Roman" w:cs="Times New Roman" w:eastAsia="Times New Roman" w:hAnsi="Times New Roman"/>
                <w:sz w:val="17"/>
                <w:szCs w:val="17"/>
                <w:color w:val="0000EE"/>
                <w:w w:val="99"/>
              </w:rPr>
            </w:pPr>
            <w:hyperlink r:id="rId52">
              <w:r>
                <w:rPr>
                  <w:rFonts w:ascii="Times New Roman" w:cs="Times New Roman" w:eastAsia="Times New Roman" w:hAnsi="Times New Roman"/>
                  <w:sz w:val="17"/>
                  <w:szCs w:val="17"/>
                  <w:color w:val="0000EE"/>
                  <w:w w:val="99"/>
                </w:rPr>
                <w:t>Exhibit 3.1 to the Company’s Current Report on Form 8-K filed on December 3, 2019).</w:t>
              </w:r>
            </w:hyperlink>
          </w:p>
        </w:tc>
        <w:tc>
          <w:tcPr>
            <w:tcW w:w="1540" w:type="dxa"/>
            <w:vAlign w:val="bottom"/>
            <w:tcBorders>
              <w:top w:val="single" w:sz="8" w:color="0000EE"/>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3.2</w:t>
            </w:r>
          </w:p>
        </w:tc>
        <w:tc>
          <w:tcPr>
            <w:tcW w:w="7580" w:type="dxa"/>
            <w:vAlign w:val="bottom"/>
            <w:gridSpan w:val="13"/>
          </w:tcPr>
          <w:p>
            <w:pPr>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 xml:space="preserve">Third </w:t>
              </w:r>
              <w:r>
                <w:rPr>
                  <w:rFonts w:ascii="Times New Roman" w:cs="Times New Roman" w:eastAsia="Times New Roman" w:hAnsi="Times New Roman"/>
                  <w:sz w:val="17"/>
                  <w:szCs w:val="17"/>
                  <w:color w:val="0000EE"/>
                </w:rPr>
                <w:t>Amended and Restated Bylaws of Alpine Income Property Trust, Inc. (incorporated by reference to</w:t>
              </w:r>
            </w:hyperlink>
          </w:p>
        </w:tc>
      </w:tr>
      <w:tr>
        <w:trPr>
          <w:trHeight w:val="156"/>
        </w:trPr>
        <w:tc>
          <w:tcPr>
            <w:tcW w:w="1420" w:type="dxa"/>
            <w:vAlign w:val="bottom"/>
          </w:tcPr>
          <w:p>
            <w:pPr>
              <w:spacing w:after="0"/>
              <w:rPr>
                <w:sz w:val="13"/>
                <w:szCs w:val="13"/>
                <w:color w:val="auto"/>
              </w:rPr>
            </w:pPr>
          </w:p>
        </w:tc>
        <w:tc>
          <w:tcPr>
            <w:tcW w:w="5900" w:type="dxa"/>
            <w:vAlign w:val="bottom"/>
            <w:tcBorders>
              <w:top w:val="single" w:sz="8" w:color="0000EE"/>
              <w:bottom w:val="single" w:sz="8" w:color="0000EE"/>
            </w:tcBorders>
            <w:gridSpan w:val="6"/>
          </w:tcPr>
          <w:p>
            <w:pPr>
              <w:spacing w:after="0" w:line="155" w:lineRule="exact"/>
              <w:rPr>
                <w:rFonts w:ascii="Times New Roman" w:cs="Times New Roman" w:eastAsia="Times New Roman" w:hAnsi="Times New Roman"/>
                <w:sz w:val="17"/>
                <w:szCs w:val="17"/>
                <w:color w:val="0000EE"/>
              </w:rPr>
            </w:pPr>
            <w:hyperlink r:id="rId53">
              <w:r>
                <w:rPr>
                  <w:rFonts w:ascii="Times New Roman" w:cs="Times New Roman" w:eastAsia="Times New Roman" w:hAnsi="Times New Roman"/>
                  <w:sz w:val="17"/>
                  <w:szCs w:val="17"/>
                  <w:color w:val="0000EE"/>
                </w:rPr>
                <w:t>Exhibit 3.1 to the Company’s Current Report on Form 8-K filed on February 3, 2023).</w:t>
              </w:r>
            </w:hyperlink>
          </w:p>
        </w:tc>
        <w:tc>
          <w:tcPr>
            <w:tcW w:w="1600" w:type="dxa"/>
            <w:vAlign w:val="bottom"/>
            <w:tcBorders>
              <w:top w:val="single" w:sz="8" w:color="0000EE"/>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0"/>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4.1</w:t>
            </w:r>
          </w:p>
        </w:tc>
        <w:tc>
          <w:tcPr>
            <w:tcW w:w="7580" w:type="dxa"/>
            <w:vAlign w:val="bottom"/>
            <w:gridSpan w:val="13"/>
          </w:tcPr>
          <w:p>
            <w:pPr>
              <w:spacing w:after="0"/>
              <w:rPr>
                <w:rFonts w:ascii="Times New Roman" w:cs="Times New Roman" w:eastAsia="Times New Roman" w:hAnsi="Times New Roman"/>
                <w:sz w:val="17"/>
                <w:szCs w:val="17"/>
                <w:color w:val="0000EE"/>
              </w:rPr>
            </w:pPr>
            <w:hyperlink r:id="rId54">
              <w:r>
                <w:rPr>
                  <w:rFonts w:ascii="Times New Roman" w:cs="Times New Roman" w:eastAsia="Times New Roman" w:hAnsi="Times New Roman"/>
                  <w:sz w:val="17"/>
                  <w:szCs w:val="17"/>
                  <w:color w:val="0000EE"/>
                </w:rPr>
                <w:t>Specimen Common Stock Certificate of Alpine Income Property Trust, Inc. (incorporated by reference to</w:t>
              </w:r>
            </w:hyperlink>
          </w:p>
        </w:tc>
      </w:tr>
      <w:tr>
        <w:trPr>
          <w:trHeight w:val="155"/>
        </w:trPr>
        <w:tc>
          <w:tcPr>
            <w:tcW w:w="1420" w:type="dxa"/>
            <w:vAlign w:val="bottom"/>
          </w:tcPr>
          <w:p>
            <w:pPr>
              <w:spacing w:after="0"/>
              <w:rPr>
                <w:sz w:val="13"/>
                <w:szCs w:val="13"/>
                <w:color w:val="auto"/>
              </w:rPr>
            </w:pPr>
          </w:p>
        </w:tc>
        <w:tc>
          <w:tcPr>
            <w:tcW w:w="7560" w:type="dxa"/>
            <w:vAlign w:val="bottom"/>
            <w:tcBorders>
              <w:top w:val="single" w:sz="8" w:color="0000EE"/>
            </w:tcBorders>
            <w:gridSpan w:val="12"/>
          </w:tcPr>
          <w:p>
            <w:pPr>
              <w:spacing w:after="0" w:line="155" w:lineRule="exact"/>
              <w:rPr>
                <w:rFonts w:ascii="Times New Roman" w:cs="Times New Roman" w:eastAsia="Times New Roman" w:hAnsi="Times New Roman"/>
                <w:sz w:val="17"/>
                <w:szCs w:val="17"/>
                <w:color w:val="0000EE"/>
              </w:rPr>
            </w:pPr>
            <w:hyperlink r:id="rId54">
              <w:r>
                <w:rPr>
                  <w:rFonts w:ascii="Times New Roman" w:cs="Times New Roman" w:eastAsia="Times New Roman" w:hAnsi="Times New Roman"/>
                  <w:sz w:val="17"/>
                  <w:szCs w:val="17"/>
                  <w:color w:val="0000EE"/>
                </w:rPr>
                <w:t>Exhibit 4.1 to the Registrant’s Registration Statement on Form S-11/A (File No. 333-234304) filed with the</w:t>
              </w:r>
            </w:hyperlink>
          </w:p>
        </w:tc>
        <w:tc>
          <w:tcPr>
            <w:tcW w:w="20" w:type="dxa"/>
            <w:vAlign w:val="bottom"/>
          </w:tcPr>
          <w:p>
            <w:pPr>
              <w:spacing w:after="0"/>
              <w:rPr>
                <w:sz w:val="13"/>
                <w:szCs w:val="13"/>
                <w:color w:val="auto"/>
              </w:rPr>
            </w:pPr>
          </w:p>
        </w:tc>
      </w:tr>
      <w:tr>
        <w:trPr>
          <w:trHeight w:val="169"/>
        </w:trPr>
        <w:tc>
          <w:tcPr>
            <w:tcW w:w="1420" w:type="dxa"/>
            <w:vAlign w:val="bottom"/>
          </w:tcPr>
          <w:p>
            <w:pPr>
              <w:spacing w:after="0"/>
              <w:rPr>
                <w:sz w:val="14"/>
                <w:szCs w:val="14"/>
                <w:color w:val="auto"/>
              </w:rPr>
            </w:pPr>
          </w:p>
        </w:tc>
        <w:tc>
          <w:tcPr>
            <w:tcW w:w="7480" w:type="dxa"/>
            <w:vAlign w:val="bottom"/>
            <w:tcBorders>
              <w:top w:val="single" w:sz="8" w:color="0000EE"/>
            </w:tcBorders>
            <w:gridSpan w:val="8"/>
          </w:tcPr>
          <w:p>
            <w:pPr>
              <w:spacing w:after="0" w:line="169" w:lineRule="exact"/>
              <w:rPr>
                <w:rFonts w:ascii="Times New Roman" w:cs="Times New Roman" w:eastAsia="Times New Roman" w:hAnsi="Times New Roman"/>
                <w:sz w:val="17"/>
                <w:szCs w:val="17"/>
                <w:color w:val="0000EE"/>
              </w:rPr>
            </w:pPr>
            <w:hyperlink r:id="rId54">
              <w:r>
                <w:rPr>
                  <w:rFonts w:ascii="Times New Roman" w:cs="Times New Roman" w:eastAsia="Times New Roman" w:hAnsi="Times New Roman"/>
                  <w:sz w:val="17"/>
                  <w:szCs w:val="17"/>
                  <w:color w:val="0000EE"/>
                </w:rPr>
                <w:t>Commission on October 29, 2019).</w:t>
              </w:r>
            </w:hyperlink>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4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31.1*</w:t>
            </w:r>
          </w:p>
        </w:tc>
        <w:tc>
          <w:tcPr>
            <w:tcW w:w="758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Certification filed pursuant to Section 302 of the Sarbanes-Oxley Act of 2002.</w:t>
            </w:r>
          </w:p>
        </w:tc>
      </w:tr>
      <w:tr>
        <w:trPr>
          <w:trHeight w:val="250"/>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31.2*</w:t>
            </w:r>
          </w:p>
        </w:tc>
        <w:tc>
          <w:tcPr>
            <w:tcW w:w="51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rPr>
              <w:t>Certification filed pursuant to Section 302 of Sarbanes-Oxley Act of 2002.</w:t>
            </w:r>
          </w:p>
        </w:tc>
        <w:tc>
          <w:tcPr>
            <w:tcW w:w="240" w:type="dxa"/>
            <w:vAlign w:val="bottom"/>
            <w:tcBorders>
              <w:top w:val="single" w:sz="8" w:color="0000EE"/>
            </w:tcBorders>
          </w:tcPr>
          <w:p>
            <w:pPr>
              <w:spacing w:after="0"/>
              <w:rPr>
                <w:sz w:val="21"/>
                <w:szCs w:val="21"/>
                <w:color w:val="auto"/>
              </w:rPr>
            </w:pPr>
          </w:p>
        </w:tc>
        <w:tc>
          <w:tcPr>
            <w:tcW w:w="2240" w:type="dxa"/>
            <w:vAlign w:val="bottom"/>
            <w:gridSpan w:val="8"/>
          </w:tcPr>
          <w:p>
            <w:pPr>
              <w:spacing w:after="0"/>
              <w:rPr>
                <w:sz w:val="21"/>
                <w:szCs w:val="21"/>
                <w:color w:val="auto"/>
              </w:rPr>
            </w:pPr>
          </w:p>
        </w:tc>
      </w:tr>
      <w:tr>
        <w:trPr>
          <w:trHeight w:val="250"/>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32.1**</w:t>
            </w:r>
          </w:p>
        </w:tc>
        <w:tc>
          <w:tcPr>
            <w:tcW w:w="758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Certification furnished pursuant to 18 U.S.C. Section 1350, as Adopted pursuant to Section 906 of the</w:t>
            </w:r>
          </w:p>
        </w:tc>
      </w:tr>
      <w:tr>
        <w:trPr>
          <w:trHeight w:val="156"/>
        </w:trPr>
        <w:tc>
          <w:tcPr>
            <w:tcW w:w="1420" w:type="dxa"/>
            <w:vAlign w:val="bottom"/>
          </w:tcPr>
          <w:p>
            <w:pPr>
              <w:spacing w:after="0"/>
              <w:rPr>
                <w:sz w:val="13"/>
                <w:szCs w:val="13"/>
                <w:color w:val="auto"/>
              </w:rPr>
            </w:pPr>
          </w:p>
        </w:tc>
        <w:tc>
          <w:tcPr>
            <w:tcW w:w="7540" w:type="dxa"/>
            <w:vAlign w:val="bottom"/>
            <w:tcBorders>
              <w:top w:val="single" w:sz="8" w:color="0000EE"/>
            </w:tcBorders>
            <w:gridSpan w:val="11"/>
          </w:tcPr>
          <w:p>
            <w:pPr>
              <w:spacing w:after="0" w:line="155" w:lineRule="exact"/>
              <w:rPr>
                <w:sz w:val="20"/>
                <w:szCs w:val="20"/>
                <w:color w:val="auto"/>
              </w:rPr>
            </w:pPr>
            <w:r>
              <w:rPr>
                <w:rFonts w:ascii="Times New Roman" w:cs="Times New Roman" w:eastAsia="Times New Roman" w:hAnsi="Times New Roman"/>
                <w:sz w:val="17"/>
                <w:szCs w:val="17"/>
                <w:color w:val="0000EE"/>
              </w:rPr>
              <w:t>Sarbanes-Oxley Act of 2002.</w:t>
            </w:r>
          </w:p>
        </w:tc>
        <w:tc>
          <w:tcPr>
            <w:tcW w:w="40" w:type="dxa"/>
            <w:vAlign w:val="bottom"/>
            <w:gridSpan w:val="2"/>
          </w:tcPr>
          <w:p>
            <w:pPr>
              <w:spacing w:after="0"/>
              <w:rPr>
                <w:sz w:val="13"/>
                <w:szCs w:val="13"/>
                <w:color w:val="auto"/>
              </w:rPr>
            </w:pPr>
          </w:p>
        </w:tc>
      </w:tr>
      <w:tr>
        <w:trPr>
          <w:trHeight w:val="20"/>
        </w:trPr>
        <w:tc>
          <w:tcPr>
            <w:tcW w:w="14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600" w:type="dxa"/>
            <w:vAlign w:val="bottom"/>
            <w:gridSpan w:val="11"/>
          </w:tcPr>
          <w:p>
            <w:pPr>
              <w:spacing w:after="0" w:line="20" w:lineRule="exact"/>
              <w:rPr>
                <w:sz w:val="1"/>
                <w:szCs w:val="1"/>
                <w:color w:val="auto"/>
              </w:rPr>
            </w:pPr>
          </w:p>
        </w:tc>
      </w:tr>
      <w:tr>
        <w:trPr>
          <w:trHeight w:val="250"/>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32.2**</w:t>
            </w:r>
          </w:p>
        </w:tc>
        <w:tc>
          <w:tcPr>
            <w:tcW w:w="758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Certification furnished pursuant to 18 U.S.C. Section 1350, as Adopted pursuant to Section 906 of the</w:t>
            </w:r>
          </w:p>
        </w:tc>
      </w:tr>
      <w:tr>
        <w:trPr>
          <w:trHeight w:val="155"/>
        </w:trPr>
        <w:tc>
          <w:tcPr>
            <w:tcW w:w="1420" w:type="dxa"/>
            <w:vAlign w:val="bottom"/>
          </w:tcPr>
          <w:p>
            <w:pPr>
              <w:spacing w:after="0"/>
              <w:rPr>
                <w:sz w:val="13"/>
                <w:szCs w:val="13"/>
                <w:color w:val="auto"/>
              </w:rPr>
            </w:pPr>
          </w:p>
        </w:tc>
        <w:tc>
          <w:tcPr>
            <w:tcW w:w="7540" w:type="dxa"/>
            <w:vAlign w:val="bottom"/>
            <w:tcBorders>
              <w:top w:val="single" w:sz="8" w:color="0000EE"/>
            </w:tcBorders>
            <w:gridSpan w:val="11"/>
          </w:tcPr>
          <w:p>
            <w:pPr>
              <w:spacing w:after="0" w:line="155" w:lineRule="exact"/>
              <w:rPr>
                <w:sz w:val="20"/>
                <w:szCs w:val="20"/>
                <w:color w:val="auto"/>
              </w:rPr>
            </w:pPr>
            <w:r>
              <w:rPr>
                <w:rFonts w:ascii="Times New Roman" w:cs="Times New Roman" w:eastAsia="Times New Roman" w:hAnsi="Times New Roman"/>
                <w:sz w:val="17"/>
                <w:szCs w:val="17"/>
                <w:color w:val="0000EE"/>
              </w:rPr>
              <w:t>Sarbanes-Oxley Act of 2002.</w:t>
            </w:r>
          </w:p>
        </w:tc>
        <w:tc>
          <w:tcPr>
            <w:tcW w:w="40" w:type="dxa"/>
            <w:vAlign w:val="bottom"/>
            <w:gridSpan w:val="2"/>
          </w:tcPr>
          <w:p>
            <w:pPr>
              <w:spacing w:after="0"/>
              <w:rPr>
                <w:sz w:val="13"/>
                <w:szCs w:val="13"/>
                <w:color w:val="auto"/>
              </w:rPr>
            </w:pPr>
          </w:p>
        </w:tc>
      </w:tr>
      <w:tr>
        <w:trPr>
          <w:trHeight w:val="20"/>
        </w:trPr>
        <w:tc>
          <w:tcPr>
            <w:tcW w:w="14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600" w:type="dxa"/>
            <w:vAlign w:val="bottom"/>
            <w:gridSpan w:val="11"/>
          </w:tcPr>
          <w:p>
            <w:pPr>
              <w:spacing w:after="0" w:line="20" w:lineRule="exact"/>
              <w:rPr>
                <w:sz w:val="1"/>
                <w:szCs w:val="1"/>
                <w:color w:val="auto"/>
              </w:rPr>
            </w:pPr>
          </w:p>
        </w:tc>
      </w:tr>
      <w:tr>
        <w:trPr>
          <w:trHeight w:val="288"/>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101.INS</w:t>
            </w:r>
          </w:p>
        </w:tc>
        <w:tc>
          <w:tcPr>
            <w:tcW w:w="758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r>
      <w:tr>
        <w:trPr>
          <w:trHeight w:val="270"/>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101.SCH</w:t>
            </w:r>
          </w:p>
        </w:tc>
        <w:tc>
          <w:tcPr>
            <w:tcW w:w="758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70"/>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101.CAL</w:t>
            </w:r>
          </w:p>
        </w:tc>
        <w:tc>
          <w:tcPr>
            <w:tcW w:w="758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70"/>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101.DEF</w:t>
            </w:r>
          </w:p>
        </w:tc>
        <w:tc>
          <w:tcPr>
            <w:tcW w:w="758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Inline XBRL Taxonomy Definition Linkbase Document</w:t>
            </w:r>
          </w:p>
        </w:tc>
      </w:tr>
      <w:tr>
        <w:trPr>
          <w:trHeight w:val="270"/>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101.LAB</w:t>
            </w:r>
          </w:p>
        </w:tc>
        <w:tc>
          <w:tcPr>
            <w:tcW w:w="758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270"/>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101.PRE</w:t>
            </w:r>
          </w:p>
        </w:tc>
        <w:tc>
          <w:tcPr>
            <w:tcW w:w="758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r>
        <w:trPr>
          <w:trHeight w:val="284"/>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104</w:t>
            </w:r>
          </w:p>
        </w:tc>
        <w:tc>
          <w:tcPr>
            <w:tcW w:w="758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r>
        <w:trPr>
          <w:trHeight w:val="83"/>
        </w:trPr>
        <w:tc>
          <w:tcPr>
            <w:tcW w:w="14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Filed herewith</w:t>
      </w:r>
    </w:p>
    <w:p>
      <w:pPr>
        <w:spacing w:after="0" w:line="1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Furnished herewith</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ALPINE INCOME PROPERTY TRUST, INC.</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(Registrant)</w:t>
      </w:r>
    </w:p>
    <w:p>
      <w:pPr>
        <w:spacing w:after="0" w:line="234" w:lineRule="exact"/>
        <w:rPr>
          <w:sz w:val="20"/>
          <w:szCs w:val="20"/>
          <w:color w:val="auto"/>
        </w:rPr>
      </w:pPr>
    </w:p>
    <w:p>
      <w:pPr>
        <w:ind w:left="60"/>
        <w:spacing w:after="0"/>
        <w:tabs>
          <w:tab w:leader="none" w:pos="4620" w:val="left"/>
        </w:tabs>
        <w:rPr>
          <w:sz w:val="20"/>
          <w:szCs w:val="20"/>
          <w:color w:val="auto"/>
        </w:rPr>
      </w:pPr>
      <w:r>
        <w:rPr>
          <w:rFonts w:ascii="Times New Roman" w:cs="Times New Roman" w:eastAsia="Times New Roman" w:hAnsi="Times New Roman"/>
          <w:sz w:val="18"/>
          <w:szCs w:val="18"/>
          <w:color w:val="auto"/>
        </w:rPr>
        <w:t>April 20, 2023</w:t>
      </w:r>
      <w:r>
        <w:rPr>
          <w:sz w:val="20"/>
          <w:szCs w:val="20"/>
          <w:color w:val="auto"/>
        </w:rPr>
        <w:tab/>
      </w:r>
      <w:r>
        <w:rPr>
          <w:rFonts w:ascii="Times New Roman" w:cs="Times New Roman" w:eastAsia="Times New Roman" w:hAnsi="Times New Roman"/>
          <w:sz w:val="18"/>
          <w:szCs w:val="18"/>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4942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John P. Albright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34" w:lineRule="exact"/>
        <w:rPr>
          <w:sz w:val="20"/>
          <w:szCs w:val="20"/>
          <w:color w:val="auto"/>
        </w:rPr>
      </w:pPr>
    </w:p>
    <w:p>
      <w:pPr>
        <w:ind w:left="60"/>
        <w:spacing w:after="0"/>
        <w:tabs>
          <w:tab w:leader="none" w:pos="4620" w:val="left"/>
        </w:tabs>
        <w:rPr>
          <w:sz w:val="20"/>
          <w:szCs w:val="20"/>
          <w:color w:val="auto"/>
        </w:rPr>
      </w:pPr>
      <w:r>
        <w:rPr>
          <w:rFonts w:ascii="Times New Roman" w:cs="Times New Roman" w:eastAsia="Times New Roman" w:hAnsi="Times New Roman"/>
          <w:sz w:val="18"/>
          <w:szCs w:val="18"/>
          <w:color w:val="auto"/>
        </w:rPr>
        <w:t>April 20, 2023</w:t>
      </w:r>
      <w:r>
        <w:rPr>
          <w:sz w:val="20"/>
          <w:szCs w:val="20"/>
          <w:color w:val="auto"/>
        </w:rPr>
        <w:tab/>
      </w:r>
      <w:r>
        <w:rPr>
          <w:rFonts w:ascii="Times New Roman" w:cs="Times New Roman" w:eastAsia="Times New Roman" w:hAnsi="Times New Roman"/>
          <w:sz w:val="18"/>
          <w:szCs w:val="18"/>
          <w:color w:val="auto"/>
        </w:rPr>
        <w:t>By:  /s/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4942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Matthew M. Partridge, Senior Vice President and</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34" w:lineRule="exact"/>
        <w:rPr>
          <w:sz w:val="20"/>
          <w:szCs w:val="20"/>
          <w:color w:val="auto"/>
        </w:rPr>
      </w:pPr>
    </w:p>
    <w:p>
      <w:pPr>
        <w:ind w:left="60"/>
        <w:spacing w:after="0"/>
        <w:tabs>
          <w:tab w:leader="none" w:pos="4620" w:val="left"/>
        </w:tabs>
        <w:rPr>
          <w:sz w:val="20"/>
          <w:szCs w:val="20"/>
          <w:color w:val="auto"/>
        </w:rPr>
      </w:pPr>
      <w:r>
        <w:rPr>
          <w:rFonts w:ascii="Times New Roman" w:cs="Times New Roman" w:eastAsia="Times New Roman" w:hAnsi="Times New Roman"/>
          <w:sz w:val="18"/>
          <w:szCs w:val="18"/>
          <w:color w:val="auto"/>
        </w:rPr>
        <w:t>April 20, 2023</w:t>
      </w:r>
      <w:r>
        <w:rPr>
          <w:sz w:val="20"/>
          <w:szCs w:val="20"/>
          <w:color w:val="auto"/>
        </w:rPr>
        <w:tab/>
      </w:r>
      <w:r>
        <w:rPr>
          <w:rFonts w:ascii="Times New Roman" w:cs="Times New Roman" w:eastAsia="Times New Roman" w:hAnsi="Times New Roman"/>
          <w:sz w:val="18"/>
          <w:szCs w:val="18"/>
          <w:color w:val="auto"/>
        </w:rPr>
        <w:t>By:  /s/ Lisa M. Vorakoun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4942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Lisa M. Vorakoun, Vice President and</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Chief Accounting Officer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John P. Albright, certify that:</w:t>
      </w:r>
    </w:p>
    <w:p>
      <w:pPr>
        <w:spacing w:after="0" w:line="185" w:lineRule="exact"/>
        <w:rPr>
          <w:sz w:val="20"/>
          <w:szCs w:val="20"/>
          <w:color w:val="auto"/>
        </w:rPr>
      </w:pPr>
    </w:p>
    <w:p>
      <w:pPr>
        <w:ind w:left="700" w:hanging="650"/>
        <w:spacing w:after="0"/>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Alpine Income Property Trust, Inc.;</w:t>
      </w:r>
    </w:p>
    <w:p>
      <w:pPr>
        <w:spacing w:after="0" w:line="184"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00" w:right="219" w:hanging="650"/>
        <w:spacing w:after="0" w:line="266"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680" w:right="219" w:hanging="658"/>
        <w:spacing w:after="0" w:line="261" w:lineRule="auto"/>
        <w:tabs>
          <w:tab w:leader="none" w:pos="16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1680" w:right="319" w:hanging="658"/>
        <w:spacing w:after="0" w:line="266" w:lineRule="auto"/>
        <w:tabs>
          <w:tab w:leader="none" w:pos="16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700" w:right="379" w:hanging="650"/>
        <w:spacing w:after="0" w:line="266"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680" w:right="359" w:hanging="658"/>
        <w:spacing w:after="0" w:line="266" w:lineRule="auto"/>
        <w:tabs>
          <w:tab w:leader="none" w:pos="16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680" w:right="579" w:hanging="658"/>
        <w:spacing w:after="0" w:line="282" w:lineRule="auto"/>
        <w:tabs>
          <w:tab w:leader="none" w:pos="16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April 20, 2023</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17145</wp:posOffset>
            </wp:positionV>
            <wp:extent cx="27171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John P. Albright</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7" w:name="page38"/>
    <w:bookmarkEnd w:id="3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Matthew M. Partridge, certify that:</w:t>
      </w:r>
    </w:p>
    <w:p>
      <w:pPr>
        <w:spacing w:after="0" w:line="185" w:lineRule="exact"/>
        <w:rPr>
          <w:sz w:val="20"/>
          <w:szCs w:val="20"/>
          <w:color w:val="auto"/>
        </w:rPr>
      </w:pPr>
    </w:p>
    <w:p>
      <w:pPr>
        <w:ind w:left="700" w:hanging="650"/>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Alpine Income Property Trust, Inc.;</w:t>
      </w:r>
    </w:p>
    <w:p>
      <w:pPr>
        <w:spacing w:after="0" w:line="184"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00" w:right="219" w:hanging="650"/>
        <w:spacing w:after="0" w:line="266"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680" w:right="219" w:hanging="658"/>
        <w:spacing w:after="0" w:line="261" w:lineRule="auto"/>
        <w:tabs>
          <w:tab w:leader="none" w:pos="16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1680" w:right="319" w:hanging="658"/>
        <w:spacing w:after="0" w:line="266" w:lineRule="auto"/>
        <w:tabs>
          <w:tab w:leader="none" w:pos="16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700" w:right="379" w:hanging="650"/>
        <w:spacing w:after="0" w:line="266"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680" w:right="359" w:hanging="658"/>
        <w:spacing w:after="0" w:line="266" w:lineRule="auto"/>
        <w:tabs>
          <w:tab w:leader="none" w:pos="16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680" w:right="579" w:hanging="658"/>
        <w:spacing w:after="0" w:line="282" w:lineRule="auto"/>
        <w:tabs>
          <w:tab w:leader="none" w:pos="16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April 20, 2023</w:t>
      </w:r>
    </w:p>
    <w:p>
      <w:pPr>
        <w:spacing w:after="0" w:line="198" w:lineRule="exact"/>
        <w:rPr>
          <w:sz w:val="20"/>
          <w:szCs w:val="20"/>
          <w:color w:val="auto"/>
        </w:rPr>
      </w:pPr>
    </w:p>
    <w:p>
      <w:pPr>
        <w:ind w:left="60"/>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7000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Matthew M. Partridge, Senior Vice President,</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8" w:name="page39"/>
    <w:bookmarkEnd w:id="3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Alpine Income Property Trust, Inc. (the “Company”) on Form 10-Q for the period ended March 31, 2023, as filed with the Securities and Exchange Commission on the date hereof (the “Report”), I, John P. Albright, President and Chief Executive Officer of the Company, certify, pursuant to 18 U.S.C. Section 1350, as adopted pursuant to Section 906 of the Sarbanes-Oxley Act of 2002, that:</w:t>
      </w:r>
    </w:p>
    <w:p>
      <w:pPr>
        <w:spacing w:after="0" w:line="180" w:lineRule="exact"/>
        <w:rPr>
          <w:sz w:val="20"/>
          <w:szCs w:val="20"/>
          <w:color w:val="auto"/>
        </w:rPr>
      </w:pPr>
    </w:p>
    <w:p>
      <w:pPr>
        <w:ind w:left="1340" w:right="359" w:hanging="642"/>
        <w:spacing w:after="0" w:line="282" w:lineRule="auto"/>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340" w:right="279" w:hanging="642"/>
        <w:spacing w:after="0" w:line="282" w:lineRule="auto"/>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April 20, 2023</w:t>
      </w:r>
    </w:p>
    <w:p>
      <w:pPr>
        <w:spacing w:after="0" w:line="239"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17145</wp:posOffset>
            </wp:positionV>
            <wp:extent cx="26917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John P. Albright</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9" w:name="page40"/>
    <w:bookmarkEnd w:id="3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Alpine Income Property Trust, Inc. (the “Company”) on Form 10-Q for the period ended March 31, 2023, as filed with the Securities and Exchange Commission on the date hereof (the “Report”), I, Matthew M. Partridge, Senior Vice President, Chief Financial Officer, and Treasurer of the Company, certify, pursuant to 18 U.S.C. Section 1350, as adopted pursuant to Section 906 of the Sarbanes-Oxley Act of 2002, that:</w:t>
      </w:r>
    </w:p>
    <w:p>
      <w:pPr>
        <w:spacing w:after="0" w:line="180" w:lineRule="exact"/>
        <w:rPr>
          <w:sz w:val="20"/>
          <w:szCs w:val="20"/>
          <w:color w:val="auto"/>
        </w:rPr>
      </w:pPr>
    </w:p>
    <w:p>
      <w:pPr>
        <w:ind w:left="1340" w:right="359" w:hanging="642"/>
        <w:spacing w:after="0" w:line="282" w:lineRule="auto"/>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340" w:right="279" w:hanging="642"/>
        <w:spacing w:after="0" w:line="282" w:lineRule="auto"/>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April 20, 2023</w:t>
      </w:r>
    </w:p>
    <w:p>
      <w:pPr>
        <w:spacing w:after="0" w:line="239" w:lineRule="exact"/>
        <w:rPr>
          <w:sz w:val="20"/>
          <w:szCs w:val="20"/>
          <w:color w:val="auto"/>
        </w:rPr>
      </w:pPr>
    </w:p>
    <w:p>
      <w:pPr>
        <w:ind w:left="60"/>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17145</wp:posOffset>
            </wp:positionV>
            <wp:extent cx="2674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Matthew M. Partridge, Senior Vice President,</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lvl w:ilvl="1">
      <w:lvlJc w:val="left"/>
      <w:lvlText w:val="(%2)"/>
      <w:numFmt w:val="lowerRoman"/>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lowerRoman"/>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52" Type="http://schemas.openxmlformats.org/officeDocument/2006/relationships/hyperlink" Target="https://www.sec.gov/Archives/edgar/data/0001786117/000155837019011294/ex-3d1.htm" TargetMode="External"/><Relationship Id="rId53" Type="http://schemas.openxmlformats.org/officeDocument/2006/relationships/hyperlink" Target="https://www.sec.gov/Archives/edgar/data/1786117/000155837023000881/pine-20230201xex3d1.htm" TargetMode="External"/><Relationship Id="rId54" Type="http://schemas.openxmlformats.org/officeDocument/2006/relationships/hyperlink" Target="https://www.sec.gov/Archives/edgar/data/0001786117/000119312519277917/d79379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2023-04-20T18:39:55Z</dcterms:created>
  <dcterms:modified xsi:type="dcterms:W3CDTF">2023-04-20T18:39:55Z</dcterms:modified>
</cp:coreProperties>
</file>