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-195580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64770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86995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5" w:lineRule="exact"/>
        <w:rPr>
          <w:sz w:val="24"/>
          <w:szCs w:val="24"/>
          <w:color w:val="auto"/>
        </w:rPr>
      </w:pPr>
    </w:p>
    <w:p>
      <w:pPr>
        <w:ind w:left="440" w:right="180" w:hanging="430"/>
        <w:spacing w:after="0" w:line="273" w:lineRule="auto"/>
        <w:tabs>
          <w:tab w:leader="none" w:pos="4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2022</w:t>
      </w:r>
    </w:p>
    <w:p>
      <w:pPr>
        <w:spacing w:after="0" w:line="6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54" w:lineRule="exact"/>
        <w:rPr>
          <w:sz w:val="24"/>
          <w:szCs w:val="24"/>
          <w:color w:val="auto"/>
        </w:rPr>
      </w:pPr>
    </w:p>
    <w:p>
      <w:pPr>
        <w:ind w:left="440" w:right="180" w:hanging="430"/>
        <w:spacing w:after="0" w:line="273" w:lineRule="auto"/>
        <w:tabs>
          <w:tab w:leader="none" w:pos="4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 w:lineRule="exact"/>
        <w:rPr>
          <w:sz w:val="24"/>
          <w:szCs w:val="24"/>
          <w:color w:val="auto"/>
        </w:rPr>
      </w:pPr>
    </w:p>
    <w:p>
      <w:pPr>
        <w:ind w:left="3160"/>
        <w:spacing w:after="0"/>
        <w:tabs>
          <w:tab w:leader="none" w:pos="61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3361055</wp:posOffset>
            </wp:positionH>
            <wp:positionV relativeFrom="paragraph">
              <wp:posOffset>-3175</wp:posOffset>
            </wp:positionV>
            <wp:extent cx="1139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001-39143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95885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ALPINE INCOME PROPERTY TRUST,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69215</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68" w:lineRule="exact"/>
        <w:rPr>
          <w:sz w:val="24"/>
          <w:szCs w:val="24"/>
          <w:color w:val="auto"/>
        </w:rPr>
      </w:pPr>
    </w:p>
    <w:tbl>
      <w:tblPr>
        <w:tblLayout w:type="fixed"/>
        <w:tblInd w:w="1200" w:type="dxa"/>
        <w:tblCellMar>
          <w:top w:w="0" w:type="dxa"/>
          <w:left w:w="0" w:type="dxa"/>
          <w:bottom w:w="0" w:type="dxa"/>
          <w:right w:w="0" w:type="dxa"/>
        </w:tblCellMar>
      </w:tblPr>
      <w:tr>
        <w:trPr>
          <w:trHeight w:val="202"/>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84-2769895</w:t>
            </w:r>
          </w:p>
        </w:tc>
      </w:tr>
      <w:tr>
        <w:trPr>
          <w:trHeight w:val="203"/>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13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13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87"/>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1140 N. Williamson Blvd., Suite 140</w:t>
            </w:r>
          </w:p>
        </w:tc>
        <w:tc>
          <w:tcPr>
            <w:tcW w:w="1380" w:type="dxa"/>
            <w:vAlign w:val="bottom"/>
          </w:tcPr>
          <w:p>
            <w:pPr>
              <w:spacing w:after="0"/>
              <w:rPr>
                <w:sz w:val="24"/>
                <w:szCs w:val="24"/>
                <w:color w:val="auto"/>
              </w:rPr>
            </w:pPr>
          </w:p>
        </w:tc>
      </w:tr>
      <w:tr>
        <w:trPr>
          <w:trHeight w:val="203"/>
        </w:trPr>
        <w:tc>
          <w:tcPr>
            <w:tcW w:w="5840" w:type="dxa"/>
            <w:vAlign w:val="bottom"/>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Daytona Beach, Florida</w:t>
            </w:r>
          </w:p>
        </w:tc>
        <w:tc>
          <w:tcPr>
            <w:tcW w:w="13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32114</w:t>
            </w:r>
          </w:p>
        </w:tc>
      </w:tr>
      <w:tr>
        <w:trPr>
          <w:trHeight w:val="212"/>
        </w:trPr>
        <w:tc>
          <w:tcPr>
            <w:tcW w:w="5840" w:type="dxa"/>
            <w:vAlign w:val="bottom"/>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3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60"/>
        </w:trPr>
        <w:tc>
          <w:tcPr>
            <w:tcW w:w="5840" w:type="dxa"/>
            <w:vAlign w:val="bottom"/>
          </w:tcPr>
          <w:p>
            <w:pPr>
              <w:jc w:val="right"/>
              <w:ind w:right="1319"/>
              <w:spacing w:after="0"/>
              <w:rPr>
                <w:sz w:val="20"/>
                <w:szCs w:val="20"/>
                <w:color w:val="auto"/>
              </w:rPr>
            </w:pPr>
            <w:r>
              <w:rPr>
                <w:rFonts w:ascii="Times New Roman" w:cs="Times New Roman" w:eastAsia="Times New Roman" w:hAnsi="Times New Roman"/>
                <w:sz w:val="16"/>
                <w:szCs w:val="16"/>
                <w:b w:val="1"/>
                <w:bCs w:val="1"/>
                <w:color w:val="auto"/>
              </w:rPr>
              <w:t>(386) 274-2202</w:t>
            </w:r>
          </w:p>
        </w:tc>
        <w:tc>
          <w:tcPr>
            <w:tcW w:w="1380" w:type="dxa"/>
            <w:vAlign w:val="bottom"/>
          </w:tcPr>
          <w:p>
            <w:pPr>
              <w:spacing w:after="0"/>
              <w:rPr>
                <w:sz w:val="22"/>
                <w:szCs w:val="22"/>
                <w:color w:val="auto"/>
              </w:rPr>
            </w:pPr>
          </w:p>
        </w:tc>
      </w:tr>
      <w:tr>
        <w:trPr>
          <w:trHeight w:val="212"/>
        </w:trPr>
        <w:tc>
          <w:tcPr>
            <w:tcW w:w="5840" w:type="dxa"/>
            <w:vAlign w:val="bottom"/>
          </w:tcPr>
          <w:p>
            <w:pPr>
              <w:jc w:val="center"/>
              <w:ind w:left="19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380" w:type="dxa"/>
            <w:vAlign w:val="bottom"/>
          </w:tcPr>
          <w:p>
            <w:pPr>
              <w:spacing w:after="0"/>
              <w:rPr>
                <w:sz w:val="18"/>
                <w:szCs w:val="18"/>
                <w:color w:val="auto"/>
              </w:rPr>
            </w:pPr>
          </w:p>
        </w:tc>
      </w:tr>
    </w:tbl>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75565</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351"/>
        </w:trPr>
        <w:tc>
          <w:tcPr>
            <w:tcW w:w="416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680" w:type="dxa"/>
            <w:vAlign w:val="bottom"/>
            <w:gridSpan w:val="2"/>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90"/>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$0.01 PAR VALUE</w:t>
            </w:r>
          </w:p>
        </w:tc>
        <w:tc>
          <w:tcPr>
            <w:tcW w:w="18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PINE</w:t>
            </w:r>
          </w:p>
        </w:tc>
        <w:tc>
          <w:tcPr>
            <w:tcW w:w="200" w:type="dxa"/>
            <w:vAlign w:val="bottom"/>
          </w:tcPr>
          <w:p>
            <w:pPr>
              <w:spacing w:after="0"/>
              <w:rPr>
                <w:sz w:val="16"/>
                <w:szCs w:val="16"/>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NYSE</w:t>
            </w:r>
          </w:p>
        </w:tc>
      </w:tr>
    </w:tbl>
    <w:p>
      <w:pPr>
        <w:spacing w:after="0" w:line="214" w:lineRule="exact"/>
        <w:rPr>
          <w:sz w:val="24"/>
          <w:szCs w:val="24"/>
          <w:color w:val="auto"/>
        </w:rPr>
      </w:pPr>
    </w:p>
    <w:p>
      <w:pPr>
        <w:jc w:val="both"/>
        <w:ind w:left="20" w:firstLine="441"/>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jc w:val="both"/>
        <w:ind w:left="20" w:firstLine="441"/>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jc w:val="both"/>
        <w:ind w:left="20" w:firstLine="441"/>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Accelerated Filer</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9"/>
        </w:trPr>
        <w:tc>
          <w:tcPr>
            <w:tcW w:w="1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bl>
    <w:p>
      <w:pPr>
        <w:ind w:left="20" w:right="20" w:firstLine="441"/>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460" w:right="126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the registrant’s common stock outstanding on July 14, 2022 was 11,867,278.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450215</wp:posOffset>
            </wp:positionV>
            <wp:extent cx="64979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38735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73025</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0" w:type="dxa"/>
            <w:vAlign w:val="bottom"/>
            <w:gridSpan w:val="10"/>
          </w:tcPr>
          <w:p>
            <w:pPr>
              <w:ind w:left="1120"/>
              <w:spacing w:after="0"/>
              <w:rPr>
                <w:sz w:val="20"/>
                <w:szCs w:val="20"/>
                <w:color w:val="auto"/>
              </w:rPr>
            </w:pPr>
            <w:r>
              <w:rPr>
                <w:rFonts w:ascii="Times New Roman" w:cs="Times New Roman" w:eastAsia="Times New Roman" w:hAnsi="Times New Roman"/>
                <w:sz w:val="18"/>
                <w:szCs w:val="18"/>
                <w:color w:val="auto"/>
              </w:rPr>
              <w:t>INDEX</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8"/>
        </w:trPr>
        <w:tc>
          <w:tcPr>
            <w:tcW w:w="296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w w:val="97"/>
              </w:rPr>
              <w:t>PART I—FINANCIAL INFORMATION</w:t>
            </w:r>
          </w:p>
        </w:tc>
        <w:tc>
          <w:tcPr>
            <w:tcW w:w="5080" w:type="dxa"/>
            <w:vAlign w:val="bottom"/>
            <w:gridSpan w:val="11"/>
            <w:vMerge w:val="restart"/>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161"/>
        </w:trPr>
        <w:tc>
          <w:tcPr>
            <w:tcW w:w="2960" w:type="dxa"/>
            <w:vAlign w:val="bottom"/>
            <w:tcBorders>
              <w:bottom w:val="single" w:sz="8" w:color="0000EE"/>
            </w:tcBorders>
            <w:gridSpan w:val="14"/>
            <w:vMerge w:val="continue"/>
          </w:tcPr>
          <w:p>
            <w:pPr>
              <w:spacing w:after="0"/>
              <w:rPr>
                <w:sz w:val="13"/>
                <w:szCs w:val="13"/>
                <w:color w:val="auto"/>
              </w:rPr>
            </w:pPr>
          </w:p>
        </w:tc>
        <w:tc>
          <w:tcPr>
            <w:tcW w:w="5080" w:type="dxa"/>
            <w:vAlign w:val="bottom"/>
            <w:gridSpan w:val="11"/>
            <w:vMerge w:val="continue"/>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7360" w:type="dxa"/>
            <w:vAlign w:val="bottom"/>
            <w:gridSpan w:val="23"/>
          </w:tcPr>
          <w:p>
            <w:pPr>
              <w:ind w:left="40"/>
              <w:spacing w:after="0"/>
              <w:rPr>
                <w:sz w:val="20"/>
                <w:szCs w:val="20"/>
                <w:color w:val="auto"/>
              </w:rPr>
            </w:pPr>
            <w:r>
              <w:rPr>
                <w:rFonts w:ascii="Times New Roman" w:cs="Times New Roman" w:eastAsia="Times New Roman" w:hAnsi="Times New Roman"/>
                <w:sz w:val="18"/>
                <w:szCs w:val="18"/>
                <w:color w:val="0000EE"/>
              </w:rPr>
              <w:t>Financial Statements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Consolidated Balance Sheets – June 30, 2022 (Unaudited) and December 31, 2021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67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 Three and six months ended June 30, 2022 and 2021</w:t>
            </w:r>
          </w:p>
        </w:tc>
        <w:tc>
          <w:tcPr>
            <w:tcW w:w="940" w:type="dxa"/>
            <w:vAlign w:val="bottom"/>
            <w:gridSpan w:val="5"/>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3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 Three and six months ended June 30, 2022 and</w:t>
            </w:r>
          </w:p>
        </w:tc>
        <w:tc>
          <w:tcPr>
            <w:tcW w:w="42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2021 (Unaudited)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52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 – Three and six months ended June 30, 2022 and 2021</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Consolidated Statements of Cash Flows – Six months ended June 30, 2022 and 2021 (Unaudited)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406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2940" w:type="dxa"/>
            <w:vAlign w:val="bottom"/>
            <w:tcBorders>
              <w:top w:val="single" w:sz="8" w:color="0000EE"/>
            </w:tcBorders>
            <w:gridSpan w:val="6"/>
          </w:tcPr>
          <w:p>
            <w:pPr>
              <w:spacing w:after="0"/>
              <w:rPr>
                <w:sz w:val="24"/>
                <w:szCs w:val="24"/>
                <w:color w:val="auto"/>
              </w:rPr>
            </w:pPr>
          </w:p>
        </w:tc>
        <w:tc>
          <w:tcPr>
            <w:tcW w:w="72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12"/>
        </w:trPr>
        <w:tc>
          <w:tcPr>
            <w:tcW w:w="80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12"/>
        </w:trPr>
        <w:tc>
          <w:tcPr>
            <w:tcW w:w="510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2080" w:type="dxa"/>
            <w:vAlign w:val="bottom"/>
            <w:tcBorders>
              <w:top w:val="single" w:sz="8" w:color="0000EE"/>
            </w:tcBorders>
            <w:gridSpan w:val="3"/>
          </w:tcPr>
          <w:p>
            <w:pPr>
              <w:spacing w:after="0"/>
              <w:rPr>
                <w:sz w:val="24"/>
                <w:szCs w:val="24"/>
                <w:color w:val="auto"/>
              </w:rPr>
            </w:pPr>
          </w:p>
        </w:tc>
        <w:tc>
          <w:tcPr>
            <w:tcW w:w="86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12"/>
        </w:trPr>
        <w:tc>
          <w:tcPr>
            <w:tcW w:w="25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5520" w:type="dxa"/>
            <w:vAlign w:val="bottom"/>
            <w:gridSpan w:val="13"/>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12"/>
        </w:trPr>
        <w:tc>
          <w:tcPr>
            <w:tcW w:w="80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PART II—OTHER INFORMATION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12"/>
        </w:trPr>
        <w:tc>
          <w:tcPr>
            <w:tcW w:w="6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1380" w:type="dxa"/>
            <w:vAlign w:val="bottom"/>
            <w:tcBorders>
              <w:top w:val="single" w:sz="8" w:color="0000EE"/>
              <w:bottom w:val="single" w:sz="8" w:color="0000EE"/>
            </w:tcBorders>
            <w:gridSpan w:val="7"/>
          </w:tcPr>
          <w:p>
            <w:pPr>
              <w:ind w:left="40"/>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580" w:type="dxa"/>
            <w:vAlign w:val="bottom"/>
            <w:tcBorders>
              <w:top w:val="single" w:sz="8" w:color="0000EE"/>
            </w:tcBorders>
            <w:gridSpan w:val="4"/>
          </w:tcPr>
          <w:p>
            <w:pPr>
              <w:spacing w:after="0"/>
              <w:rPr>
                <w:sz w:val="24"/>
                <w:szCs w:val="24"/>
                <w:color w:val="auto"/>
              </w:rPr>
            </w:pPr>
          </w:p>
        </w:tc>
        <w:tc>
          <w:tcPr>
            <w:tcW w:w="5400" w:type="dxa"/>
            <w:vAlign w:val="bottom"/>
            <w:gridSpan w:val="12"/>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1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1A.</w:t>
            </w:r>
          </w:p>
        </w:tc>
        <w:tc>
          <w:tcPr>
            <w:tcW w:w="7360" w:type="dxa"/>
            <w:vAlign w:val="bottom"/>
            <w:gridSpan w:val="23"/>
          </w:tcPr>
          <w:p>
            <w:pPr>
              <w:ind w:left="40"/>
              <w:spacing w:after="0"/>
              <w:rPr>
                <w:sz w:val="20"/>
                <w:szCs w:val="20"/>
                <w:color w:val="auto"/>
              </w:rPr>
            </w:pPr>
            <w:r>
              <w:rPr>
                <w:rFonts w:ascii="Times New Roman" w:cs="Times New Roman" w:eastAsia="Times New Roman" w:hAnsi="Times New Roman"/>
                <w:sz w:val="18"/>
                <w:szCs w:val="18"/>
                <w:color w:val="0000EE"/>
              </w:rPr>
              <w:t>Risk Factors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96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296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12"/>
        </w:trPr>
        <w:tc>
          <w:tcPr>
            <w:tcW w:w="80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12"/>
        </w:trPr>
        <w:tc>
          <w:tcPr>
            <w:tcW w:w="250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540" w:type="dxa"/>
            <w:vAlign w:val="bottom"/>
            <w:tcBorders>
              <w:top w:val="single" w:sz="8" w:color="0000EE"/>
            </w:tcBorders>
            <w:gridSpan w:val="4"/>
          </w:tcPr>
          <w:p>
            <w:pPr>
              <w:spacing w:after="0"/>
              <w:rPr>
                <w:sz w:val="24"/>
                <w:szCs w:val="24"/>
                <w:color w:val="auto"/>
              </w:rPr>
            </w:pPr>
          </w:p>
        </w:tc>
        <w:tc>
          <w:tcPr>
            <w:tcW w:w="5000" w:type="dxa"/>
            <w:vAlign w:val="bottom"/>
            <w:gridSpan w:val="10"/>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12"/>
        </w:trPr>
        <w:tc>
          <w:tcPr>
            <w:tcW w:w="6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5.</w:t>
            </w:r>
          </w:p>
        </w:tc>
        <w:tc>
          <w:tcPr>
            <w:tcW w:w="1360" w:type="dxa"/>
            <w:vAlign w:val="bottom"/>
            <w:tcBorders>
              <w:bottom w:val="single" w:sz="8" w:color="0000EE"/>
            </w:tcBorders>
            <w:gridSpan w:val="6"/>
          </w:tcPr>
          <w:p>
            <w:pPr>
              <w:ind w:left="40"/>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6000" w:type="dxa"/>
            <w:vAlign w:val="bottom"/>
            <w:gridSpan w:val="17"/>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1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6.</w:t>
            </w:r>
          </w:p>
        </w:tc>
        <w:tc>
          <w:tcPr>
            <w:tcW w:w="7360" w:type="dxa"/>
            <w:vAlign w:val="bottom"/>
            <w:gridSpan w:val="23"/>
          </w:tcPr>
          <w:p>
            <w:pPr>
              <w:ind w:left="40"/>
              <w:spacing w:after="0"/>
              <w:rPr>
                <w:sz w:val="20"/>
                <w:szCs w:val="20"/>
                <w:color w:val="auto"/>
              </w:rPr>
            </w:pPr>
            <w:r>
              <w:rPr>
                <w:rFonts w:ascii="Times New Roman" w:cs="Times New Roman" w:eastAsia="Times New Roman" w:hAnsi="Times New Roman"/>
                <w:sz w:val="18"/>
                <w:szCs w:val="18"/>
                <w:color w:val="0000EE"/>
              </w:rPr>
              <w:t>Exhibits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12"/>
        </w:trPr>
        <w:tc>
          <w:tcPr>
            <w:tcW w:w="11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220" w:type="dxa"/>
            <w:vAlign w:val="bottom"/>
            <w:tcBorders>
              <w:top w:val="single" w:sz="8" w:color="0000EE"/>
            </w:tcBorders>
            <w:gridSpan w:val="2"/>
          </w:tcPr>
          <w:p>
            <w:pPr>
              <w:spacing w:after="0"/>
              <w:rPr>
                <w:sz w:val="24"/>
                <w:szCs w:val="24"/>
                <w:color w:val="auto"/>
              </w:rPr>
            </w:pPr>
          </w:p>
        </w:tc>
        <w:tc>
          <w:tcPr>
            <w:tcW w:w="6720" w:type="dxa"/>
            <w:vAlign w:val="bottom"/>
            <w:gridSpan w:val="20"/>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87"/>
        </w:trPr>
        <w:tc>
          <w:tcPr>
            <w:tcW w:w="5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16"/>
                <w:szCs w:val="16"/>
                <w:color w:val="auto"/>
              </w:rPr>
            </w:pPr>
          </w:p>
        </w:tc>
        <w:tc>
          <w:tcPr>
            <w:tcW w:w="128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6"/>
                <w:szCs w:val="16"/>
                <w:color w:val="auto"/>
              </w:rPr>
            </w:pPr>
          </w:p>
        </w:tc>
      </w:tr>
      <w:tr>
        <w:trPr>
          <w:trHeight w:val="238"/>
        </w:trPr>
        <w:tc>
          <w:tcPr>
            <w:tcW w:w="5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r>
      <w:tr>
        <w:trPr>
          <w:trHeight w:val="209"/>
        </w:trPr>
        <w:tc>
          <w:tcPr>
            <w:tcW w:w="5840" w:type="dxa"/>
            <w:vAlign w:val="bottom"/>
            <w:tcBorders>
              <w:top w:val="single" w:sz="8" w:color="CCEEFF"/>
            </w:tcBorders>
            <w:shd w:val="clear" w:color="auto" w:fill="CCEEFF"/>
          </w:tcPr>
          <w:p>
            <w:pPr>
              <w:ind w:left="2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Land, at Cost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178,172</w:t>
            </w:r>
          </w:p>
        </w:tc>
        <w:tc>
          <w:tcPr>
            <w:tcW w:w="20" w:type="dxa"/>
            <w:vAlign w:val="bottom"/>
          </w:tcPr>
          <w:p>
            <w:pPr>
              <w:spacing w:after="0"/>
              <w:rPr>
                <w:sz w:val="18"/>
                <w:szCs w:val="18"/>
                <w:color w:val="auto"/>
              </w:rPr>
            </w:pPr>
          </w:p>
        </w:tc>
      </w:tr>
      <w:tr>
        <w:trPr>
          <w:trHeight w:val="216"/>
        </w:trPr>
        <w:tc>
          <w:tcPr>
            <w:tcW w:w="5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Building and Improvements, at Cost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304,129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266,236</w:t>
            </w:r>
          </w:p>
        </w:tc>
        <w:tc>
          <w:tcPr>
            <w:tcW w:w="20" w:type="dxa"/>
            <w:vAlign w:val="bottom"/>
          </w:tcPr>
          <w:p>
            <w:pPr>
              <w:spacing w:after="0"/>
              <w:rPr>
                <w:sz w:val="18"/>
                <w:szCs w:val="18"/>
                <w:color w:val="auto"/>
              </w:rPr>
            </w:pPr>
          </w:p>
        </w:tc>
      </w:tr>
      <w:tr>
        <w:trPr>
          <w:trHeight w:val="209"/>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Real Estate, at Cost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484,698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444,408</w:t>
            </w:r>
          </w:p>
        </w:tc>
        <w:tc>
          <w:tcPr>
            <w:tcW w:w="20" w:type="dxa"/>
            <w:vAlign w:val="bottom"/>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(17,527)</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(15,419)</w:t>
            </w:r>
          </w:p>
        </w:tc>
        <w:tc>
          <w:tcPr>
            <w:tcW w:w="20" w:type="dxa"/>
            <w:vAlign w:val="bottom"/>
          </w:tcPr>
          <w:p>
            <w:pPr>
              <w:spacing w:after="0"/>
              <w:rPr>
                <w:sz w:val="18"/>
                <w:szCs w:val="18"/>
                <w:color w:val="auto"/>
              </w:rPr>
            </w:pPr>
          </w:p>
        </w:tc>
      </w:tr>
      <w:tr>
        <w:trPr>
          <w:trHeight w:val="209"/>
        </w:trPr>
        <w:tc>
          <w:tcPr>
            <w:tcW w:w="58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Estate—Net</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467,171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428,989</w:t>
            </w:r>
          </w:p>
        </w:tc>
        <w:tc>
          <w:tcPr>
            <w:tcW w:w="20" w:type="dxa"/>
            <w:vAlign w:val="bottom"/>
          </w:tcPr>
          <w:p>
            <w:pPr>
              <w:spacing w:after="0"/>
              <w:rPr>
                <w:sz w:val="18"/>
                <w:szCs w:val="18"/>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 for Sale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20" w:type="dxa"/>
            <w:vAlign w:val="bottom"/>
          </w:tcPr>
          <w:p>
            <w:pPr>
              <w:spacing w:after="0"/>
              <w:rPr>
                <w:sz w:val="18"/>
                <w:szCs w:val="18"/>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Lease Assets—Net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58,821</w:t>
            </w:r>
          </w:p>
        </w:tc>
        <w:tc>
          <w:tcPr>
            <w:tcW w:w="20" w:type="dxa"/>
            <w:vAlign w:val="bottom"/>
          </w:tcPr>
          <w:p>
            <w:pPr>
              <w:spacing w:after="0"/>
              <w:rPr>
                <w:sz w:val="18"/>
                <w:szCs w:val="18"/>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Rent Adjustment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20" w:type="dxa"/>
            <w:vAlign w:val="bottom"/>
          </w:tcPr>
          <w:p>
            <w:pPr>
              <w:spacing w:after="0"/>
              <w:rPr>
                <w:sz w:val="18"/>
                <w:szCs w:val="18"/>
                <w:color w:val="auto"/>
              </w:rPr>
            </w:pPr>
          </w:p>
        </w:tc>
      </w:tr>
      <w:tr>
        <w:trPr>
          <w:trHeight w:val="250"/>
        </w:trPr>
        <w:tc>
          <w:tcPr>
            <w:tcW w:w="5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567,356</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505,514</w:t>
            </w:r>
          </w:p>
        </w:tc>
        <w:tc>
          <w:tcPr>
            <w:tcW w:w="20" w:type="dxa"/>
            <w:vAlign w:val="bottom"/>
          </w:tcPr>
          <w:p>
            <w:pPr>
              <w:spacing w:after="0"/>
              <w:rPr>
                <w:sz w:val="21"/>
                <w:szCs w:val="21"/>
                <w:color w:val="auto"/>
              </w:rPr>
            </w:pPr>
          </w:p>
        </w:tc>
      </w:tr>
      <w:tr>
        <w:trPr>
          <w:trHeight w:val="196"/>
        </w:trPr>
        <w:tc>
          <w:tcPr>
            <w:tcW w:w="5840" w:type="dxa"/>
            <w:vAlign w:val="bottom"/>
            <w:shd w:val="clear" w:color="auto" w:fill="CCEEFF"/>
          </w:tcPr>
          <w:p>
            <w:pPr>
              <w:ind w:left="17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20" w:type="dxa"/>
            <w:vAlign w:val="bottom"/>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Rent and Deferred Revenue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Lease Liabilities—Net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20" w:type="dxa"/>
            <w:vAlign w:val="bottom"/>
          </w:tcPr>
          <w:p>
            <w:pPr>
              <w:spacing w:after="0"/>
              <w:rPr>
                <w:sz w:val="18"/>
                <w:szCs w:val="18"/>
                <w:color w:val="auto"/>
              </w:rPr>
            </w:pPr>
          </w:p>
        </w:tc>
      </w:tr>
      <w:tr>
        <w:trPr>
          <w:trHeight w:val="216"/>
        </w:trPr>
        <w:tc>
          <w:tcPr>
            <w:tcW w:w="5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300,973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267,740</w:t>
            </w:r>
          </w:p>
        </w:tc>
        <w:tc>
          <w:tcPr>
            <w:tcW w:w="20" w:type="dxa"/>
            <w:vAlign w:val="bottom"/>
          </w:tcPr>
          <w:p>
            <w:pPr>
              <w:spacing w:after="0"/>
              <w:rPr>
                <w:sz w:val="18"/>
                <w:szCs w:val="18"/>
                <w:color w:val="auto"/>
              </w:rPr>
            </w:pPr>
          </w:p>
        </w:tc>
      </w:tr>
      <w:tr>
        <w:trPr>
          <w:trHeight w:val="210"/>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312,600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277,612</w:t>
            </w:r>
          </w:p>
        </w:tc>
        <w:tc>
          <w:tcPr>
            <w:tcW w:w="20" w:type="dxa"/>
            <w:vAlign w:val="bottom"/>
          </w:tcPr>
          <w:p>
            <w:pPr>
              <w:spacing w:after="0"/>
              <w:rPr>
                <w:sz w:val="18"/>
                <w:szCs w:val="18"/>
                <w:color w:val="auto"/>
              </w:rPr>
            </w:pPr>
          </w:p>
        </w:tc>
      </w:tr>
      <w:tr>
        <w:trPr>
          <w:trHeight w:val="21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Contingencies—See Note 16</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58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$0.01 par value per share, 100 million shares authorized, no</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issued and outstanding as of June 30, 2022 and December 31, 2021</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84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500 million shares authorized,</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11,863,589 shares issued and outstanding as of June 30, 2022 and 11,454,815</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issued and outstanding as of December 31, 2021</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20"/>
                <w:szCs w:val="20"/>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208,706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200,906</w:t>
            </w: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Earnings (Dividends in Excess of Net Income)</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20" w:type="dxa"/>
            <w:vAlign w:val="bottom"/>
          </w:tcPr>
          <w:p>
            <w:pPr>
              <w:spacing w:after="0"/>
              <w:rPr>
                <w:sz w:val="18"/>
                <w:szCs w:val="18"/>
                <w:color w:val="auto"/>
              </w:rPr>
            </w:pPr>
          </w:p>
        </w:tc>
      </w:tr>
      <w:tr>
        <w:trPr>
          <w:trHeight w:val="216"/>
        </w:trPr>
        <w:tc>
          <w:tcPr>
            <w:tcW w:w="5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20" w:type="dxa"/>
            <w:vAlign w:val="bottom"/>
          </w:tcPr>
          <w:p>
            <w:pPr>
              <w:spacing w:after="0"/>
              <w:rPr>
                <w:sz w:val="18"/>
                <w:szCs w:val="18"/>
                <w:color w:val="auto"/>
              </w:rPr>
            </w:pPr>
          </w:p>
        </w:tc>
      </w:tr>
      <w:tr>
        <w:trPr>
          <w:trHeight w:val="210"/>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222,125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196,523</w:t>
            </w:r>
          </w:p>
        </w:tc>
        <w:tc>
          <w:tcPr>
            <w:tcW w:w="20" w:type="dxa"/>
            <w:vAlign w:val="bottom"/>
          </w:tcPr>
          <w:p>
            <w:pPr>
              <w:spacing w:after="0"/>
              <w:rPr>
                <w:sz w:val="18"/>
                <w:szCs w:val="18"/>
                <w:color w:val="auto"/>
              </w:rPr>
            </w:pPr>
          </w:p>
        </w:tc>
      </w:tr>
      <w:tr>
        <w:trPr>
          <w:trHeight w:val="216"/>
        </w:trPr>
        <w:tc>
          <w:tcPr>
            <w:tcW w:w="5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31,379</w:t>
            </w:r>
          </w:p>
        </w:tc>
        <w:tc>
          <w:tcPr>
            <w:tcW w:w="20" w:type="dxa"/>
            <w:vAlign w:val="bottom"/>
          </w:tcPr>
          <w:p>
            <w:pPr>
              <w:spacing w:after="0"/>
              <w:rPr>
                <w:sz w:val="18"/>
                <w:szCs w:val="18"/>
                <w:color w:val="auto"/>
              </w:rPr>
            </w:pPr>
          </w:p>
        </w:tc>
      </w:tr>
      <w:tr>
        <w:trPr>
          <w:trHeight w:val="210"/>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254,756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227,902</w:t>
            </w:r>
          </w:p>
        </w:tc>
        <w:tc>
          <w:tcPr>
            <w:tcW w:w="20" w:type="dxa"/>
            <w:vAlign w:val="bottom"/>
          </w:tcPr>
          <w:p>
            <w:pPr>
              <w:spacing w:after="0"/>
              <w:rPr>
                <w:sz w:val="18"/>
                <w:szCs w:val="18"/>
                <w:color w:val="auto"/>
              </w:rPr>
            </w:pPr>
          </w:p>
        </w:tc>
      </w:tr>
      <w:tr>
        <w:trPr>
          <w:trHeight w:val="210"/>
        </w:trPr>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567,356</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505,514</w:t>
            </w:r>
          </w:p>
        </w:tc>
        <w:tc>
          <w:tcPr>
            <w:tcW w:w="2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0"/>
                <w:szCs w:val="20"/>
                <w:color w:val="auto"/>
              </w:rPr>
            </w:pPr>
          </w:p>
        </w:tc>
        <w:tc>
          <w:tcPr>
            <w:tcW w:w="230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1340" w:type="dxa"/>
            <w:vAlign w:val="bottom"/>
            <w:tcBorders>
              <w:top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200" w:type="dxa"/>
            <w:vAlign w:val="bottom"/>
          </w:tcPr>
          <w:p>
            <w:pPr>
              <w:spacing w:after="0"/>
              <w:rPr>
                <w:sz w:val="18"/>
                <w:szCs w:val="18"/>
                <w:color w:val="auto"/>
              </w:rPr>
            </w:pPr>
          </w:p>
        </w:tc>
        <w:tc>
          <w:tcPr>
            <w:tcW w:w="1320" w:type="dxa"/>
            <w:vAlign w:val="bottom"/>
            <w:tcBorders>
              <w:top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Lease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22,079</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Expenses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18,459</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21,063</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Less: Net Income Attributable to</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(2,054)</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(2,172)</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7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Net Income Attributable to Alpine Income</w:t>
            </w: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14,282</w:t>
            </w:r>
          </w:p>
        </w:tc>
        <w:tc>
          <w:tcPr>
            <w:tcW w:w="200" w:type="dxa"/>
            <w:vAlign w:val="bottom"/>
          </w:tcPr>
          <w:p>
            <w:pPr>
              <w:spacing w:after="0"/>
              <w:rPr>
                <w:sz w:val="15"/>
                <w:szCs w:val="15"/>
                <w:color w:val="auto"/>
              </w:rPr>
            </w:pPr>
          </w:p>
        </w:tc>
        <w:tc>
          <w:tcPr>
            <w:tcW w:w="180" w:type="dxa"/>
            <w:vAlign w:val="bottom"/>
            <w:tcBorders>
              <w:top w:val="single" w:sz="8" w:color="auto"/>
            </w:tcBorders>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0" w:type="dxa"/>
            <w:vAlign w:val="bottom"/>
          </w:tcPr>
          <w:p>
            <w:pPr>
              <w:spacing w:after="0"/>
              <w:rPr>
                <w:sz w:val="15"/>
                <w:szCs w:val="15"/>
                <w:color w:val="auto"/>
              </w:rPr>
            </w:pPr>
          </w:p>
        </w:tc>
        <w:tc>
          <w:tcPr>
            <w:tcW w:w="180" w:type="dxa"/>
            <w:vAlign w:val="bottom"/>
            <w:tcBorders>
              <w:top w:val="single" w:sz="8" w:color="auto"/>
            </w:tcBorders>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15,088</w:t>
            </w:r>
          </w:p>
        </w:tc>
        <w:tc>
          <w:tcPr>
            <w:tcW w:w="20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Property Trust, Inc.</w:t>
            </w:r>
          </w:p>
        </w:tc>
        <w:tc>
          <w:tcPr>
            <w:tcW w:w="200" w:type="dxa"/>
            <w:vAlign w:val="bottom"/>
            <w:tcBorders>
              <w:bottom w:val="single" w:sz="8" w:color="auto"/>
            </w:tcBorders>
            <w:vMerge w:val="continue"/>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vMerge w:val="continue"/>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 Common Share Data:</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Attributable to Alpine Income</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Trust, Inc.</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11,844,108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8,853,259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11,753,904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8,212,902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13,547,602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10,081,783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13,457,398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520" w:right="1860"/>
        <w:spacing w:after="0" w:line="266" w:lineRule="auto"/>
        <w:rPr>
          <w:sz w:val="20"/>
          <w:szCs w:val="20"/>
          <w:color w:val="auto"/>
        </w:rPr>
      </w:pPr>
      <w:r>
        <w:rPr>
          <w:rFonts w:ascii="Times New Roman" w:cs="Times New Roman" w:eastAsia="Times New Roman" w:hAnsi="Times New Roman"/>
          <w:sz w:val="18"/>
          <w:szCs w:val="18"/>
          <w:color w:val="auto"/>
        </w:rPr>
        <w:t>ALPINE INCOME PROPERTY TRUST, INC. CONSOLIDATED STATEMENTS OF COMPREHENSIVE INCOME (Unaudited, in thousands)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435"/>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10"/>
        </w:trPr>
        <w:tc>
          <w:tcPr>
            <w:tcW w:w="380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80" w:type="dxa"/>
            <w:vAlign w:val="bottom"/>
          </w:tcPr>
          <w:p>
            <w:pPr>
              <w:spacing w:after="0"/>
              <w:rPr>
                <w:sz w:val="18"/>
                <w:szCs w:val="18"/>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June 30, 2022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June 30, 2021</w:t>
            </w:r>
          </w:p>
        </w:tc>
      </w:tr>
      <w:tr>
        <w:trPr>
          <w:trHeight w:val="178"/>
        </w:trPr>
        <w:tc>
          <w:tcPr>
            <w:tcW w:w="380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Net Income Attributable to Alpine Income</w:t>
            </w: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r>
      <w:tr>
        <w:trPr>
          <w:trHeight w:val="23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Trust, Inc.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14,282</w:t>
            </w:r>
          </w:p>
        </w:tc>
        <w:tc>
          <w:tcPr>
            <w:tcW w:w="18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15,088</w:t>
            </w:r>
          </w:p>
        </w:tc>
        <w:tc>
          <w:tcPr>
            <w:tcW w:w="1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w:t>
            </w:r>
          </w:p>
        </w:tc>
      </w:tr>
      <w:tr>
        <w:trPr>
          <w:trHeight w:val="20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8"/>
        </w:trPr>
        <w:tc>
          <w:tcPr>
            <w:tcW w:w="38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Cash Flow Hedging Derivative - Interest Rate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4"/>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Swaps</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w:t>
            </w:r>
          </w:p>
        </w:tc>
      </w:tr>
      <w:tr>
        <w:trPr>
          <w:trHeight w:val="209"/>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9,077</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661</w:t>
            </w:r>
          </w:p>
        </w:tc>
      </w:tr>
      <w:tr>
        <w:trPr>
          <w:trHeight w:val="210"/>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16,527</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24,165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1,405</w:t>
            </w: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60" w:right="59"/>
        <w:spacing w:after="0" w:line="266" w:lineRule="auto"/>
        <w:rPr>
          <w:sz w:val="20"/>
          <w:szCs w:val="20"/>
          <w:color w:val="auto"/>
        </w:rPr>
      </w:pPr>
      <w:r>
        <w:rPr>
          <w:rFonts w:ascii="Times New Roman" w:cs="Times New Roman" w:eastAsia="Times New Roman" w:hAnsi="Times New Roman"/>
          <w:sz w:val="18"/>
          <w:szCs w:val="18"/>
          <w:color w:val="auto"/>
        </w:rPr>
        <w:t>ALPINE INCOME PROPERTY TRUST, INC. CONSOLIDATED STATEMENTS OF STOCKHOLDERS’ EQUITY (Unaudited, in thousands, except per share data)</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three months ended June 30, 2022:</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(Dividends</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7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92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Excess</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Stock at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Net</w:t>
            </w:r>
          </w:p>
        </w:tc>
        <w:tc>
          <w:tcPr>
            <w:tcW w:w="18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6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60" w:type="dxa"/>
            <w:vAlign w:val="bottom"/>
          </w:tcPr>
          <w:p>
            <w:pPr>
              <w:spacing w:after="0"/>
              <w:rPr>
                <w:sz w:val="17"/>
                <w:szCs w:val="17"/>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1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Par</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Income)</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02"/>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April 1, 2022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207,035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(8,779)</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207,128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31,037</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$ 238,165</w:t>
            </w:r>
          </w:p>
        </w:tc>
      </w:t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14,282</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16,336</w:t>
            </w:r>
          </w:p>
        </w:tc>
      </w:tr>
      <w:tr>
        <w:trPr>
          <w:trHeight w:val="189"/>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Issuance to</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18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Stock Issuance, Net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0"/>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Equity Issuance Costs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1,593</w:t>
            </w:r>
          </w:p>
        </w:tc>
      </w:tr>
      <w:tr>
        <w:trPr>
          <w:trHeight w:val="195"/>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 ($0.27 per</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w:t>
            </w:r>
          </w:p>
        </w:tc>
      </w:tr>
      <w:tr>
        <w:trPr>
          <w:trHeight w:val="18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2,245</w:t>
            </w:r>
          </w:p>
        </w:tc>
      </w:tr>
      <w:tr>
        <w:trPr>
          <w:trHeight w:val="199"/>
        </w:trPr>
        <w:tc>
          <w:tcPr>
            <w:tcW w:w="1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June 30, 2022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208,706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222,125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$ 254,756</w:t>
            </w:r>
          </w:p>
        </w:tc>
      </w:tr>
      <w:tr>
        <w:trPr>
          <w:trHeight w:val="20"/>
        </w:trPr>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three months ended June 30, 2021:</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(Dividends</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7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92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Excess</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Stock at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Net</w:t>
            </w:r>
          </w:p>
        </w:tc>
        <w:tc>
          <w:tcPr>
            <w:tcW w:w="18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60" w:type="dxa"/>
            <w:vAlign w:val="bottom"/>
          </w:tcPr>
          <w:p>
            <w:pPr>
              <w:spacing w:after="0"/>
              <w:rPr>
                <w:sz w:val="17"/>
                <w:szCs w:val="17"/>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20" w:type="dxa"/>
            <w:vAlign w:val="bottom"/>
          </w:tcPr>
          <w:p>
            <w:pPr>
              <w:spacing w:after="0"/>
              <w:rPr>
                <w:sz w:val="17"/>
                <w:szCs w:val="17"/>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Par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Income)</w:t>
            </w:r>
          </w:p>
        </w:tc>
        <w:tc>
          <w:tcPr>
            <w:tcW w:w="18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02"/>
        </w:trPr>
        <w:tc>
          <w:tcPr>
            <w:tcW w:w="1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April 1, 2021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140,591</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(7,169)</w:t>
            </w: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133,696</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22,112</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$ 155,808</w:t>
            </w:r>
          </w:p>
        </w:tc>
      </w:t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346</w:t>
            </w:r>
          </w:p>
        </w:tc>
      </w:tr>
      <w:tr>
        <w:trPr>
          <w:trHeight w:val="189"/>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Issuance to</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18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Stock Issuance, Net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0"/>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Equity Issuance Costs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57,348</w:t>
            </w:r>
          </w:p>
        </w:tc>
      </w:tr>
      <w:tr>
        <w:trPr>
          <w:trHeight w:val="209"/>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Units Issued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8,010</w:t>
            </w:r>
          </w:p>
        </w:tc>
      </w:tr>
      <w:tr>
        <w:trPr>
          <w:trHeight w:val="18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 ($0.25 per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0"/>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share)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(3,130)</w:t>
            </w:r>
          </w:p>
        </w:tc>
      </w:tr>
      <w:tr>
        <w:trPr>
          <w:trHeight w:val="195"/>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196"/>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Balance June 30, 2021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197,978</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(9,689)</w:t>
            </w:r>
          </w:p>
        </w:tc>
        <w:tc>
          <w:tcPr>
            <w:tcW w:w="180" w:type="dxa"/>
            <w:vAlign w:val="bottom"/>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188,582</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29,858</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$ 218,440</w:t>
            </w:r>
          </w:p>
        </w:tc>
      </w:tr>
      <w:tr>
        <w:trPr>
          <w:trHeight w:val="20"/>
        </w:trPr>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60" w:right="59"/>
        <w:spacing w:after="0" w:line="266" w:lineRule="auto"/>
        <w:rPr>
          <w:sz w:val="20"/>
          <w:szCs w:val="20"/>
          <w:color w:val="auto"/>
        </w:rPr>
      </w:pPr>
      <w:r>
        <w:rPr>
          <w:rFonts w:ascii="Times New Roman" w:cs="Times New Roman" w:eastAsia="Times New Roman" w:hAnsi="Times New Roman"/>
          <w:sz w:val="18"/>
          <w:szCs w:val="18"/>
          <w:color w:val="auto"/>
        </w:rPr>
        <w:t>ALPINE INCOME PROPERTY TRUST, INC. CONSOLIDATED STATEMENTS OF STOCKHOLDERS’ EQUITY (continued) (Unaudited, in thousands, except per share data)</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six months ended June 30, 2022:</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(Dividends</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7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92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Excess</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Stock at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Net</w:t>
            </w:r>
          </w:p>
        </w:tc>
        <w:tc>
          <w:tcPr>
            <w:tcW w:w="18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6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60" w:type="dxa"/>
            <w:vAlign w:val="bottom"/>
          </w:tcPr>
          <w:p>
            <w:pPr>
              <w:spacing w:after="0"/>
              <w:rPr>
                <w:sz w:val="17"/>
                <w:szCs w:val="17"/>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1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Par</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Income)</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02"/>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1, 2022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200,906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196,523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31,379</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$ 227,902</w:t>
            </w:r>
          </w:p>
        </w:tc>
      </w:t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15,088</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17,260</w:t>
            </w:r>
          </w:p>
        </w:tc>
      </w:tr>
      <w:tr>
        <w:trPr>
          <w:trHeight w:val="189"/>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Issuance to</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18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Stock Issuance, Net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0"/>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Equity Issuance Costs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7,647</w:t>
            </w:r>
          </w:p>
        </w:tc>
      </w:tr>
      <w:tr>
        <w:trPr>
          <w:trHeight w:val="195"/>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 ($0.54 per</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(7,288)</w:t>
            </w:r>
          </w:p>
        </w:tc>
      </w:tr>
      <w:tr>
        <w:trPr>
          <w:trHeight w:val="18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9,077</w:t>
            </w:r>
          </w:p>
        </w:tc>
      </w:tr>
      <w:tr>
        <w:trPr>
          <w:trHeight w:val="199"/>
        </w:trPr>
        <w:tc>
          <w:tcPr>
            <w:tcW w:w="1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June 30, 2022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208,706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222,125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$ 254,756</w:t>
            </w:r>
          </w:p>
        </w:tc>
      </w:tr>
      <w:tr>
        <w:trPr>
          <w:trHeight w:val="20"/>
        </w:trPr>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six months ended June 30, 2021:</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(Dividends</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7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92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Excess</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Stock at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Net</w:t>
            </w:r>
          </w:p>
        </w:tc>
        <w:tc>
          <w:tcPr>
            <w:tcW w:w="18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60" w:type="dxa"/>
            <w:vAlign w:val="bottom"/>
          </w:tcPr>
          <w:p>
            <w:pPr>
              <w:spacing w:after="0"/>
              <w:rPr>
                <w:sz w:val="17"/>
                <w:szCs w:val="17"/>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20" w:type="dxa"/>
            <w:vAlign w:val="bottom"/>
          </w:tcPr>
          <w:p>
            <w:pPr>
              <w:spacing w:after="0"/>
              <w:rPr>
                <w:sz w:val="17"/>
                <w:szCs w:val="17"/>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Par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Income)</w:t>
            </w:r>
          </w:p>
        </w:tc>
        <w:tc>
          <w:tcPr>
            <w:tcW w:w="18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02"/>
        </w:trPr>
        <w:tc>
          <w:tcPr>
            <w:tcW w:w="1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1, 2021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132,878</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(5,713)</w:t>
            </w: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126,759</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22,334</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$ 149,093</w:t>
            </w:r>
          </w:p>
        </w:tc>
      </w:t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857</w:t>
            </w:r>
          </w:p>
        </w:tc>
      </w:tr>
      <w:tr>
        <w:trPr>
          <w:trHeight w:val="189"/>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Issuance to</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18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Stock Issuance, Net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0"/>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Equity Issuance Costs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64,999</w:t>
            </w:r>
          </w:p>
        </w:tc>
      </w:tr>
      <w:tr>
        <w:trPr>
          <w:trHeight w:val="209"/>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Units Issued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8,010</w:t>
            </w:r>
          </w:p>
        </w:tc>
      </w:tr>
      <w:tr>
        <w:trPr>
          <w:trHeight w:val="18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 ($0.49 per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0"/>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share)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(5,319)</w:t>
            </w:r>
          </w:p>
        </w:tc>
      </w:tr>
      <w:tr>
        <w:trPr>
          <w:trHeight w:val="195"/>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r>
      <w:tr>
        <w:trPr>
          <w:trHeight w:val="196"/>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Balance June 30, 2021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197,978</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(9,689)</w:t>
            </w:r>
          </w:p>
        </w:tc>
        <w:tc>
          <w:tcPr>
            <w:tcW w:w="180" w:type="dxa"/>
            <w:vAlign w:val="bottom"/>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188,582</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29,858</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$ 218,440</w:t>
            </w:r>
          </w:p>
        </w:tc>
      </w:tr>
      <w:tr>
        <w:trPr>
          <w:trHeight w:val="20"/>
        </w:trPr>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5"/>
          <w:szCs w:val="15"/>
          <w:b w:val="1"/>
          <w:bCs w:val="1"/>
          <w:color w:val="auto"/>
        </w:rPr>
        <w:t>Six Months Ended</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20" w:type="dxa"/>
            <w:vAlign w:val="bottom"/>
          </w:tcPr>
          <w:p>
            <w:pPr>
              <w:spacing w:after="0"/>
              <w:rPr>
                <w:sz w:val="12"/>
                <w:szCs w:val="12"/>
                <w:color w:val="auto"/>
              </w:rPr>
            </w:pPr>
          </w:p>
        </w:tc>
      </w:tr>
      <w:tr>
        <w:trPr>
          <w:trHeight w:val="142"/>
        </w:trPr>
        <w:tc>
          <w:tcPr>
            <w:tcW w:w="5700" w:type="dxa"/>
            <w:vAlign w:val="bottom"/>
            <w:tcBorders>
              <w:top w:val="single" w:sz="8" w:color="CCEEFF"/>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w:t>
            </w:r>
          </w:p>
        </w:tc>
        <w:tc>
          <w:tcPr>
            <w:tcW w:w="22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17,260</w:t>
            </w:r>
          </w:p>
        </w:tc>
        <w:tc>
          <w:tcPr>
            <w:tcW w:w="140" w:type="dxa"/>
            <w:vAlign w:val="bottom"/>
          </w:tcPr>
          <w:p>
            <w:pPr>
              <w:spacing w:after="0"/>
              <w:rPr>
                <w:sz w:val="12"/>
                <w:szCs w:val="12"/>
                <w:color w:val="auto"/>
              </w:rPr>
            </w:pP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857</w:t>
            </w:r>
          </w:p>
        </w:tc>
        <w:tc>
          <w:tcPr>
            <w:tcW w:w="20" w:type="dxa"/>
            <w:vAlign w:val="bottom"/>
          </w:tcPr>
          <w:p>
            <w:pPr>
              <w:spacing w:after="0"/>
              <w:rPr>
                <w:sz w:val="12"/>
                <w:szCs w:val="12"/>
                <w:color w:val="auto"/>
              </w:rPr>
            </w:pPr>
          </w:p>
        </w:tc>
      </w:tr>
      <w:tr>
        <w:trPr>
          <w:trHeight w:val="149"/>
        </w:trPr>
        <w:tc>
          <w:tcPr>
            <w:tcW w:w="57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11,366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6,606</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Intangible Lease Assets and Liabilities to Lease Income</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2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 to Interest Expense</w:t>
            </w: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Disposition of Assets</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(15,637)</w:t>
            </w:r>
          </w:p>
        </w:tc>
        <w:tc>
          <w:tcPr>
            <w:tcW w:w="2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Non-Cash Compensation</w:t>
            </w: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Decrease (Increase) in Assets:</w:t>
            </w: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Straight-Line Rent Adjustment</w:t>
            </w:r>
          </w:p>
        </w:tc>
        <w:tc>
          <w:tcPr>
            <w:tcW w:w="22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(528)</w:t>
            </w:r>
          </w:p>
        </w:tc>
        <w:tc>
          <w:tcPr>
            <w:tcW w:w="2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COVID-19 Rent Repayments</w:t>
            </w: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385</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Increase (Decrease) in Liabilities:</w:t>
            </w: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906</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Prepaid Rent and Deferred Revenue</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(371)</w:t>
            </w:r>
          </w:p>
        </w:tc>
        <w:tc>
          <w:tcPr>
            <w:tcW w:w="2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20" w:type="dxa"/>
            <w:vAlign w:val="bottom"/>
          </w:tcPr>
          <w:p>
            <w:pPr>
              <w:spacing w:after="0"/>
              <w:rPr>
                <w:sz w:val="12"/>
                <w:szCs w:val="12"/>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5680" w:type="dxa"/>
            <w:vAlign w:val="bottom"/>
            <w:tcBorders>
              <w:bottom w:val="single" w:sz="8" w:color="CCEEFF"/>
            </w:tcBorders>
            <w:gridSpan w:val="2"/>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2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13,252</w:t>
            </w:r>
          </w:p>
        </w:tc>
        <w:tc>
          <w:tcPr>
            <w:tcW w:w="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8,866</w:t>
            </w:r>
          </w:p>
        </w:tc>
        <w:tc>
          <w:tcPr>
            <w:tcW w:w="20" w:type="dxa"/>
            <w:vAlign w:val="bottom"/>
          </w:tcPr>
          <w:p>
            <w:pPr>
              <w:spacing w:after="0"/>
              <w:rPr>
                <w:sz w:val="12"/>
                <w:szCs w:val="12"/>
                <w:color w:val="auto"/>
              </w:rPr>
            </w:pPr>
          </w:p>
        </w:tc>
      </w:tr>
      <w:tr>
        <w:trPr>
          <w:trHeight w:val="142"/>
        </w:trPr>
        <w:tc>
          <w:tcPr>
            <w:tcW w:w="570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Investing Activities:</w:t>
            </w: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Acquisition of Real Estate, Including Capitalized Expenditures</w:t>
            </w:r>
          </w:p>
        </w:tc>
        <w:tc>
          <w:tcPr>
            <w:tcW w:w="22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(110,062)</w:t>
            </w:r>
          </w:p>
        </w:tc>
        <w:tc>
          <w:tcPr>
            <w:tcW w:w="2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(65,930)</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Disposition of Assets</w:t>
            </w:r>
          </w:p>
        </w:tc>
        <w:tc>
          <w:tcPr>
            <w:tcW w:w="22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71,446</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5680" w:type="dxa"/>
            <w:vAlign w:val="bottom"/>
            <w:tcBorders>
              <w:bottom w:val="single" w:sz="8" w:color="CCEEFF"/>
            </w:tcBorders>
            <w:gridSpan w:val="2"/>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(38,616)</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(65,930)</w:t>
            </w:r>
          </w:p>
        </w:tc>
        <w:tc>
          <w:tcPr>
            <w:tcW w:w="20" w:type="dxa"/>
            <w:vAlign w:val="bottom"/>
          </w:tcPr>
          <w:p>
            <w:pPr>
              <w:spacing w:after="0"/>
              <w:rPr>
                <w:sz w:val="12"/>
                <w:szCs w:val="12"/>
                <w:color w:val="auto"/>
              </w:rPr>
            </w:pPr>
          </w:p>
        </w:tc>
      </w:tr>
      <w:tr>
        <w:trPr>
          <w:trHeight w:val="142"/>
        </w:trPr>
        <w:tc>
          <w:tcPr>
            <w:tcW w:w="570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Financing Activities:</w:t>
            </w: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Long-Term Debt</w:t>
            </w: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162,500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85,621</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Payments on Long-Term Debt</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(129,000)</w:t>
            </w:r>
          </w:p>
        </w:tc>
        <w:tc>
          <w:tcPr>
            <w:tcW w:w="2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(80,809)</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Paid for Loan Fees</w:t>
            </w:r>
          </w:p>
        </w:tc>
        <w:tc>
          <w:tcPr>
            <w:tcW w:w="22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(434)</w:t>
            </w:r>
          </w:p>
        </w:tc>
        <w:tc>
          <w:tcPr>
            <w:tcW w:w="2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(838)</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Stock Issuance, Net</w:t>
            </w: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7,647</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64,999</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Dividends Paid</w:t>
            </w:r>
          </w:p>
        </w:tc>
        <w:tc>
          <w:tcPr>
            <w:tcW w:w="22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(7,288)</w:t>
            </w:r>
          </w:p>
        </w:tc>
        <w:tc>
          <w:tcPr>
            <w:tcW w:w="2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(5,319)</w:t>
            </w:r>
          </w:p>
        </w:tc>
        <w:tc>
          <w:tcPr>
            <w:tcW w:w="20" w:type="dxa"/>
            <w:vAlign w:val="bottom"/>
          </w:tcPr>
          <w:p>
            <w:pPr>
              <w:spacing w:after="0"/>
              <w:rPr>
                <w:sz w:val="12"/>
                <w:szCs w:val="12"/>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680" w:type="dxa"/>
            <w:vAlign w:val="bottom"/>
            <w:tcBorders>
              <w:top w:val="single" w:sz="8" w:color="CCEEFF"/>
            </w:tcBorders>
            <w:gridSpan w:val="2"/>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33,425</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3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63,654</w:t>
            </w:r>
          </w:p>
        </w:tc>
        <w:tc>
          <w:tcPr>
            <w:tcW w:w="20" w:type="dxa"/>
            <w:vAlign w:val="bottom"/>
          </w:tcPr>
          <w:p>
            <w:pPr>
              <w:spacing w:after="0"/>
              <w:rPr>
                <w:sz w:val="12"/>
                <w:szCs w:val="12"/>
                <w:color w:val="auto"/>
              </w:rPr>
            </w:pPr>
          </w:p>
        </w:tc>
      </w:tr>
      <w:tr>
        <w:trPr>
          <w:trHeight w:val="142"/>
        </w:trPr>
        <w:tc>
          <w:tcPr>
            <w:tcW w:w="57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Net Decrease in Cash and Cash Equivalents</w:t>
            </w:r>
          </w:p>
        </w:tc>
        <w:tc>
          <w:tcPr>
            <w:tcW w:w="22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8,061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6,590</w:t>
            </w:r>
          </w:p>
        </w:tc>
        <w:tc>
          <w:tcPr>
            <w:tcW w:w="20" w:type="dxa"/>
            <w:vAlign w:val="bottom"/>
          </w:tcPr>
          <w:p>
            <w:pPr>
              <w:spacing w:after="0"/>
              <w:rPr>
                <w:sz w:val="12"/>
                <w:szCs w:val="12"/>
                <w:color w:val="auto"/>
              </w:rPr>
            </w:pPr>
          </w:p>
        </w:tc>
      </w:tr>
      <w:tr>
        <w:trPr>
          <w:trHeight w:val="148"/>
        </w:trPr>
        <w:tc>
          <w:tcPr>
            <w:tcW w:w="57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2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9,497</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1,894</w:t>
            </w:r>
          </w:p>
        </w:tc>
        <w:tc>
          <w:tcPr>
            <w:tcW w:w="20" w:type="dxa"/>
            <w:vAlign w:val="bottom"/>
          </w:tcPr>
          <w:p>
            <w:pPr>
              <w:spacing w:after="0"/>
              <w:rPr>
                <w:sz w:val="12"/>
                <w:szCs w:val="12"/>
                <w:color w:val="auto"/>
              </w:rPr>
            </w:pPr>
          </w:p>
        </w:tc>
      </w:tr>
      <w:tr>
        <w:trPr>
          <w:trHeight w:val="182"/>
        </w:trPr>
        <w:tc>
          <w:tcPr>
            <w:tcW w:w="5700" w:type="dxa"/>
            <w:vAlign w:val="bottom"/>
            <w:tcBorders>
              <w:bottom w:val="single" w:sz="8" w:color="CCEEFF"/>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2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17,558</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8,484</w:t>
            </w:r>
          </w:p>
        </w:tc>
        <w:tc>
          <w:tcPr>
            <w:tcW w:w="20" w:type="dxa"/>
            <w:vAlign w:val="bottom"/>
          </w:tcPr>
          <w:p>
            <w:pPr>
              <w:spacing w:after="0"/>
              <w:rPr>
                <w:sz w:val="15"/>
                <w:szCs w:val="15"/>
                <w:color w:val="auto"/>
              </w:rPr>
            </w:pPr>
          </w:p>
        </w:tc>
      </w:tr>
      <w:tr>
        <w:trPr>
          <w:trHeight w:val="129"/>
        </w:trPr>
        <w:tc>
          <w:tcPr>
            <w:tcW w:w="20" w:type="dxa"/>
            <w:vAlign w:val="bottom"/>
            <w:shd w:val="clear" w:color="auto" w:fill="CCEEFF"/>
          </w:tcPr>
          <w:p>
            <w:pPr>
              <w:spacing w:after="0"/>
              <w:rPr>
                <w:sz w:val="11"/>
                <w:szCs w:val="11"/>
                <w:color w:val="auto"/>
              </w:rPr>
            </w:pPr>
          </w:p>
        </w:tc>
        <w:tc>
          <w:tcPr>
            <w:tcW w:w="342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7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Reconciliation of Cash to the Consolidated Balance Sheets:</w:t>
            </w: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570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2,427</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6,294</w:t>
            </w:r>
          </w:p>
        </w:tc>
        <w:tc>
          <w:tcPr>
            <w:tcW w:w="20" w:type="dxa"/>
            <w:vAlign w:val="bottom"/>
          </w:tcPr>
          <w:p>
            <w:pPr>
              <w:spacing w:after="0"/>
              <w:rPr>
                <w:sz w:val="12"/>
                <w:szCs w:val="12"/>
                <w:color w:val="auto"/>
              </w:rPr>
            </w:pPr>
          </w:p>
        </w:tc>
      </w:tr>
      <w:tr>
        <w:trPr>
          <w:trHeight w:val="149"/>
        </w:trPr>
        <w:tc>
          <w:tcPr>
            <w:tcW w:w="5700" w:type="dxa"/>
            <w:vAlign w:val="bottom"/>
            <w:tcBorders>
              <w:bottom w:val="single" w:sz="8" w:color="CCEEFF"/>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15,131</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2,190</w:t>
            </w:r>
          </w:p>
        </w:tc>
        <w:tc>
          <w:tcPr>
            <w:tcW w:w="20" w:type="dxa"/>
            <w:vAlign w:val="bottom"/>
          </w:tcPr>
          <w:p>
            <w:pPr>
              <w:spacing w:after="0"/>
              <w:rPr>
                <w:sz w:val="12"/>
                <w:szCs w:val="12"/>
                <w:color w:val="auto"/>
              </w:rPr>
            </w:pPr>
          </w:p>
        </w:tc>
      </w:tr>
      <w:tr>
        <w:trPr>
          <w:trHeight w:val="142"/>
        </w:trPr>
        <w:tc>
          <w:tcPr>
            <w:tcW w:w="5700" w:type="dxa"/>
            <w:vAlign w:val="bottom"/>
            <w:tcBorders>
              <w:bottom w:val="single" w:sz="8" w:color="CCEEFF"/>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Cash</w:t>
            </w: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17,558</w:t>
            </w: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8,484</w:t>
            </w: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500" w:right="1980"/>
        <w:spacing w:after="0" w:line="266" w:lineRule="auto"/>
        <w:rPr>
          <w:sz w:val="20"/>
          <w:szCs w:val="20"/>
          <w:color w:val="auto"/>
        </w:rPr>
      </w:pPr>
      <w:r>
        <w:rPr>
          <w:rFonts w:ascii="Times New Roman" w:cs="Times New Roman" w:eastAsia="Times New Roman" w:hAnsi="Times New Roman"/>
          <w:sz w:val="18"/>
          <w:szCs w:val="18"/>
          <w:color w:val="auto"/>
        </w:rPr>
        <w:t>ALPINE INCOME PROPERTY TRUST, INC. CONSOLIDATED STATEMENTS OF CASH FLOWS (Continued) (Unaudited,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2"/>
        </w:trPr>
        <w:tc>
          <w:tcPr>
            <w:tcW w:w="5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2022</w:t>
            </w:r>
          </w:p>
        </w:tc>
        <w:tc>
          <w:tcPr>
            <w:tcW w:w="240" w:type="dxa"/>
            <w:vAlign w:val="bottom"/>
          </w:tcPr>
          <w:p>
            <w:pPr>
              <w:spacing w:after="0"/>
              <w:rPr>
                <w:sz w:val="12"/>
                <w:szCs w:val="12"/>
                <w:color w:val="auto"/>
              </w:rPr>
            </w:pPr>
          </w:p>
        </w:tc>
        <w:tc>
          <w:tcPr>
            <w:tcW w:w="128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42"/>
        </w:trPr>
        <w:tc>
          <w:tcPr>
            <w:tcW w:w="57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24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r>
      <w:tr>
        <w:trPr>
          <w:trHeight w:val="148"/>
        </w:trPr>
        <w:tc>
          <w:tcPr>
            <w:tcW w:w="57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2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3,352</w:t>
            </w:r>
          </w:p>
        </w:tc>
        <w:tc>
          <w:tcPr>
            <w:tcW w:w="140" w:type="dxa"/>
            <w:vAlign w:val="bottom"/>
          </w:tcPr>
          <w:p>
            <w:pPr>
              <w:spacing w:after="0"/>
              <w:rPr>
                <w:sz w:val="12"/>
                <w:szCs w:val="12"/>
                <w:color w:val="auto"/>
              </w:rPr>
            </w:pPr>
          </w:p>
        </w:tc>
        <w:tc>
          <w:tcPr>
            <w:tcW w:w="2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1,105</w:t>
            </w:r>
          </w:p>
        </w:tc>
      </w:tr>
      <w:tr>
        <w:trPr>
          <w:trHeight w:val="148"/>
        </w:trPr>
        <w:tc>
          <w:tcPr>
            <w:tcW w:w="5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49"/>
        </w:trPr>
        <w:tc>
          <w:tcPr>
            <w:tcW w:w="5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8"/>
        </w:trPr>
        <w:tc>
          <w:tcPr>
            <w:tcW w:w="57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Gain on Cash Flow Hedge</w:t>
            </w:r>
          </w:p>
        </w:tc>
        <w:tc>
          <w:tcPr>
            <w:tcW w:w="2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9,077</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661</w:t>
            </w:r>
          </w:p>
        </w:tc>
      </w:tr>
      <w:tr>
        <w:trPr>
          <w:trHeight w:val="148"/>
        </w:trPr>
        <w:tc>
          <w:tcPr>
            <w:tcW w:w="57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Right-of-Use Assets and Operating Lease Liability</w:t>
            </w:r>
          </w:p>
        </w:tc>
        <w:tc>
          <w:tcPr>
            <w:tcW w:w="2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1,831</w:t>
            </w:r>
          </w:p>
        </w:tc>
        <w:tc>
          <w:tcPr>
            <w:tcW w:w="140" w:type="dxa"/>
            <w:vAlign w:val="bottom"/>
          </w:tcPr>
          <w:p>
            <w:pPr>
              <w:spacing w:after="0"/>
              <w:rPr>
                <w:sz w:val="12"/>
                <w:szCs w:val="12"/>
                <w:color w:val="auto"/>
              </w:rPr>
            </w:pPr>
          </w:p>
        </w:tc>
        <w:tc>
          <w:tcPr>
            <w:tcW w:w="2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7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 Units Issued in Exchange for Real Estate</w:t>
            </w:r>
          </w:p>
        </w:tc>
        <w:tc>
          <w:tcPr>
            <w:tcW w:w="2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8,010</w:t>
            </w:r>
          </w:p>
        </w:tc>
      </w:tr>
      <w:tr>
        <w:trPr>
          <w:trHeight w:val="148"/>
        </w:trPr>
        <w:tc>
          <w:tcPr>
            <w:tcW w:w="57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Underwriting Discounts on Capital Raised Through Issuance of Common Stock</w:t>
            </w:r>
          </w:p>
        </w:tc>
        <w:tc>
          <w:tcPr>
            <w:tcW w:w="2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2,866</w:t>
            </w:r>
          </w:p>
        </w:tc>
      </w:tr>
      <w:tr>
        <w:trPr>
          <w:trHeight w:val="149"/>
        </w:trPr>
        <w:tc>
          <w:tcPr>
            <w:tcW w:w="57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Assumption of Mortgage Note Payable</w:t>
            </w:r>
          </w:p>
        </w:tc>
        <w:tc>
          <w:tcPr>
            <w:tcW w:w="2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 BUSINESS AND ORGANIZATION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BUSINESS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Alpine Income Property Trust, Inc. (the “Company” or “PINE”) is a real estate company that owns and operates a high-quality portfolio of commercial net lease properties. The terms “us,” “we,” “our,” and “the Company” as used in this report refer to Alpine Income Property Trust, Inc. together with our consolidated subsidiaries.</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portfolio consists of 143 net leased properties located in 98 markets in 35 states. The properties in our portfolio are primarily subject to long-term, triple-net leases, which generally require the tenant to pay all of the property operating expenses such as real estate taxes, insurance, assessments and other governmental fees, utilities, repairs and maintenance and certain capital expenditures.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has no employees and is externally managed by Alpine Income Property Manager, LLC, a Delaware limited liability company and a wholly owned subsidiary of CTO Realty Growth, Inc. (our “Manager”). CTO Realty Growth, Inc. (NYSE: CTO) is a Maryland corporation that is a publicly traded diversified real estate investment trust (“REIT”) and the sole member of our Manager (“CTO”).</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27"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Company is a Maryland corporation that was formed on August 19, 2019. On November 26, 2019, the Company closed its initial public offering (“IPO”) of shares of its common stock (the “Offering”) as well as a concurrent private placement of shares of common stock to CTO. The price per share paid in the Offering and the concurrent private placement was $19.00 (the “IPO Price”). The Offering raised $142.5 million in gross proceeds from the issuance of 7,500,000 shares of our common stock. We also raised $7.5 million from the concurrent private placement to CTO from the issuance of 394,737 shares of our common stock (“CTO Private Placement”). Included in the Offering was CTO’s purchase of 421,053 shares of our common stock for $8.0 million, representing a cash investment by CTO of $15.5 million. A total of $125.9 million of proceeds from the Offering were utilized to acquire 15 properties in our initial portfolio from CTO. The remaining five properties in our initial portfolio were contributed by CTO in exchange for 1,223,854 units of the operating partnership (the “OP Units”) for a value of $23.3 million based on the IPO Price. As of June 30, 2022, eight of the properties included within our initial portfolio have been sold. Subsequent to June 30, 2022, one additional property included within our initial portfolio was sold. The Company incurred a total of $12.0 million of transaction costs, which included underwriting fees of $9.4 million. Upon completion of the Offering, the CTO Private Placement, and the other transactions executed at the time of our listing on the New York Stock Exchange (the “NYSE”) under the symbol “PINE” (collectively defined as the “Formation Transactions”), CTO owned 22.3% of our outstanding common stock (assuming the OP Units issued to CTO in the Formation Transactions are exchanged for shares of our common stock on a one-for-one basis).</w:t>
      </w:r>
    </w:p>
    <w:p>
      <w:pPr>
        <w:spacing w:after="0" w:line="193"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conduct the substantial majority of our operations through Alpine Income Property OP, LP (the “Operating Partnership”). Our wholly owned subsidiary, Alpine Income Property GP, LLC (“PINE GP”), is the sole general partner of the Operating Partnership. Substantially all of our assets are held by, and our operations are conducted through, the Operating Partnership. As of June 30, 2022, we have a total ownership interest in the Operating Partnership of 87.4%, with CTO holding, directly and indirectly, a 9.1% ownership interest in the Operating Partnership. The remaining 3.5% ownership interest is held by an unrelated third party in connection with the issuance of 479,640 OP Units valued at $9.0 million in the aggregate, or $18.85 per unit. The issuance of 479,640 OP Units includes (i) 424,951 OP Units issued as consideration for the portfolio of nine net lease properties acquired on June 30, 2021 and (ii) 54,689 OP Units issued as consideration for the acquisition of one net lease property on July 12, 2021 (see Note 3, “Property Portfolio”). Our interest in the Operating Partnership generally entitles us to share in cash distributions from, and in the profits and losses of, the Operating Partnership in proportion to our percentage ownership. We, through PINE GP, generally have the exclusive power under the partnership agreement to manage and conduct the business and affairs of the Operating Partnership, subject to certain approval and voting rights of the limited partners. Our Board of Directors (the “Board”) manages our business and affairs.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385"/>
        <w:spacing w:after="0" w:line="253" w:lineRule="auto"/>
        <w:rPr>
          <w:sz w:val="20"/>
          <w:szCs w:val="20"/>
          <w:color w:val="auto"/>
        </w:rPr>
      </w:pPr>
      <w:r>
        <w:rPr>
          <w:rFonts w:ascii="Times New Roman" w:cs="Times New Roman" w:eastAsia="Times New Roman" w:hAnsi="Times New Roman"/>
          <w:sz w:val="18"/>
          <w:szCs w:val="18"/>
          <w:color w:val="auto"/>
        </w:rPr>
        <w:t>The Company has elected to be taxed as a REIT for U.S. federal income tax purposes under the Internal Revenue Code of 1986, as amended (the “Code”). To qualify as a REIT, the Company must meet certain organizational and operational requirements, including a requirement to distribute at least 90% of the Company’s annual REIT taxable income, without regard to the dividends paid deduction or net capital gain, to its stockholders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 income tax on its taxable income at regular corporate rates and generally will not be permitted to qualify for treatment as a REIT for the four taxable years following the year during which qualification is lost unless the Internal Revenue Service grants the Company relief under certain statutory provisions. Such an event could materially adversely affect the Company’s net income and net cash available for distribution to stockholders. Even if the Company qualifies for taxation as a REIT, the Company may be subject to state and local taxes on its income and property and federal income and excise taxes on its undistributed income.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POLICIES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USE OF ESTIMATES IN THE PREPARATION OF FINANCIAL STATEMENTS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presented. Actual results could differ from those estimates.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Among other factors, fluctuating market conditions that can exist in the national real estate markets and the volatility and uncertainty in the financial and credit markets make it possible that the estimates and assumptions, most notably those related to PINE’s investment in properties, could change materially due to continued volatility in the real estate and financial markets, or as a result of a significant dislocation in those markets.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follows Financial Accounting Standards Board (“FASB”) Accounting Standards Codification (“ASC”) Topic 360-10,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in conducting its impairment analyses. The Company reviews the recoverability of long-lived assets, primarily real estate,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 property not fully leased or leased at rates that are less than current market rates, and any other quantitative or qualitative events deemed significant by management. Long-lived assets are evaluated for impairment by using an undiscounted cash flow approach, which considers future estimated capital expenditures. Impairment of long-lived assets is measured at fair value less cost to sell.</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PURCHASE ACCOUNTING FOR ACQUISITIONS OF REAL ESTATE SUBJECT TO A LEASE</w:t>
      </w:r>
    </w:p>
    <w:p>
      <w:pPr>
        <w:spacing w:after="0" w:line="227" w:lineRule="exact"/>
        <w:rPr>
          <w:sz w:val="20"/>
          <w:szCs w:val="20"/>
          <w:color w:val="auto"/>
        </w:rPr>
      </w:pPr>
    </w:p>
    <w:p>
      <w:pPr>
        <w:jc w:val="both"/>
        <w:ind w:left="60" w:right="59" w:firstLine="545"/>
        <w:spacing w:after="0" w:line="253" w:lineRule="auto"/>
        <w:rPr>
          <w:sz w:val="20"/>
          <w:szCs w:val="20"/>
          <w:color w:val="auto"/>
        </w:rPr>
      </w:pPr>
      <w:r>
        <w:rPr>
          <w:rFonts w:ascii="Times New Roman" w:cs="Times New Roman" w:eastAsia="Times New Roman" w:hAnsi="Times New Roman"/>
          <w:sz w:val="18"/>
          <w:szCs w:val="18"/>
          <w:color w:val="auto"/>
        </w:rPr>
        <w:t xml:space="preserve">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Accounting Standards Update (“ASU”) 2017-01, Business Combinations (Topic 805): </w:t>
      </w:r>
      <w:r>
        <w:rPr>
          <w:rFonts w:ascii="Times New Roman" w:cs="Times New Roman" w:eastAsia="Times New Roman" w:hAnsi="Times New Roman"/>
          <w:sz w:val="18"/>
          <w:szCs w:val="18"/>
          <w:i w:val="1"/>
          <w:iCs w:val="1"/>
          <w:color w:val="auto"/>
        </w:rPr>
        <w:t>Clarifying the Definition of a Business</w:t>
      </w:r>
      <w:r>
        <w:rPr>
          <w:rFonts w:ascii="Times New Roman" w:cs="Times New Roman" w:eastAsia="Times New Roman" w:hAnsi="Times New Roman"/>
          <w:sz w:val="18"/>
          <w:szCs w:val="18"/>
          <w:color w:val="auto"/>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500"/>
        <w:spacing w:after="0" w:line="253" w:lineRule="auto"/>
        <w:rPr>
          <w:sz w:val="20"/>
          <w:szCs w:val="20"/>
          <w:color w:val="auto"/>
        </w:rPr>
      </w:pPr>
      <w:r>
        <w:rPr>
          <w:rFonts w:ascii="Times New Roman" w:cs="Times New Roman" w:eastAsia="Times New Roman" w:hAnsi="Times New Roman"/>
          <w:sz w:val="18"/>
          <w:szCs w:val="18"/>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the management believes that it is likely that the tenant will renew the lease upon expiration, in which case the Company amortizes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SALES OF REAL ESTATE</w:t>
      </w:r>
    </w:p>
    <w:p>
      <w:pPr>
        <w:spacing w:after="0" w:line="227" w:lineRule="exact"/>
        <w:rPr>
          <w:sz w:val="20"/>
          <w:szCs w:val="20"/>
          <w:color w:val="auto"/>
        </w:rPr>
      </w:pPr>
    </w:p>
    <w:p>
      <w:pPr>
        <w:jc w:val="both"/>
        <w:ind w:left="60" w:right="59" w:firstLine="500"/>
        <w:spacing w:after="0" w:line="258" w:lineRule="auto"/>
        <w:rPr>
          <w:sz w:val="20"/>
          <w:szCs w:val="20"/>
          <w:color w:val="auto"/>
        </w:rPr>
      </w:pPr>
      <w:r>
        <w:rPr>
          <w:rFonts w:ascii="Times New Roman" w:cs="Times New Roman" w:eastAsia="Times New Roman" w:hAnsi="Times New Roman"/>
          <w:sz w:val="18"/>
          <w:szCs w:val="18"/>
          <w:color w:val="auto"/>
        </w:rPr>
        <w:t>When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 on dispositions of assets. In accordance with the FASB guidance, gains or losses on sales of real estate are generally recognized using the full accrual method.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PROPERTY LEASE REVENUE</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rental arrangements associated with the Company’s property portfolio are classified as operating leases. The Company recognizes lease income on these properties on a straight-line basis over the term of the lease. Accordingly, contractual lease payment increases are recognized evenly over the term of the lease. The periodic difference between lease income recognized under this method and contractual lease payment terms (i.e., straight-line rent) is recorded as a deferred operating lease receivable and is included in straight-line rent adjustment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collectability of tenant receivables and straight-line rent adjustments is determined based on, among other things, the aging of the tenant receivable, management’s evaluation of credit risk associated with the tenant and industry of the tenant, and a review of specifically identified accounts using judgment. As of June 30, 2022 and December 31, 2021, the Company’s allowance for doubtful accounts totaled $0.3 million.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LAND LEASE EXPENSE</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is the lessee under operating land leases for certain of its properties, which leases are classified as operating leases pursuant to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corresponding lease expense is recognized on a straight-line basis over the term of the lease and is included in real estate expenses in the accompanying consolidated statements of operations.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Cash and cash equivalents include cash on hand, bank demand accounts, and money market accounts having original maturities of 90 days or less. The Company’s bank balances as of June 30, 2022 and December 31, 2021 include certain amounts over the Federal Deposit Insurance Corporation limits. The carrying value of cash and cash equivalents is reported at Level 1 in the fair value hierarchy, which represents valuation based upon quoted prices in active markets for identical assets or liabilities.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Restricted cash totaled $15.1 million as of June 30, 2022 of which $0.7 million is being held in a capital replacement and leasing commissions reserve account in connection with our financing of six properties and $14.4 million is being held in various escrow accounts to be reinvested through the like-kind exchange structure into other income properties.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DERIVATIVE FINANCIAL INSTRUMENTS AND HEDGING ACTIVITY</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cash flow hedging derivatives in accordance with FASB ASC Topic 815-20,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w:t>
      </w:r>
      <w:r>
        <w:rPr>
          <w:rFonts w:ascii="Times New Roman" w:cs="Times New Roman" w:eastAsia="Times New Roman" w:hAnsi="Times New Roman"/>
          <w:sz w:val="18"/>
          <w:szCs w:val="18"/>
          <w:color w:val="auto"/>
        </w:rPr>
        <w:t>. Depending upon the hedge’s value at each balance sheet date, the derivatives are included in either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accounts payable, accrued expenses, and other liabilities on the accompanying consolidated balance sheet at its fair value. On the date each interest rate swap was entered into, the Company designated the derivatives as a hedge of the variability of cash flows to be paid related to the recognized long-term debt liabilities.</w:t>
      </w:r>
    </w:p>
    <w:p>
      <w:pPr>
        <w:spacing w:after="0" w:line="18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will continue to do so on a quarterly basis.</w:t>
      </w:r>
    </w:p>
    <w:p>
      <w:pPr>
        <w:spacing w:after="0" w:line="180"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10, “Interest Rate Swaps”).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ind w:left="60" w:right="59" w:firstLine="324"/>
        <w:spacing w:after="0" w:line="270" w:lineRule="auto"/>
        <w:rPr>
          <w:sz w:val="20"/>
          <w:szCs w:val="20"/>
          <w:color w:val="auto"/>
        </w:rPr>
      </w:pPr>
      <w:r>
        <w:rPr>
          <w:rFonts w:ascii="Times New Roman" w:cs="Times New Roman" w:eastAsia="Times New Roman" w:hAnsi="Times New Roman"/>
          <w:sz w:val="17"/>
          <w:szCs w:val="17"/>
          <w:color w:val="auto"/>
        </w:rPr>
        <w:t>The carrying amounts of the Company’s financial assets and liabilities including cash and cash equivalents, restricted cash, accounts receivable included in other assets, accounts payable, and accrued expenses and other liabilities approximate fair value because of the short maturity of these instruments. The carrying value of the Credit Facility, hereinafter defined, approximates current market rates for revolving credit arrangements with similar risks and maturities. The Company estimates the fair value of its mortgage note payable and term loans based on incremental borrowing rates for similar types of borrowing arrangements with the same remaining maturity and on the discounted estimated future cash payments to be made for other debt. The discount rate used to calculate the fair value of debt approximates current lending rates for loans and assumes the debt is outstanding through maturity. Since such amounts are estimates that are based on limited available market information for similar transactions, which is a Level 2 non-recurring measurement, there can be no assurance that the disclosed value of any financial instrument could be realized by immediate settlement of the instrument.</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1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Company’s estimates of fair value of financial and non-financial assets and liabilities is based on the framework established by GAAP. The framework specifies a hierarchy of valuation inputs which was established to increase consistency, clarity and comparability in fair value measurements and related disclosures. GAAP describes a fair value hierarchy based upon three levels of inputs that may be used to measure fair value, two of which are considered observable and one that is considered unobservable. The following describes the three levels:</w:t>
      </w:r>
    </w:p>
    <w:p>
      <w:pPr>
        <w:spacing w:after="0" w:line="170"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is based upon quoted prices in active markets for identical assets or liabilities.</w:t>
      </w:r>
    </w:p>
    <w:p>
      <w:pPr>
        <w:spacing w:after="0" w:line="211"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63"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is generated from model-based techniques that use at least one significant assumption not observable in the market. These unobservable assumptions reflect estimates of assumptions that market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spacing w:after="0" w:line="282" w:lineRule="auto"/>
        <w:rPr>
          <w:sz w:val="20"/>
          <w:szCs w:val="20"/>
          <w:color w:val="auto"/>
        </w:rPr>
      </w:pPr>
      <w:r>
        <w:rPr>
          <w:rFonts w:ascii="Times New Roman" w:cs="Times New Roman" w:eastAsia="Times New Roman" w:hAnsi="Times New Roman"/>
          <w:sz w:val="18"/>
          <w:szCs w:val="18"/>
          <w:color w:val="auto"/>
        </w:rPr>
        <w:t>participants would use in pricing the asset or liability. Valuation techniques include option pricing models, discounted cash flow models and similar techniques.</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tenants who accounted for more than 10% of total revenues during the six months ended June 30, 2022.</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Wells Fargo Bank, NA accounted for 15% of total revenues during the six months ended June 30, 2021.</w:t>
      </w:r>
    </w:p>
    <w:p>
      <w:pPr>
        <w:spacing w:after="0" w:line="20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21% and 20%, respectively, of the Company’s real estate portfolio, based on square footage, was located in the state of Texas.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3. PROPERTY PORTFOLIO</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June 30, 2022, the Company’s property portfolio consisted of 143 properties with total square footage of 3.3 million.</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Leasing revenue consists of long-term rental revenue from retail and office properties, which is recognized as earned, using the straight-line method over the life of each lease. Lease payments below include straight-line base rental revenue as well as the non-cash accretion of above and below market lease amortization. The variable lease payments are comprised of percentage rent payments and reimbursements from tenants for common area maintenance, insurance, real estate taxes, and other operating expenses.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leasing revenue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288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10"/>
        </w:trPr>
        <w:tc>
          <w:tcPr>
            <w:tcW w:w="2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2021</w:t>
            </w:r>
          </w:p>
        </w:tc>
      </w:tr>
      <w:tr>
        <w:trPr>
          <w:trHeight w:val="210"/>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Income</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6"/>
        </w:trPr>
        <w:tc>
          <w:tcPr>
            <w:tcW w:w="2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Payments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11,432</w:t>
            </w:r>
          </w:p>
        </w:tc>
      </w:tr>
      <w:tr>
        <w:trPr>
          <w:trHeight w:val="216"/>
        </w:trPr>
        <w:tc>
          <w:tcPr>
            <w:tcW w:w="2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Variable Lease Payments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1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22,079</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12,487</w:t>
            </w:r>
          </w:p>
        </w:tc>
      </w:tr>
      <w:tr>
        <w:trPr>
          <w:trHeight w:val="20"/>
        </w:trPr>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Minimum Future Rental Receipts. </w:t>
      </w:r>
      <w:r>
        <w:rPr>
          <w:rFonts w:ascii="Times New Roman" w:cs="Times New Roman" w:eastAsia="Times New Roman" w:hAnsi="Times New Roman"/>
          <w:sz w:val="18"/>
          <w:szCs w:val="18"/>
          <w:color w:val="auto"/>
        </w:rPr>
        <w:t>Minimum future rental receipts under non-cancelable operating leases, excluding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rent and other lease payments that are not fixed and determinable, having remaining terms in excess of one year subsequent to June 30, 2022, are summarized as follows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60" w:type="dxa"/>
            <w:vAlign w:val="bottom"/>
          </w:tcPr>
          <w:p>
            <w:pPr>
              <w:spacing w:after="0"/>
              <w:rPr>
                <w:sz w:val="20"/>
                <w:szCs w:val="20"/>
                <w:color w:val="auto"/>
              </w:rPr>
            </w:pPr>
          </w:p>
        </w:tc>
        <w:tc>
          <w:tcPr>
            <w:tcW w:w="188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0"/>
        </w:trPr>
        <w:tc>
          <w:tcPr>
            <w:tcW w:w="6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19,597</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38,681</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37,621</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36,069</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35,202</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31,916</w:t>
            </w:r>
          </w:p>
        </w:tc>
      </w:tr>
      <w:tr>
        <w:trPr>
          <w:trHeight w:val="216"/>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and Thereafter (Cumulative)</w:t>
            </w:r>
          </w:p>
        </w:tc>
        <w:tc>
          <w:tcPr>
            <w:tcW w:w="4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117,851</w:t>
            </w:r>
          </w:p>
        </w:tc>
      </w:tr>
      <w:tr>
        <w:trPr>
          <w:trHeight w:val="209"/>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316,937</w:t>
            </w:r>
          </w:p>
        </w:tc>
      </w:tr>
      <w:tr>
        <w:trPr>
          <w:trHeight w:val="20"/>
        </w:trPr>
        <w:tc>
          <w:tcPr>
            <w:tcW w:w="6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2022 Activity. </w:t>
      </w:r>
      <w:r>
        <w:rPr>
          <w:rFonts w:ascii="Times New Roman" w:cs="Times New Roman" w:eastAsia="Times New Roman" w:hAnsi="Times New Roman"/>
          <w:sz w:val="18"/>
          <w:szCs w:val="18"/>
          <w:color w:val="auto"/>
        </w:rPr>
        <w:t>During the six months ended June 30, 2022, the Company acquired 35 properties for a combined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price of $109.1 million, or a total cost of $110.0 million including capitalized acquisition costs. The properties are located in 17 states, leased to 12 different tenants, and had a weighted average remaining lease term of 9.4 years at the time of acquisition. Of the total acquisition cost, $31.1 million was allocated to land, $67.0 million was allocated to buildings and improvements, $13.1 million was allocated to intangible assets pertaining to the in-place lease value, leasing fees, and above market lease value, and $1.2 million was allocated to intangible liabilities for the below market lease value. The weighted average amortization period for the intangible assets and liabilities was 9.7 years at acquisition.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the Company sold five properties for an aggregate sales price of $72.8 million, generating aggregate gains on sale of $15.6 million. One property was classified as held for sale as of June 30, 2022.</w:t>
      </w:r>
    </w:p>
    <w:p>
      <w:pPr>
        <w:spacing w:after="0" w:line="93" w:lineRule="exact"/>
        <w:rPr>
          <w:sz w:val="20"/>
          <w:szCs w:val="20"/>
          <w:color w:val="auto"/>
        </w:rPr>
      </w:pPr>
    </w:p>
    <w:p>
      <w:pPr>
        <w:jc w:val="both"/>
        <w:ind w:left="60" w:right="59" w:firstLine="324"/>
        <w:spacing w:after="0" w:line="231" w:lineRule="auto"/>
        <w:rPr>
          <w:sz w:val="20"/>
          <w:szCs w:val="20"/>
          <w:color w:val="auto"/>
        </w:rPr>
      </w:pPr>
      <w:r>
        <w:rPr>
          <w:rFonts w:ascii="Times New Roman" w:cs="Times New Roman" w:eastAsia="Times New Roman" w:hAnsi="Times New Roman"/>
          <w:sz w:val="18"/>
          <w:szCs w:val="18"/>
          <w:i w:val="1"/>
          <w:iCs w:val="1"/>
          <w:color w:val="auto"/>
        </w:rPr>
        <w:t xml:space="preserve">2021 Activity. </w:t>
      </w:r>
      <w:r>
        <w:rPr>
          <w:rFonts w:ascii="Times New Roman" w:cs="Times New Roman" w:eastAsia="Times New Roman" w:hAnsi="Times New Roman"/>
          <w:sz w:val="18"/>
          <w:szCs w:val="18"/>
          <w:color w:val="auto"/>
        </w:rPr>
        <w:t>During the six months ended June 30, 2021, the Company acquired 23 properties for a combined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price of $103.2 million, or a total cost of $103.8 million including capitalized acquisition costs. Of the total acquisition cost, $34.1 million was allocated to land, $57.5 million was allocated to buildings and improvements, $13.9 million was allocated to intangible assets pertaining to the in-place lease value, leasing fees, and above market lease value, and $1.5 million was allocated to intangible liabilities for the below market lease value. The weighted average amortization period for the intangible assets and liabilities was 8.3 years at acquisition. No properties were sold during the six months ended June 30, 2021.</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4. FAIR VALUE OF FINANCIAL INSTRUMENTS</w:t>
      </w:r>
    </w:p>
    <w:p>
      <w:pPr>
        <w:spacing w:after="0" w:line="216"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The following table presents the carrying value and estimated fair value of the Company’s financial instruments not carried at fair value on the consolidated balance sheets at June 30, 2022 and December 31, 2021 (in thousands):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400" w:type="dxa"/>
            <w:vAlign w:val="bottom"/>
          </w:tcPr>
          <w:p>
            <w:pPr>
              <w:spacing w:after="0"/>
              <w:rPr>
                <w:sz w:val="20"/>
                <w:szCs w:val="20"/>
                <w:color w:val="auto"/>
              </w:rPr>
            </w:pPr>
          </w:p>
        </w:tc>
        <w:tc>
          <w:tcPr>
            <w:tcW w:w="252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187"/>
        </w:trPr>
        <w:tc>
          <w:tcPr>
            <w:tcW w:w="30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0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 Level 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w:t>
            </w: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Level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15,131</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15,131</w:t>
            </w:r>
          </w:p>
        </w:tc>
        <w:tc>
          <w:tcPr>
            <w:tcW w:w="200" w:type="dxa"/>
            <w:vAlign w:val="bottom"/>
          </w:tcPr>
          <w:p>
            <w:pPr>
              <w:spacing w:after="0"/>
              <w:rPr>
                <w:sz w:val="18"/>
                <w:szCs w:val="18"/>
                <w:color w:val="auto"/>
              </w:rPr>
            </w:pPr>
          </w:p>
        </w:tc>
        <w:tc>
          <w:tcPr>
            <w:tcW w:w="4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 Level 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300,973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296,198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267,740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272,637</w:t>
            </w:r>
          </w:p>
        </w:tc>
      </w:tr>
    </w:tbl>
    <w:p>
      <w:pPr>
        <w:spacing w:after="0" w:line="184" w:lineRule="exact"/>
        <w:rPr>
          <w:sz w:val="20"/>
          <w:szCs w:val="20"/>
          <w:color w:val="auto"/>
        </w:rPr>
      </w:pPr>
    </w:p>
    <w:p>
      <w:pPr>
        <w:jc w:val="both"/>
        <w:ind w:left="60" w:right="59" w:firstLine="324"/>
        <w:spacing w:after="0" w:line="236" w:lineRule="auto"/>
        <w:rPr>
          <w:sz w:val="20"/>
          <w:szCs w:val="20"/>
          <w:color w:val="auto"/>
        </w:rPr>
      </w:pPr>
      <w:r>
        <w:rPr>
          <w:rFonts w:ascii="Times New Roman" w:cs="Times New Roman" w:eastAsia="Times New Roman" w:hAnsi="Times New Roman"/>
          <w:sz w:val="18"/>
          <w:szCs w:val="18"/>
          <w:color w:val="auto"/>
        </w:rPr>
        <w:t>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pacing w:after="0" w:line="172" w:lineRule="exact"/>
        <w:rPr>
          <w:sz w:val="20"/>
          <w:szCs w:val="20"/>
          <w:color w:val="auto"/>
        </w:rPr>
      </w:pPr>
    </w:p>
    <w:p>
      <w:pPr>
        <w:jc w:val="both"/>
        <w:ind w:left="60" w:right="79" w:firstLine="324"/>
        <w:spacing w:after="0" w:line="242" w:lineRule="auto"/>
        <w:rPr>
          <w:sz w:val="20"/>
          <w:szCs w:val="20"/>
          <w:color w:val="auto"/>
        </w:rPr>
      </w:pPr>
      <w:r>
        <w:rPr>
          <w:rFonts w:ascii="Times New Roman" w:cs="Times New Roman" w:eastAsia="Times New Roman" w:hAnsi="Times New Roman"/>
          <w:sz w:val="18"/>
          <w:szCs w:val="18"/>
          <w:color w:val="auto"/>
        </w:rPr>
        <w:t>The following tables present the fair value of assets measured on a recurring basis by level as of June 30, 2022 and December 31, 2021 (in thousands). See Note 10, “Interest Rate Swaps” for further disclosure related to the Company’s interest rate swaps.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7"/>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Fair Value at Reporting Date Using</w:t>
            </w:r>
          </w:p>
        </w:tc>
      </w:tr>
      <w:tr>
        <w:trPr>
          <w:trHeight w:val="187"/>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Quoted Prices in</w:t>
            </w:r>
          </w:p>
        </w:tc>
        <w:tc>
          <w:tcPr>
            <w:tcW w:w="140" w:type="dxa"/>
            <w:vAlign w:val="bottom"/>
          </w:tcPr>
          <w:p>
            <w:pPr>
              <w:spacing w:after="0"/>
              <w:rPr>
                <w:sz w:val="16"/>
                <w:szCs w:val="16"/>
                <w:color w:val="auto"/>
              </w:rPr>
            </w:pPr>
          </w:p>
        </w:tc>
        <w:tc>
          <w:tcPr>
            <w:tcW w:w="134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Active Markets</w:t>
            </w:r>
          </w:p>
        </w:tc>
        <w:tc>
          <w:tcPr>
            <w:tcW w:w="1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38"/>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Assets (Level 1)</w:t>
            </w:r>
          </w:p>
        </w:tc>
        <w:tc>
          <w:tcPr>
            <w:tcW w:w="14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r>
      <w:tr>
        <w:trPr>
          <w:trHeight w:val="210"/>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6"/>
        </w:trPr>
        <w:tc>
          <w:tcPr>
            <w:tcW w:w="338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2026 Term Loan Interest Rate Swap </w:t>
            </w:r>
            <w:r>
              <w:rPr>
                <w:rFonts w:ascii="Times New Roman" w:cs="Times New Roman" w:eastAsia="Times New Roman" w:hAnsi="Times New Roman"/>
                <w:sz w:val="25"/>
                <w:szCs w:val="25"/>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2027 Term Loan Interest Rate Swap </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38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2026 Term Loan Interest Rate Swap </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355"/>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2027 Term Loan Interest Rate Swap </w:t>
            </w:r>
            <w:r>
              <w:rPr>
                <w:rFonts w:ascii="Times New Roman" w:cs="Times New Roman" w:eastAsia="Times New Roman" w:hAnsi="Times New Roman"/>
                <w:sz w:val="26"/>
                <w:szCs w:val="26"/>
                <w:color w:val="auto"/>
                <w:vertAlign w:val="superscript"/>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-27305</wp:posOffset>
            </wp:positionV>
            <wp:extent cx="141414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8" w:lineRule="exact"/>
        <w:rPr>
          <w:sz w:val="20"/>
          <w:szCs w:val="20"/>
          <w:color w:val="auto"/>
        </w:rPr>
      </w:pPr>
    </w:p>
    <w:p>
      <w:pPr>
        <w:ind w:left="380" w:right="239" w:hanging="330"/>
        <w:spacing w:after="0" w:line="227" w:lineRule="auto"/>
        <w:tabs>
          <w:tab w:leader="none" w:pos="38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Effective May 21, 2021, as amended on April 14, 2022 in connection with the 2026 Term Loan Amendment (hereinafter defined), the Company utilized interest rate swaps to fix SOFR and achieve a weighted average fixed interest rate of 0.80% plus the applicable spread on $60.0 million of the $100.0 million 2026 Term Loan (hereinafter defined) balance (prior to the 2026 Term Loan Amendment, the swap was to fix LIBOR at a weighted average fixed interest rate of 0.81%).</w:t>
      </w:r>
    </w:p>
    <w:p>
      <w:pPr>
        <w:jc w:val="both"/>
        <w:ind w:left="380" w:right="79" w:hanging="330"/>
        <w:spacing w:after="0" w:line="227" w:lineRule="auto"/>
        <w:tabs>
          <w:tab w:leader="none" w:pos="38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Effective September 30, 2021, as amended on April 14, 2022 in connection with the 2027 Term Loan Amendment (hereinafter defined), the Company utilized interest rate swaps, inclusive of its redesignation of the existing $50.0 million interest rate swap entered into as of April 30, 2020, to fix SOFR and achieve a weighted average fixed interest rate of 0.51% plus the applicable spread on $80.0 million of the $100.0 million 2027 Term Loan (hereinafter defined) balance (prior to the 2027 Term Loan Amendment, the swap was to fix LIBOR at a weighted average fixed interest rate of 0.53%). On September 30, 2021, the Company entered into an additional interest rate swap to extend the fixed interest rate through maturity on January 31, 2027.</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5. INTANGIBLE ASSETS AND LIABILITIES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Intangible assets and liabilities consist of the value of above-market and below-market leases, the value of in-place leases, and the value of leasing costs, based in each case on their fair values. Intangible assets and liabilities consisted of the following as of June 30, 2022 and December 31, 2021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40" w:type="dxa"/>
            <w:vAlign w:val="bottom"/>
          </w:tcPr>
          <w:p>
            <w:pPr>
              <w:spacing w:after="0"/>
              <w:rPr>
                <w:sz w:val="18"/>
                <w:szCs w:val="18"/>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 w:type="dxa"/>
            <w:vAlign w:val="bottom"/>
          </w:tcPr>
          <w:p>
            <w:pPr>
              <w:spacing w:after="0"/>
              <w:rPr>
                <w:sz w:val="18"/>
                <w:szCs w:val="18"/>
                <w:color w:val="auto"/>
              </w:rPr>
            </w:pPr>
          </w:p>
        </w:tc>
      </w:tr>
      <w:tr>
        <w:trPr>
          <w:trHeight w:val="210"/>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Lease Assets:</w:t>
            </w:r>
          </w:p>
        </w:tc>
        <w:tc>
          <w:tcPr>
            <w:tcW w:w="2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Value of In-Place Leases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45,301</w:t>
            </w:r>
          </w:p>
        </w:tc>
        <w:tc>
          <w:tcPr>
            <w:tcW w:w="20" w:type="dxa"/>
            <w:vAlign w:val="bottom"/>
          </w:tcPr>
          <w:p>
            <w:pPr>
              <w:spacing w:after="0"/>
              <w:rPr>
                <w:sz w:val="18"/>
                <w:szCs w:val="18"/>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of Above Market In-Place Leases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20" w:type="dxa"/>
            <w:vAlign w:val="bottom"/>
          </w:tcPr>
          <w:p>
            <w:pPr>
              <w:spacing w:after="0"/>
              <w:rPr>
                <w:sz w:val="18"/>
                <w:szCs w:val="18"/>
                <w:color w:val="auto"/>
              </w:rPr>
            </w:pPr>
          </w:p>
        </w:tc>
      </w:tr>
      <w:tr>
        <w:trPr>
          <w:trHeight w:val="216"/>
        </w:trPr>
        <w:tc>
          <w:tcPr>
            <w:tcW w:w="5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Value of Intangible Leasing Costs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19,066</w:t>
            </w:r>
          </w:p>
        </w:tc>
        <w:tc>
          <w:tcPr>
            <w:tcW w:w="20" w:type="dxa"/>
            <w:vAlign w:val="bottom"/>
          </w:tcPr>
          <w:p>
            <w:pPr>
              <w:spacing w:after="0"/>
              <w:rPr>
                <w:sz w:val="18"/>
                <w:szCs w:val="18"/>
                <w:color w:val="auto"/>
              </w:rPr>
            </w:pPr>
          </w:p>
        </w:tc>
      </w:tr>
      <w:tr>
        <w:trPr>
          <w:trHeight w:val="210"/>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 Intangible Lease Assets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67,990</w:t>
            </w:r>
          </w:p>
        </w:tc>
        <w:tc>
          <w:tcPr>
            <w:tcW w:w="2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(11,136)</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(9,169)</w:t>
            </w:r>
          </w:p>
        </w:tc>
        <w:tc>
          <w:tcPr>
            <w:tcW w:w="20" w:type="dxa"/>
            <w:vAlign w:val="bottom"/>
          </w:tcPr>
          <w:p>
            <w:pPr>
              <w:spacing w:after="0"/>
              <w:rPr>
                <w:sz w:val="18"/>
                <w:szCs w:val="18"/>
                <w:color w:val="auto"/>
              </w:rPr>
            </w:pPr>
          </w:p>
        </w:tc>
      </w:tr>
      <w:tr>
        <w:trPr>
          <w:trHeight w:val="209"/>
        </w:trPr>
        <w:tc>
          <w:tcPr>
            <w:tcW w:w="51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 Intangible Lease Assets—Net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58,821</w:t>
            </w:r>
          </w:p>
        </w:tc>
        <w:tc>
          <w:tcPr>
            <w:tcW w:w="20" w:type="dxa"/>
            <w:vAlign w:val="bottom"/>
          </w:tcPr>
          <w:p>
            <w:pPr>
              <w:spacing w:after="0"/>
              <w:rPr>
                <w:sz w:val="18"/>
                <w:szCs w:val="18"/>
                <w:color w:val="auto"/>
              </w:rPr>
            </w:pPr>
          </w:p>
        </w:tc>
      </w:tr>
      <w:tr>
        <w:trPr>
          <w:trHeight w:val="20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Lease Liabilities: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of Below Market In-Place Leases</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(6,063)</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w:t>
            </w:r>
          </w:p>
        </w:tc>
        <w:tc>
          <w:tcPr>
            <w:tcW w:w="20" w:type="dxa"/>
            <w:vAlign w:val="bottom"/>
          </w:tcPr>
          <w:p>
            <w:pPr>
              <w:spacing w:after="0"/>
              <w:rPr>
                <w:sz w:val="18"/>
                <w:szCs w:val="18"/>
                <w:color w:val="auto"/>
              </w:rPr>
            </w:pPr>
          </w:p>
        </w:tc>
      </w:tr>
      <w:tr>
        <w:trPr>
          <w:trHeight w:val="209"/>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 Intangible Lease Liabilities</w:t>
            </w:r>
          </w:p>
        </w:tc>
        <w:tc>
          <w:tcPr>
            <w:tcW w:w="2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(6,397)</w:t>
            </w:r>
          </w:p>
        </w:tc>
        <w:tc>
          <w:tcPr>
            <w:tcW w:w="20" w:type="dxa"/>
            <w:vAlign w:val="bottom"/>
          </w:tcPr>
          <w:p>
            <w:pPr>
              <w:spacing w:after="0"/>
              <w:rPr>
                <w:sz w:val="18"/>
                <w:szCs w:val="18"/>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0" w:type="dxa"/>
            <w:vAlign w:val="bottom"/>
          </w:tcPr>
          <w:p>
            <w:pPr>
              <w:spacing w:after="0"/>
              <w:rPr>
                <w:sz w:val="18"/>
                <w:szCs w:val="18"/>
                <w:color w:val="auto"/>
              </w:rPr>
            </w:pPr>
          </w:p>
        </w:tc>
      </w:tr>
      <w:tr>
        <w:trPr>
          <w:trHeight w:val="210"/>
        </w:trPr>
        <w:tc>
          <w:tcPr>
            <w:tcW w:w="5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Sub-total Intangible Lease Liabilities—Net</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20" w:type="dxa"/>
            <w:vAlign w:val="bottom"/>
          </w:tcPr>
          <w:p>
            <w:pPr>
              <w:spacing w:after="0"/>
              <w:rPr>
                <w:sz w:val="18"/>
                <w:szCs w:val="18"/>
                <w:color w:val="auto"/>
              </w:rPr>
            </w:pPr>
          </w:p>
        </w:tc>
      </w:tr>
      <w:tr>
        <w:trPr>
          <w:trHeight w:val="209"/>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and Liabilities—Net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53,345</w:t>
            </w:r>
          </w:p>
        </w:tc>
        <w:tc>
          <w:tcPr>
            <w:tcW w:w="2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net amortization of intangible assets and liabilities during the three and six months ended June 30, 2022 and 2021 (in thousands):</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June 30, 2021</w:t>
            </w:r>
          </w:p>
        </w:tc>
        <w:tc>
          <w:tcPr>
            <w:tcW w:w="120" w:type="dxa"/>
            <w:vAlign w:val="bottom"/>
          </w:tcPr>
          <w:p>
            <w:pPr>
              <w:spacing w:after="0"/>
              <w:rPr>
                <w:sz w:val="18"/>
                <w:szCs w:val="18"/>
                <w:color w:val="auto"/>
              </w:rPr>
            </w:pPr>
          </w:p>
        </w:tc>
        <w:tc>
          <w:tcPr>
            <w:tcW w:w="1320" w:type="dxa"/>
            <w:vAlign w:val="bottom"/>
            <w:tcBorders>
              <w:top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to Properties Revenue</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c>
          <w:tcPr>
            <w:tcW w:w="7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66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Net Amortization of Intangible Assets and</w:t>
            </w: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vMerge w:val="restart"/>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estimated future amortization expense (income) related to net intangible assets and liabilities is as follows (in thousands):</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Net Future</w:t>
            </w:r>
          </w:p>
        </w:tc>
      </w:tr>
      <w:tr>
        <w:trPr>
          <w:trHeight w:val="216"/>
        </w:trPr>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Amortization of</w:t>
            </w:r>
          </w:p>
        </w:tc>
      </w:tr>
      <w:tr>
        <w:trPr>
          <w:trHeight w:val="216"/>
        </w:trPr>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Future Amortization</w:t>
            </w:r>
          </w:p>
        </w:tc>
        <w:tc>
          <w:tcPr>
            <w:tcW w:w="12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Future Accretion to</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Intangible Assets and</w:t>
            </w:r>
          </w:p>
        </w:tc>
      </w:tr>
      <w:tr>
        <w:trPr>
          <w:trHeight w:val="23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20" w:type="dxa"/>
            <w:vAlign w:val="bottom"/>
          </w:tcPr>
          <w:p>
            <w:pPr>
              <w:spacing w:after="0"/>
              <w:rPr>
                <w:sz w:val="20"/>
                <w:szCs w:val="20"/>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20" w:type="dxa"/>
            <w:vAlign w:val="bottom"/>
          </w:tcPr>
          <w:p>
            <w:pPr>
              <w:spacing w:after="0"/>
              <w:rPr>
                <w:sz w:val="20"/>
                <w:szCs w:val="20"/>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Property Revenue</w:t>
            </w:r>
          </w:p>
        </w:tc>
        <w:tc>
          <w:tcPr>
            <w:tcW w:w="180" w:type="dxa"/>
            <w:vAlign w:val="bottom"/>
          </w:tcPr>
          <w:p>
            <w:pPr>
              <w:spacing w:after="0"/>
              <w:rPr>
                <w:sz w:val="20"/>
                <w:szCs w:val="20"/>
                <w:color w:val="auto"/>
              </w:rPr>
            </w:pPr>
          </w:p>
        </w:tc>
        <w:tc>
          <w:tcPr>
            <w:tcW w:w="16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r>
      <w:tr>
        <w:trPr>
          <w:trHeight w:val="209"/>
        </w:trPr>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8,128</w:t>
            </w: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(284)</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w:t>
            </w: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7,144</w:t>
            </w: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w:t>
            </w: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(196)</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w:t>
            </w:r>
          </w:p>
        </w:tc>
      </w:tr>
      <w:tr>
        <w:trPr>
          <w:trHeight w:val="21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w:t>
            </w:r>
          </w:p>
        </w:tc>
      </w:tr>
      <w:tr>
        <w:trPr>
          <w:trHeight w:val="21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57,855</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56,194</w:t>
            </w:r>
          </w:p>
        </w:tc>
      </w:tr>
      <w:tr>
        <w:trPr>
          <w:trHeight w:val="20"/>
        </w:trPr>
        <w:tc>
          <w:tcPr>
            <w:tcW w:w="3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June 30, 2022, the weighted average amortization period of both the total intangible assets and liabilities was 9.2 years.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NOTE 6. OTHER ASSETS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57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00" w:type="dxa"/>
            <w:vAlign w:val="bottom"/>
            <w:tcBorders>
              <w:bottom w:val="single" w:sz="8" w:color="auto"/>
            </w:tcBorders>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09"/>
        </w:trPr>
        <w:tc>
          <w:tcPr>
            <w:tcW w:w="5780" w:type="dxa"/>
            <w:vAlign w:val="bottom"/>
            <w:tcBorders>
              <w:top w:val="single" w:sz="8" w:color="CCEEFF"/>
            </w:tcBorders>
            <w:gridSpan w:val="4"/>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Tenant Receivables—Net of Allowance for Doubtful Accounts </w:t>
            </w:r>
            <w:r>
              <w:rPr>
                <w:rFonts w:ascii="Times New Roman" w:cs="Times New Roman" w:eastAsia="Times New Roman" w:hAnsi="Times New Roman"/>
                <w:sz w:val="24"/>
                <w:szCs w:val="24"/>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16"/>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Accrued Unbilled Tenant Receivables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16"/>
        </w:trPr>
        <w:tc>
          <w:tcPr>
            <w:tcW w:w="5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Deposits on Acquisitions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5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Deposits, and Other</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r>
      <w:tr>
        <w:trPr>
          <w:trHeight w:val="216"/>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Deferred Financing Costs—Net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16"/>
        </w:trPr>
        <w:tc>
          <w:tcPr>
            <w:tcW w:w="5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r>
      <w:tr>
        <w:trPr>
          <w:trHeight w:val="216"/>
        </w:trPr>
        <w:tc>
          <w:tcPr>
            <w:tcW w:w="5780" w:type="dxa"/>
            <w:vAlign w:val="bottom"/>
            <w:tcBorders>
              <w:bottom w:val="single" w:sz="8" w:color="CCEEFF"/>
            </w:tcBorders>
            <w:gridSpan w:val="4"/>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Operating Leases - Right-of-Use Asset </w:t>
            </w:r>
            <w:r>
              <w:rPr>
                <w:rFonts w:ascii="Times New Roman" w:cs="Times New Roman" w:eastAsia="Times New Roman" w:hAnsi="Times New Roman"/>
                <w:sz w:val="25"/>
                <w:szCs w:val="25"/>
                <w:color w:val="auto"/>
                <w:vertAlign w:val="superscript"/>
              </w:rPr>
              <w:t>(2)</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7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16,909</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900" w:type="dxa"/>
            <w:vAlign w:val="bottom"/>
          </w:tcPr>
          <w:p>
            <w:pPr>
              <w:spacing w:after="0"/>
              <w:rPr>
                <w:sz w:val="7"/>
                <w:szCs w:val="7"/>
                <w:color w:val="auto"/>
              </w:rPr>
            </w:pPr>
          </w:p>
        </w:tc>
      </w:tr>
    </w:tbl>
    <w:p>
      <w:pPr>
        <w:spacing w:after="0" w:line="58"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Includes $0.3 million allowance for doubtful accounts as of June 30, 2022 and December 31, 2021.</w:t>
      </w:r>
    </w:p>
    <w:p>
      <w:pPr>
        <w:spacing w:after="0" w:line="3" w:lineRule="exact"/>
        <w:rPr>
          <w:rFonts w:ascii="Times New Roman" w:cs="Times New Roman" w:eastAsia="Times New Roman" w:hAnsi="Times New Roman"/>
          <w:sz w:val="11"/>
          <w:szCs w:val="11"/>
          <w:color w:val="auto"/>
        </w:rPr>
      </w:pPr>
    </w:p>
    <w:p>
      <w:pPr>
        <w:ind w:left="380" w:hanging="330"/>
        <w:spacing w:after="0"/>
        <w:tabs>
          <w:tab w:leader="none" w:pos="38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See Note 7, “Operating Land Leases” for further disclosure related to the Company’s right-of-use asset balance as of June 30, 2022.</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7. OPERATING LAND LEASES</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is the lessee under operating land leases for certain of its properties.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requires a lessee to recognize right-of-use assets and lease liabilities that arise from leases, whether qualifying as an operating or finance lease. As of June 30, 2022, the Company’s right-of-use assets and corresponding lease liabilities totaled $1.8 million, which balances are reflected within other assets and accounts payable, accrued expenses, and other liabilities, respectively, on the consolidated balance sheets. The right-of-use assets and lease liabilities are measured based on the present value of the lease payments utilizing discount rates estimated to be equal to that which the Company would pay to borrow on a collateralized basis over a similar term, for an amount equal to the lease payments, in a similar economic environment.</w:t>
      </w:r>
    </w:p>
    <w:p>
      <w:pPr>
        <w:spacing w:after="0" w:line="187"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Company’s operating land leases do not include variable lease payments and generally provide renewal options, at the Company’s election, to extend the terms of the respective leases. Renewal option periods are included in the calculation of the right-of-use assets and corresponding lease liabilities when it is reasonably certain that the Company, as lessee, will exercise the option to extend the lease.</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Amortization of right-of-use assets for operating land leases is recognized on a straight-line basis over the term of the lease and is included within real estate expenses in the consolidated statements of operations. Amortization totaled less than $0.1 million during the three and six months ended June 30, 2022, with no such expense recognized during the three or six months ended June 30, 2021.</w:t>
      </w:r>
    </w:p>
    <w:p>
      <w:pPr>
        <w:spacing w:after="0" w:line="166" w:lineRule="exact"/>
        <w:rPr>
          <w:sz w:val="20"/>
          <w:szCs w:val="20"/>
          <w:color w:val="auto"/>
        </w:rPr>
      </w:pPr>
    </w:p>
    <w:p>
      <w:pPr>
        <w:jc w:val="both"/>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The following table reflects a summary of operating land leases, under which the Company is the lessee, for the three and six months ended June 30, 2022 and 2021 (in thousands):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60" w:type="dxa"/>
            <w:vAlign w:val="bottom"/>
          </w:tcPr>
          <w:p>
            <w:pPr>
              <w:spacing w:after="0"/>
              <w:rPr>
                <w:sz w:val="18"/>
                <w:szCs w:val="18"/>
                <w:color w:val="auto"/>
              </w:rPr>
            </w:pP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20" w:type="dxa"/>
            <w:vAlign w:val="bottom"/>
          </w:tcPr>
          <w:p>
            <w:pPr>
              <w:spacing w:after="0"/>
              <w:rPr>
                <w:sz w:val="18"/>
                <w:szCs w:val="18"/>
                <w:color w:val="auto"/>
              </w:rPr>
            </w:pPr>
          </w:p>
        </w:tc>
      </w:tr>
      <w:tr>
        <w:trPr>
          <w:trHeight w:val="210"/>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Outflows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8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864"/>
        </w:trPr>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3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Minimum future lease payments under non-cancelable operating land leases, having remaining terms in excess of one year subsequent to June 30, 2022, are summarized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10"/>
        </w:trPr>
        <w:tc>
          <w:tcPr>
            <w:tcW w:w="6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10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09"/>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r>
      <w:tr>
        <w:trPr>
          <w:trHeight w:val="216"/>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Imputed Interest</w:t>
            </w:r>
          </w:p>
        </w:tc>
        <w:tc>
          <w:tcPr>
            <w:tcW w:w="10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0"/>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 – Liability</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w:t>
            </w:r>
          </w:p>
        </w:tc>
      </w:tr>
      <w:tr>
        <w:trPr>
          <w:trHeight w:val="20"/>
        </w:trPr>
        <w:tc>
          <w:tcPr>
            <w:tcW w:w="6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8. ACCOUNTS PAYABLE, ACCRUED EXPENSES, AND OTHER LIABILITIES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40" w:type="dxa"/>
            <w:vAlign w:val="bottom"/>
            <w:tcBorders>
              <w:bottom w:val="single" w:sz="8" w:color="auto"/>
            </w:tcBorders>
          </w:tcPr>
          <w:p>
            <w:pPr>
              <w:spacing w:after="0"/>
              <w:rPr>
                <w:sz w:val="20"/>
                <w:szCs w:val="20"/>
                <w:color w:val="auto"/>
              </w:rPr>
            </w:pPr>
          </w:p>
        </w:tc>
      </w:tr>
      <w:tr>
        <w:trPr>
          <w:trHeight w:val="209"/>
        </w:trPr>
        <w:tc>
          <w:tcPr>
            <w:tcW w:w="22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40" w:type="dxa"/>
            <w:vAlign w:val="bottom"/>
          </w:tcPr>
          <w:p>
            <w:pPr>
              <w:spacing w:after="0"/>
              <w:rPr>
                <w:sz w:val="18"/>
                <w:szCs w:val="18"/>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0"/>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16"/>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Security Deposits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to CTO</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r>
      <w:tr>
        <w:trPr>
          <w:trHeight w:val="216"/>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5180" w:type="dxa"/>
            <w:vAlign w:val="bottom"/>
            <w:tcBorders>
              <w:bottom w:val="single" w:sz="8" w:color="CCEEFF"/>
            </w:tcBorders>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Operating Leases - Liability </w:t>
            </w:r>
            <w:r>
              <w:rPr>
                <w:rFonts w:ascii="Times New Roman" w:cs="Times New Roman" w:eastAsia="Times New Roman" w:hAnsi="Times New Roman"/>
                <w:sz w:val="25"/>
                <w:szCs w:val="25"/>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Payable, Accrued Expenses, and Other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r>
      <w:tr>
        <w:trPr>
          <w:trHeight w:val="20"/>
        </w:trPr>
        <w:tc>
          <w:tcPr>
            <w:tcW w:w="22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tcPr>
          <w:p>
            <w:pPr>
              <w:spacing w:after="0"/>
              <w:rPr>
                <w:sz w:val="7"/>
                <w:szCs w:val="7"/>
                <w:color w:val="auto"/>
              </w:rPr>
            </w:pPr>
          </w:p>
        </w:tc>
      </w:tr>
    </w:tbl>
    <w:p>
      <w:pPr>
        <w:spacing w:after="0" w:line="58" w:lineRule="exact"/>
        <w:rPr>
          <w:sz w:val="20"/>
          <w:szCs w:val="20"/>
          <w:color w:val="auto"/>
        </w:rPr>
      </w:pPr>
    </w:p>
    <w:p>
      <w:pPr>
        <w:ind w:left="380" w:hanging="330"/>
        <w:spacing w:after="0"/>
        <w:tabs>
          <w:tab w:leader="none" w:pos="38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See Note 7, “Operating Land Leases” for further disclosure related to the Company’s operating lease liability balance as of June 30, 2022.</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9. LONG-TERM DEBT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2022, the Company’s outstanding indebtedness, at face value, was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Face Value Debt</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Stated Interest Rate</w:t>
            </w: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0" w:type="dxa"/>
            <w:vAlign w:val="bottom"/>
          </w:tcPr>
          <w:p>
            <w:pPr>
              <w:spacing w:after="0"/>
              <w:rPr>
                <w:sz w:val="1"/>
                <w:szCs w:val="1"/>
                <w:color w:val="auto"/>
              </w:rPr>
            </w:pPr>
          </w:p>
        </w:tc>
      </w:tr>
      <w:tr>
        <w:trPr>
          <w:trHeight w:val="191"/>
        </w:trPr>
        <w:tc>
          <w:tcPr>
            <w:tcW w:w="22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30-Day LIBOR +</w:t>
            </w:r>
          </w:p>
        </w:tc>
        <w:tc>
          <w:tcPr>
            <w:tcW w:w="16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72,500</w:t>
            </w:r>
          </w:p>
        </w:tc>
        <w:tc>
          <w:tcPr>
            <w:tcW w:w="160" w:type="dxa"/>
            <w:vAlign w:val="bottom"/>
            <w:shd w:val="clear" w:color="auto" w:fill="CCEEFF"/>
          </w:tcPr>
          <w:p>
            <w:pPr>
              <w:spacing w:after="0"/>
              <w:rPr>
                <w:sz w:val="20"/>
                <w:szCs w:val="20"/>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[1.35% - 1.95%]</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2023</w:t>
            </w:r>
          </w:p>
        </w:tc>
        <w:tc>
          <w:tcPr>
            <w:tcW w:w="0" w:type="dxa"/>
            <w:vAlign w:val="bottom"/>
          </w:tcPr>
          <w:p>
            <w:pPr>
              <w:spacing w:after="0"/>
              <w:rPr>
                <w:sz w:val="1"/>
                <w:szCs w:val="1"/>
                <w:color w:val="auto"/>
              </w:rPr>
            </w:pPr>
          </w:p>
        </w:tc>
      </w:tr>
      <w:tr>
        <w:trPr>
          <w:trHeight w:val="198"/>
        </w:trPr>
        <w:tc>
          <w:tcPr>
            <w:tcW w:w="3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2026 Term Loan </w:t>
            </w:r>
            <w:r>
              <w:rPr>
                <w:rFonts w:ascii="Times New Roman" w:cs="Times New Roman" w:eastAsia="Times New Roman" w:hAnsi="Times New Roman"/>
                <w:sz w:val="26"/>
                <w:szCs w:val="26"/>
                <w:color w:val="auto"/>
                <w:vertAlign w:val="superscript"/>
              </w:rPr>
              <w:t>(1)</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30-Day SOFR + 0.10% +</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[1.35% - 1.95%]</w:t>
            </w: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May 2026</w:t>
            </w:r>
          </w:p>
        </w:tc>
        <w:tc>
          <w:tcPr>
            <w:tcW w:w="0" w:type="dxa"/>
            <w:vAlign w:val="bottom"/>
          </w:tcPr>
          <w:p>
            <w:pPr>
              <w:spacing w:after="0"/>
              <w:rPr>
                <w:sz w:val="1"/>
                <w:szCs w:val="1"/>
                <w:color w:val="auto"/>
              </w:rPr>
            </w:pPr>
          </w:p>
        </w:tc>
      </w:tr>
      <w:tr>
        <w:trPr>
          <w:trHeight w:val="198"/>
        </w:trPr>
        <w:tc>
          <w:tcPr>
            <w:tcW w:w="36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2027 Term Loan </w:t>
            </w:r>
            <w:r>
              <w:rPr>
                <w:rFonts w:ascii="Times New Roman" w:cs="Times New Roman" w:eastAsia="Times New Roman" w:hAnsi="Times New Roman"/>
                <w:sz w:val="26"/>
                <w:szCs w:val="26"/>
                <w:color w:val="auto"/>
                <w:vertAlign w:val="superscript"/>
              </w:rPr>
              <w:t>(2)</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30-Day SOFR + 0.10% +</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shd w:val="clear" w:color="auto" w:fill="CCEEFF"/>
          </w:tcPr>
          <w:p>
            <w:pPr>
              <w:spacing w:after="0"/>
              <w:rPr>
                <w:sz w:val="20"/>
                <w:szCs w:val="20"/>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 - 1.90%]</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2027</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Mortgage Note Payable – CMBS Portfolio</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6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4.33%</w:t>
            </w:r>
          </w:p>
        </w:tc>
        <w:tc>
          <w:tcPr>
            <w:tcW w:w="1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October 2034</w:t>
            </w:r>
          </w:p>
        </w:tc>
        <w:tc>
          <w:tcPr>
            <w:tcW w:w="0" w:type="dxa"/>
            <w:vAlign w:val="bottom"/>
          </w:tcPr>
          <w:p>
            <w:pPr>
              <w:spacing w:after="0"/>
              <w:rPr>
                <w:sz w:val="1"/>
                <w:szCs w:val="1"/>
                <w:color w:val="auto"/>
              </w:rPr>
            </w:pPr>
          </w:p>
        </w:tc>
      </w:tr>
      <w:tr>
        <w:trPr>
          <w:trHeight w:val="210"/>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Debt/Weighted-Average Rate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302,500</w:t>
            </w:r>
          </w:p>
        </w:tc>
        <w:tc>
          <w:tcPr>
            <w:tcW w:w="16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3.04%</w:t>
            </w: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1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380" w:right="79" w:hanging="330"/>
        <w:spacing w:after="0" w:line="227" w:lineRule="auto"/>
        <w:tabs>
          <w:tab w:leader="none" w:pos="3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Effective May 21, 2021, as amended on April 14, 2022 in connection with the 2026 Term Loan Amendment (hereinafter defined), the Company utilized interest rate swaps to fix SOFR and achieve a weighted average fixed interest rate of 0.80% plus the applicable spread on $60.0 million of the $100.0 million 2026 Term Loan (hereinafter defined) balance. See Note 10, “Interest Rate Swaps” for further disclosure related to the Company’s interest rate swaps.</w:t>
      </w:r>
    </w:p>
    <w:p>
      <w:pPr>
        <w:jc w:val="both"/>
        <w:ind w:left="380" w:right="79" w:hanging="330"/>
        <w:spacing w:after="0" w:line="228" w:lineRule="auto"/>
        <w:tabs>
          <w:tab w:leader="none" w:pos="3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Effective September 30, 2021, as amended on April 14, 2022 in connection with the 2027 Term Loan Amendment (hereinafter defined), the Company utilized interest rate swaps, inclusive of the existing $50.0 million interest rate swap entered into as of April 30, 2020, to fix SOFR and achieve a weighted average fixed interest rate of 0.51% plus the applicable spread on $80.0 million of the $100.0 million 2027 Term Loan (hereinafter defined) balance. On September 30, 2021, the Company entered into an additional interest rate swap to extend the fixed interest rate through maturity on January 31, 2027. See Note 10, “Interest Rate Swaps” for further disclosure related to the Company’s interest rate swaps.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Credit Facility. </w:t>
      </w:r>
      <w:r>
        <w:rPr>
          <w:rFonts w:ascii="Times New Roman" w:cs="Times New Roman" w:eastAsia="Times New Roman" w:hAnsi="Times New Roman"/>
          <w:sz w:val="18"/>
          <w:szCs w:val="18"/>
          <w:color w:val="auto"/>
        </w:rPr>
        <w:t>On November 26, 2019, the Company and the Operating Partnership entered into a credit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“Credit Facility Credit Agreement”) with a group of lenders for a senior unsecured revolving credit facility (the “Credit Facility”) in the maximum aggregate initial original principal amount of up to $100.0 million. The Credit Facility includes an accordion feature that may allow the Operating Partnership to increase the availability under the Credit Facility by an additional $50.0 million, subject to meeting specified requirements and obtaining additional commitments from lenders. BMO Capital Markets Corp. and Raymond James Bank, N.A. are joint lead arrangers and joint bookrunners, with Bank of Montreal (“BMO”) as administrative agent. The Credit Facility has a base term of four years, with the ability to extend the base term for one year.</w:t>
      </w:r>
    </w:p>
    <w:p>
      <w:pPr>
        <w:spacing w:after="0" w:line="17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On June 30, 2020, the Company and the Operating Partnership executed the first amendment to the Credit Facility Credit Agreement whereby the tangible net worth covenant was adjusted to be more reflective of market terms.</w:t>
      </w:r>
    </w:p>
    <w:p>
      <w:pPr>
        <w:spacing w:after="0" w:line="14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October 16, 2020, the Company and the Operating Partnership executed the second amendment to the Credit Facility (the “Second Amendment”), with the addition of two lenders, Huntington National Bank and Truist Bank. As a result of the Second Amendment, the Credit Facility has a total borrowing capacity of $150.0 million with the ability to increase that capacity up to $200.0 million during the term, utilizing an accordion feature, subject to lender approval.</w:t>
      </w:r>
    </w:p>
    <w:p>
      <w:pPr>
        <w:spacing w:after="0" w:line="16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May 19, 2021, the Company and the Operating Partnership executed the third amendment to the Credit Facility (the “Third Amendment”). Among other things, the Third Amendment revised the Credit Facility Credit Agreement to provide that as of the last day of each fiscal quarter, the Operating Partnership shall not permit the ratio of Unsecured Indebtedness to Borrowing Base Value (as defined in the Credit Facility Credit Agreement) to be greater than 0.60 to 1:00. Prior to the Third Amendment, the Credit Facility Credit Agreement provided that as of the last day of each fiscal quarter, the Operating Partnership could not permit the ratio of Total Indebtedness to Total Asset Value (as defined in the Credit Facility Credit Agreement) to be greater than 0.60 to 1:00.</w:t>
      </w:r>
    </w:p>
    <w:p>
      <w:pPr>
        <w:spacing w:after="0" w:line="17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Pursuant to the Credit Facility Credit Agreement, the indebtedness outstanding under the Credit Facility accrues at a rate ranging from the 30-day LIBOR plus 135 basis points to the 30-day LIBOR plus 195 basis points, based on the total balance outstanding under the Credit Facility as a percentage of the total asset value of the Operating Partnership, as defined in the Credit Facility Credit Agreement. The Credit Facility also accrues a fee of 15 to 25 basis points for any unused portion of the borrowing capacity based on whether the unused portion is greater or less than 50% of the total borrowing capacity.</w:t>
      </w:r>
    </w:p>
    <w:p>
      <w:pPr>
        <w:spacing w:after="0" w:line="174" w:lineRule="exact"/>
        <w:rPr>
          <w:sz w:val="20"/>
          <w:szCs w:val="20"/>
          <w:color w:val="auto"/>
        </w:rPr>
      </w:pPr>
    </w:p>
    <w:p>
      <w:pPr>
        <w:jc w:val="both"/>
        <w:ind w:left="60" w:right="59" w:firstLine="383"/>
        <w:spacing w:after="0" w:line="255" w:lineRule="auto"/>
        <w:rPr>
          <w:sz w:val="20"/>
          <w:szCs w:val="20"/>
          <w:color w:val="auto"/>
        </w:rPr>
      </w:pPr>
      <w:r>
        <w:rPr>
          <w:rFonts w:ascii="Times New Roman" w:cs="Times New Roman" w:eastAsia="Times New Roman" w:hAnsi="Times New Roman"/>
          <w:sz w:val="18"/>
          <w:szCs w:val="18"/>
          <w:color w:val="auto"/>
        </w:rPr>
        <w:t>The Operating Partnership is subject to customary restrictive covenants under the Credit Facility Credit Agreement, the 2026 Term Loan Credit Agreement (hereinafter defined), and the 2027 Term Loan Credit Agreement (hereinafter defined), collectively referred to herein as the “Credit Agreements”, including, but not limited to, limitations on the Operating Partnership’s ability to: (a) incur indebtedness; (b) make certain investments; (c) incur certain liens; (d) engage in certain affiliate transactions; and (e) engage in certain major transactions such as mergers. The Credit Agreements also contain financial covenants covering the Operating Partnership, including but not limited to, tangible net worth and fixed charge coverage ratios.</w:t>
      </w:r>
    </w:p>
    <w:p>
      <w:pPr>
        <w:spacing w:after="0" w:line="17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At June 30, 2022, the commitment level under the Credit Facility was $150.0 million and the Company had an outstanding balance of $72.5 million.</w:t>
      </w:r>
    </w:p>
    <w:p>
      <w:pPr>
        <w:spacing w:after="0" w:line="14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2026 Term Loan. </w:t>
      </w:r>
      <w:r>
        <w:rPr>
          <w:rFonts w:ascii="Times New Roman" w:cs="Times New Roman" w:eastAsia="Times New Roman" w:hAnsi="Times New Roman"/>
          <w:sz w:val="18"/>
          <w:szCs w:val="18"/>
          <w:color w:val="auto"/>
        </w:rPr>
        <w:t>On May 21, 2021, the Operating Partnership, the Company and certain subsidiaries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a credit agreement (the “2026 Term Loan Credit Agreement”) for a term loan (the “2026 Term Loan”) in an aggregate principal amount of $60.0 million with a maturity of five years. On April 14, 2022, the Company entered into the Amendment, Increase and Joinder to the 2026 Term Loan Credit Agreement (the “2026 Term Loan Amendment”), which increased the term loan commitment under the 2026 Term Loan by $40 million to an aggregate of $100 million. The 2026 Term Loan Amendment also effectuated the transition of the underlying variable interest rate from LIBOR to SOFR. Truist Securities, Inc. acted as sole lead arranger and sole book runner, with Truist Bank, N.A. as administrative agent. Truist Bank, N.A., Bank of Montreal, Raymond James Bank, N.A., Stifel Bank, The Huntington National Bank, KeyBank National Association, Regions Bank, U.S. Bank National Association, and Synovus Financial Corporation are lenders under the 2026 Term Loan. In addition, subsequent to the 2026 Term Loan Amendment, the Operating Partnership may request additional lender commitments of up to an additional $60.0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2027 Term Loan. </w:t>
      </w:r>
      <w:r>
        <w:rPr>
          <w:rFonts w:ascii="Times New Roman" w:cs="Times New Roman" w:eastAsia="Times New Roman" w:hAnsi="Times New Roman"/>
          <w:sz w:val="18"/>
          <w:szCs w:val="18"/>
          <w:color w:val="auto"/>
        </w:rPr>
        <w:t>On September 30, 2021, the Operating Partnership, the Company and certain subsidiaries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entered into a credit agreement (the “2027 Term Loan Credit Agreement”) for a term loan (the “2027 Term Loan”) in an aggregate principal amount of $80.0 million (the “Term Commitment”) maturing in January 2027. On April 14, 2022, the Company entered into the Amendment, Increase and Joinder to the 2027 Term Loan Credit Agreement (the “2027 Term Loan Amendment”), which increased the Term Commitment by $20 million to an aggregate of $100 million. The 2027 Term Loan Amendment also effectuated the transition of the underlying variable interest rate from LIBOR to SOFR. KeyBanc Capital Markets Inc., Regions Capital Markets, and U.S. Bank National Association acted as joint lead arrangers, with KeyBanc Capital Markets Inc. as sole book runner, and KeyBank National Association as administrative agent. KeyBank National Association, Regions Bank, U.S. Bank National Association, Bank of Montreal, Raymond James Bank, and The Huntington National Bank are lenders under the 2027 Term Loan. In addition, subsequent to the 2027 Term Loan Amendment, the Operating Partnership may request additional lender commitments of up to an additional $120.0 million.</w:t>
      </w:r>
    </w:p>
    <w:p>
      <w:pPr>
        <w:spacing w:after="0" w:line="19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Mortgage Notes Payable. </w:t>
      </w:r>
      <w:r>
        <w:rPr>
          <w:rFonts w:ascii="Times New Roman" w:cs="Times New Roman" w:eastAsia="Times New Roman" w:hAnsi="Times New Roman"/>
          <w:sz w:val="18"/>
          <w:szCs w:val="18"/>
          <w:color w:val="auto"/>
        </w:rPr>
        <w:t>On June 30, 2021, in connection with the acquisition of six net lease properties from CTO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“CMBS Portfolio”), the Company assumed an existing $30.0 million secured mortgage, which bears interest at a fixed rate of 4.33%. The mortgage note matures in October 2034 and is prepayable without penalty beginning in October 2024. Additionally, on June 30, 2021, in connection with the acquisition of two net lease properties from an unrelated third party, the Company assumed mortgage notes totaling an aggregate of $1.6 million, which balance was repaid on July 1, 2021.</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Long-term debt as of June 30, 2022 and December 31, 2021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Pr>
          <w:p>
            <w:pPr>
              <w:spacing w:after="0"/>
              <w:rPr>
                <w:sz w:val="20"/>
                <w:szCs w:val="20"/>
                <w:color w:val="auto"/>
              </w:rPr>
            </w:pPr>
          </w:p>
        </w:tc>
        <w:tc>
          <w:tcPr>
            <w:tcW w:w="20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187"/>
        </w:trPr>
        <w:tc>
          <w:tcPr>
            <w:tcW w:w="4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Due Within</w:t>
            </w: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Due Within</w:t>
            </w:r>
          </w:p>
        </w:tc>
      </w:tr>
      <w:tr>
        <w:trPr>
          <w:trHeight w:val="238"/>
        </w:trPr>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20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0"/>
                <w:szCs w:val="20"/>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One Year</w:t>
            </w:r>
          </w:p>
        </w:tc>
      </w:tr>
      <w:tr>
        <w:trPr>
          <w:trHeight w:val="210"/>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Term Loan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Term Loan</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Note Payable – CMBS Portfolio</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Costs, net of Accumulated Amortization</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(1,527)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(1,260)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300,973</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267,740</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Payments applicable to reduction of principal amounts as of June 30, 2022 will be required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20" w:type="dxa"/>
            <w:vAlign w:val="bottom"/>
          </w:tcPr>
          <w:p>
            <w:pPr>
              <w:spacing w:after="0"/>
              <w:rPr>
                <w:sz w:val="20"/>
                <w:szCs w:val="20"/>
                <w:color w:val="auto"/>
              </w:rPr>
            </w:pPr>
          </w:p>
        </w:tc>
        <w:tc>
          <w:tcPr>
            <w:tcW w:w="14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72,500</w:t>
            </w:r>
          </w:p>
        </w:tc>
      </w:t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10"/>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 - Face Value</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302,500</w:t>
            </w:r>
          </w:p>
        </w:tc>
      </w:tr>
      <w:tr>
        <w:trPr>
          <w:trHeight w:val="20"/>
        </w:trPr>
        <w:tc>
          <w:tcPr>
            <w:tcW w:w="6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carrying value of long-term debt as of June 30, 2022 consisted of the following (in thousands):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Face Amount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302,500</w:t>
            </w:r>
          </w:p>
        </w:tc>
      </w:tr>
      <w:tr>
        <w:trPr>
          <w:trHeight w:val="216"/>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Costs, net of Accumulated Amortization</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r>
      <w:tr>
        <w:trPr>
          <w:trHeight w:val="210"/>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300,973</w:t>
            </w:r>
          </w:p>
        </w:tc>
      </w:tr>
      <w:tr>
        <w:trPr>
          <w:trHeight w:val="20"/>
        </w:trPr>
        <w:tc>
          <w:tcPr>
            <w:tcW w:w="7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0" w:right="79" w:firstLine="324"/>
        <w:spacing w:after="0" w:line="242" w:lineRule="auto"/>
        <w:rPr>
          <w:sz w:val="20"/>
          <w:szCs w:val="20"/>
          <w:color w:val="auto"/>
        </w:rPr>
      </w:pPr>
      <w:r>
        <w:rPr>
          <w:rFonts w:ascii="Times New Roman" w:cs="Times New Roman" w:eastAsia="Times New Roman" w:hAnsi="Times New Roman"/>
          <w:sz w:val="18"/>
          <w:szCs w:val="18"/>
          <w:color w:val="auto"/>
        </w:rPr>
        <w:t>In addition to the $1.5 million of financing costs, net of accumulated amortization included in the table above, as of June 30, 2022, the Company also had financing costs, net of accumulated amortization related to the Credit Facility of $0.3 million which is included in other assets on the consolidated balance sheets. These costs are amortized on a straight-</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line basis over the term of the Credit Facility and are included in interest expense in the consolidated statements of operations.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reflects a summary of interest expense incurred and paid during the three and six months ended</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30, 2022 and 2021 (in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0"/>
                <w:szCs w:val="20"/>
                <w:color w:val="auto"/>
              </w:rPr>
            </w:pPr>
          </w:p>
        </w:tc>
        <w:tc>
          <w:tcPr>
            <w:tcW w:w="200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10"/>
        </w:trPr>
        <w:tc>
          <w:tcPr>
            <w:tcW w:w="4280" w:type="dxa"/>
            <w:vAlign w:val="bottom"/>
          </w:tcPr>
          <w:p>
            <w:pPr>
              <w:spacing w:after="0"/>
              <w:rPr>
                <w:sz w:val="18"/>
                <w:szCs w:val="18"/>
                <w:color w:val="auto"/>
              </w:rPr>
            </w:pPr>
          </w:p>
        </w:tc>
        <w:tc>
          <w:tcPr>
            <w:tcW w:w="11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140" w:type="dxa"/>
            <w:vAlign w:val="bottom"/>
          </w:tcPr>
          <w:p>
            <w:pPr>
              <w:spacing w:after="0"/>
              <w:rPr>
                <w:sz w:val="18"/>
                <w:szCs w:val="18"/>
                <w:color w:val="auto"/>
              </w:rPr>
            </w:pPr>
          </w:p>
        </w:tc>
        <w:tc>
          <w:tcPr>
            <w:tcW w:w="11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June 30, 2021</w:t>
            </w: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198"/>
        </w:trPr>
        <w:tc>
          <w:tcPr>
            <w:tcW w:w="42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Deferred Financing Costs to Interest</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4"/>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09"/>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0"/>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7"/>
        </w:trPr>
        <w:tc>
          <w:tcPr>
            <w:tcW w:w="4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Paid</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20"/>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was in compliance with all of its debt covenants as of June 30, 2022.</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10. INTEREST RATE SWAPS</w:t>
      </w:r>
    </w:p>
    <w:p>
      <w:pPr>
        <w:spacing w:after="0" w:line="256"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Company has entered into interest rate swap agreements to hedge against changes in future cash flows resulting from fluctuating interest rates related to the below noted borrowings. The interest rate agreements were 100% effective during the three and six months ended June 30, 2022. Accordingly, the changes in fair value on the interest rate swaps have been classified in accumulated other comprehensive income (loss). The fair value of the interest rate swap agreements are included in other assets and accrue and other liabilities, respectively, on the consolidated balance sheets. Information related to the Company’s interest rate swap agreements are noted below (in thousands):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0" w:type="dxa"/>
            <w:vAlign w:val="bottom"/>
          </w:tcPr>
          <w:p>
            <w:pPr>
              <w:spacing w:after="0"/>
              <w:rPr>
                <w:sz w:val="1"/>
                <w:szCs w:val="1"/>
                <w:color w:val="auto"/>
              </w:rPr>
            </w:pPr>
          </w:p>
        </w:tc>
      </w:tr>
      <w:tr>
        <w:trPr>
          <w:trHeight w:val="215"/>
        </w:trPr>
        <w:tc>
          <w:tcPr>
            <w:tcW w:w="1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Hedged Item</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Date</w:t>
            </w:r>
          </w:p>
        </w:tc>
        <w:tc>
          <w:tcPr>
            <w:tcW w:w="160" w:type="dxa"/>
            <w:vAlign w:val="bottom"/>
            <w:tcBorders>
              <w:bottom w:val="single" w:sz="8" w:color="CCEEFF"/>
            </w:tcBorders>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4"/>
                <w:szCs w:val="24"/>
                <w:color w:val="auto"/>
                <w:vertAlign w:val="superscript"/>
              </w:rPr>
              <w:t>(1)</w:t>
            </w:r>
          </w:p>
        </w:tc>
        <w:tc>
          <w:tcPr>
            <w:tcW w:w="4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0.80% + 0.10% +</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2026</w:t>
            </w:r>
          </w:p>
        </w:tc>
        <w:tc>
          <w:tcPr>
            <w:tcW w:w="1440" w:type="dxa"/>
            <w:vAlign w:val="bottom"/>
            <w:gridSpan w:val="2"/>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5/21/2021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5/21/2026</w:t>
            </w:r>
          </w:p>
        </w:tc>
        <w:tc>
          <w:tcPr>
            <w:tcW w:w="1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applicable spread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4"/>
                <w:szCs w:val="24"/>
                <w:color w:val="auto"/>
                <w:vertAlign w:val="superscript"/>
              </w:rPr>
              <w:t>(2)</w:t>
            </w: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0.51%+ 0.10% +</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2027</w:t>
            </w:r>
          </w:p>
        </w:tc>
        <w:tc>
          <w:tcPr>
            <w:tcW w:w="1440" w:type="dxa"/>
            <w:vAlign w:val="bottom"/>
            <w:gridSpan w:val="2"/>
            <w:vMerge w:val="continue"/>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9/30/2021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11/26/2024</w:t>
            </w:r>
          </w:p>
        </w:tc>
        <w:tc>
          <w:tcPr>
            <w:tcW w:w="160" w:type="dxa"/>
            <w:vAlign w:val="bottom"/>
          </w:tcPr>
          <w:p>
            <w:pPr>
              <w:spacing w:after="0"/>
              <w:rPr>
                <w:sz w:val="18"/>
                <w:szCs w:val="18"/>
                <w:color w:val="auto"/>
              </w:rPr>
            </w:pPr>
          </w:p>
        </w:tc>
        <w:tc>
          <w:tcPr>
            <w:tcW w:w="24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applicable spread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4,691</w:t>
            </w:r>
          </w:p>
        </w:tc>
        <w:tc>
          <w:tcPr>
            <w:tcW w:w="0" w:type="dxa"/>
            <w:vAlign w:val="bottom"/>
          </w:tcPr>
          <w:p>
            <w:pPr>
              <w:spacing w:after="0"/>
              <w:rPr>
                <w:sz w:val="1"/>
                <w:szCs w:val="1"/>
                <w:color w:val="auto"/>
              </w:rPr>
            </w:pPr>
          </w:p>
        </w:tc>
      </w:tr>
      <w:tr>
        <w:trPr>
          <w:trHeight w:val="189"/>
        </w:trPr>
        <w:tc>
          <w:tcPr>
            <w:tcW w:w="360" w:type="dxa"/>
            <w:vAlign w:val="bottom"/>
            <w:shd w:val="clear" w:color="auto" w:fill="CCEEFF"/>
          </w:tcPr>
          <w:p>
            <w:pPr>
              <w:spacing w:after="0"/>
              <w:rPr>
                <w:sz w:val="16"/>
                <w:szCs w:val="16"/>
                <w:color w:val="auto"/>
              </w:rPr>
            </w:pPr>
          </w:p>
        </w:tc>
        <w:tc>
          <w:tcPr>
            <w:tcW w:w="1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4"/>
                <w:szCs w:val="24"/>
                <w:color w:val="auto"/>
                <w:vertAlign w:val="superscript"/>
              </w:rPr>
              <w:t>(3)</w:t>
            </w:r>
          </w:p>
        </w:tc>
        <w:tc>
          <w:tcPr>
            <w:tcW w:w="4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1.60%+ 0.10% +</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2027</w:t>
            </w:r>
          </w:p>
        </w:tc>
        <w:tc>
          <w:tcPr>
            <w:tcW w:w="1440" w:type="dxa"/>
            <w:vAlign w:val="bottom"/>
            <w:gridSpan w:val="2"/>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11/26/2024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1/31/2027</w:t>
            </w:r>
          </w:p>
        </w:tc>
        <w:tc>
          <w:tcPr>
            <w:tcW w:w="1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applicable spread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0" w:type="dxa"/>
            <w:vAlign w:val="bottom"/>
          </w:tcPr>
          <w:p>
            <w:pPr>
              <w:spacing w:after="0"/>
              <w:rPr>
                <w:sz w:val="1"/>
                <w:szCs w:val="1"/>
                <w:color w:val="auto"/>
              </w:rPr>
            </w:pPr>
          </w:p>
        </w:tc>
      </w:tr>
      <w:tr>
        <w:trPr>
          <w:trHeight w:val="115"/>
        </w:trPr>
        <w:tc>
          <w:tcPr>
            <w:tcW w:w="3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319" w:hanging="330"/>
        <w:spacing w:after="0" w:line="229" w:lineRule="auto"/>
        <w:tabs>
          <w:tab w:leader="none" w:pos="38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Effective May 21, 2021, as amended on April 14, 2022 in connection with the 2026 Term Loan Amendment, the Company utilized interest rate swaps to fix SOFR and achieve a weighted average fixed interest rate of 0.80% plus the applicable spread on $60.0 million of the $100.0 million 2026 Term Loan balance. Prior to April 14, 2022, the swap was to fix LIBOR at a weighted average fixed interest rate of 0.81%)</w:t>
      </w:r>
    </w:p>
    <w:p>
      <w:pPr>
        <w:jc w:val="both"/>
        <w:ind w:left="380" w:right="79" w:hanging="330"/>
        <w:spacing w:after="0" w:line="221" w:lineRule="auto"/>
        <w:tabs>
          <w:tab w:leader="none" w:pos="38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Effective September 30, 2021, as amended on April 14, 2022 in connection with the 2027 Term Loan Amendment, the Company utilized interest rate swaps, inclusive of its redesignation of the existing $50.0 million interest rate swap entered into as of April 30, 2020, to fix SOFR and achieve a weighted average fixed interest rate of 0.51% plus the applicable spread on $80.0 million of the $100.0 million 2027 Term Loan balance. Prior to April 14, 2022, the swap was to fix LIBOR at a weighted average fixed interest rate of 0.53%.</w:t>
      </w:r>
    </w:p>
    <w:p>
      <w:pPr>
        <w:spacing w:after="0" w:line="1" w:lineRule="exact"/>
        <w:rPr>
          <w:rFonts w:ascii="Times New Roman" w:cs="Times New Roman" w:eastAsia="Times New Roman" w:hAnsi="Times New Roman"/>
          <w:sz w:val="11"/>
          <w:szCs w:val="11"/>
          <w:color w:val="auto"/>
        </w:rPr>
      </w:pPr>
    </w:p>
    <w:p>
      <w:pPr>
        <w:ind w:left="380" w:right="79" w:hanging="330"/>
        <w:spacing w:after="0" w:line="239" w:lineRule="auto"/>
        <w:tabs>
          <w:tab w:leader="none" w:pos="38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interest rate swap agreement hedges $80.0 million of the $100.0 million 2027 Term Loan balance under different terms and commences concurrent to the interest rate agreements maturing on November 26, 2024.</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11. EQUITY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SHELF REGISTRATION</w:t>
      </w:r>
    </w:p>
    <w:p>
      <w:pPr>
        <w:spacing w:after="0" w:line="20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December 1, 2020, the Company filed a shelf registration statement on Form S-3, relating to the registration and potential issuance of its common stock, preferred stock, warrants, rights, and units with a maximum aggregate offering price of up to $350.0 million. The Securities and Exchange Commission declared the Form S-3 effective on December 11, 2020.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ATM PROGRAM</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December 14, 2020, the Company implemented a $100.0 million “at-the-market” equity offering program (the “2020 ATM Program”) pursuant to which the Company may sell, from time to time, shares of the Company’s common stock. During the three months ended June 30, 2022, the Company sold 87,112 shares under the 2020 ATM Program for gross proceeds of $1.7 million at a weighted average price of $19.09 per share, generating net proceeds of $1.6 million after deducting transaction fees totaling $0.02 million. During the six months ended June 30, 2022, the Company sold 401,783 shares under the 2020 ATM Program for gross proceeds of $7.8 million at a weighted average price of $19.53 per share, generating net proceeds of $7.7 million after deducting transaction fees totaling $0.1 million. During the three months ended June 30, 2021, the Company sold 176,028 shares under the 2020 ATM Program for gross proceeds of $3.2 million at a weighted average price of $18.06 per share, generating net proceeds of $3.1 million after deducting transaction fees totaling $0.05 million. During the six months ended June 30, 2021, the Company sold 610,229 shares under the 2020 ATM Program for gross proceeds of $11.1 million at a weighted average price of $18.19 per share, generating net proceeds of $10.9 million after deducting transaction fees totaling $0.2 million.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FOLLOW-ON PUBLIC OFFERING</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June 2021, the Company completed a follow-on public offering of 3,220,000 shares of common stock, which included the full exercise of the underwriters’ option to purchase an additional 420,000 shares of common stock. Upon closing, the Company issued 3,220,000 shares and received net proceeds of $54.3 million, after deducting the underwriting discount and expenses.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NONCONTROLLING INTEREST</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As of June 30, 2022, CTO holds, directly and indirectly, a 9.1% noncontrolling ownership interest in the Operating Partnership as a result of 1,223,854 OP Units issued to CTO at the time of the Company’s Formation Transactions, as further described in Note 1, “Business and Organization.” An additional 3.5% noncontrolling ownership interest is held by an unrelated third party in connection with the issuance of 479,640 OP Units valued at $9.0 million in the aggregate, or $18.85 per unit. The issuance of 479,640 OP Units includes (i) 424,951 OP Units issued as consideration for the portfolio of nine net lease properties acquired on June 30, 2021 and (ii) 54,689 OP Units issued as consideration for the acquisition of one net lease property on July 12, 2021.</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has elected to be taxed as a REIT for U.S. federal income tax purposes under the Code. To qualify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corporate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three months ended June 30, 2022 and 2021, the Company declared and paid cash dividends on its common stock and OP Units of $0.27 per share and $0.25 per share, respectively. During the six months ended June 30, 2022 and 2021, the Company declared and paid cash dividends on its common stock and OP Units of $0.54 per share and $0.49 per share, respectively.</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12. COMMON STOCK AND EARNINGS PER SHARE</w:t>
      </w:r>
    </w:p>
    <w:p>
      <w:pPr>
        <w:spacing w:after="0" w:line="21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Basic earnings per common share are computed by dividing net income attributable to the Company for the period by the weighted average number of shares of common stock outstanding for the period. Diluted earnings per common share are determined based on the assumption of the conversion of OP Units on a one-for-one basis using the treasury stock method at average market prices for the periods.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basic and diluted earnings per common share (in thousands, except share and per share data):</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20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38"/>
        </w:trPr>
        <w:tc>
          <w:tcPr>
            <w:tcW w:w="43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78"/>
        </w:trPr>
        <w:tc>
          <w:tcPr>
            <w:tcW w:w="43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Net Income Attributable to Alpine Income Property</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14,282</w:t>
            </w:r>
          </w:p>
        </w:tc>
        <w:tc>
          <w:tcPr>
            <w:tcW w:w="2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15,088</w:t>
            </w:r>
          </w:p>
        </w:tc>
        <w:tc>
          <w:tcPr>
            <w:tcW w:w="2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21"/>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Inc.</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11,844,108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8,853,259</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11,753,904</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8,212,902</w:t>
            </w:r>
          </w:p>
        </w:tc>
        <w:tc>
          <w:tcPr>
            <w:tcW w:w="0" w:type="dxa"/>
            <w:vAlign w:val="bottom"/>
          </w:tcPr>
          <w:p>
            <w:pPr>
              <w:spacing w:after="0"/>
              <w:rPr>
                <w:sz w:val="1"/>
                <w:szCs w:val="1"/>
                <w:color w:val="auto"/>
              </w:rPr>
            </w:pPr>
          </w:p>
        </w:tc>
      </w:tr>
      <w:tr>
        <w:trPr>
          <w:trHeight w:val="190"/>
        </w:trPr>
        <w:tc>
          <w:tcPr>
            <w:tcW w:w="4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360" w:type="dxa"/>
            <w:vAlign w:val="bottom"/>
            <w:tcBorders>
              <w:bottom w:val="single" w:sz="8" w:color="CCEEFF"/>
            </w:tcBorders>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Applicable to OP Units using Treasury Stock Method </w:t>
            </w:r>
            <w:r>
              <w:rPr>
                <w:rFonts w:ascii="Times New Roman" w:cs="Times New Roman" w:eastAsia="Times New Roman" w:hAnsi="Times New Roman"/>
                <w:sz w:val="26"/>
                <w:szCs w:val="26"/>
                <w:color w:val="auto"/>
                <w:vertAlign w:val="superscript"/>
              </w:rPr>
              <w:t>(1)</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1,703,494</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1,228,524</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1,703,494</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1,226,202</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Applicable to Diluted Earnings per Share</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13,547,602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10,081,783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13,457,398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9,439,104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Common Share Data:</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Attributable to Alpine Income Property</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Inc.</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34"/>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41" w:lineRule="exact"/>
        <w:rPr>
          <w:sz w:val="20"/>
          <w:szCs w:val="20"/>
          <w:color w:val="auto"/>
        </w:rPr>
      </w:pPr>
    </w:p>
    <w:p>
      <w:pPr>
        <w:jc w:val="both"/>
        <w:ind w:left="380" w:right="79" w:hanging="330"/>
        <w:spacing w:after="0" w:line="241" w:lineRule="auto"/>
        <w:tabs>
          <w:tab w:leader="none" w:pos="38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Represents shares underlying OP units including (i) 1,223,854 shares underlying OP Units issued to CTO in connection with our Formation Transactions and (ii) 479,640 shares underlying OP Units issued to an unrelated third party in connection with the acquisition of ten net lease properties during the year ended December 31, 2021 (see Note 11, “Equity”).</w:t>
      </w:r>
    </w:p>
    <w:p>
      <w:pPr>
        <w:spacing w:after="0" w:line="1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13. SHARE REPURCHASES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March 2020, the Board approved a $5.0 million stock repurchase program (the “$5.0 Million Repurchase Program”). During the first half of 2020, the Company repurchased 456,237 shares of its common stock on the open market for a total cost of $5.0 million, or an average price per share of $11.02, which completed the $5.0 Million Repurchase Program. There were no repurchases of the Company’s common stock during the six months ended June 30, 2022, or 2021.</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14. STOCK-BASED COMPENSATION</w:t>
      </w:r>
    </w:p>
    <w:p>
      <w:pPr>
        <w:spacing w:after="0" w:line="229" w:lineRule="exact"/>
        <w:rPr>
          <w:sz w:val="20"/>
          <w:szCs w:val="20"/>
          <w:color w:val="auto"/>
        </w:rPr>
      </w:pPr>
    </w:p>
    <w:p>
      <w:pPr>
        <w:jc w:val="both"/>
        <w:ind w:left="60" w:right="59" w:firstLine="486"/>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IPO, the Company adopted the Individual Equity Incentive Plan (the “Individual Plan”) and the Manager Equity Incentive Plan (the “Manager Plan”), which are collectively referred to herein as the Equity Incentive Plans. The purpose of the Equity Incentive Plans is to provide equity incentive opportunities to members of the Manager’s management team and employees who perform services for the Company, the Company’s independent directors, advisers, consultants and other personnel, either individually or via grants of incentive equity to the Manager.</w:t>
      </w:r>
    </w:p>
    <w:p>
      <w:pPr>
        <w:spacing w:after="0" w:line="187"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color w:val="auto"/>
        </w:rPr>
        <w:t>On November 26, 2019, the Company granted restricted shares of common stock to each of the inaugural non-employee directors under the Individual Plan. Each of the inaugural non-employee directors received an award of 2,000 restricted shares of common stock on November 26, 2019. The restricted shares will vest in substantially equal installments on each of the first, second and third anniversaries of the grant date. As of December 31, 2021, the first and second increments of this award had vested, leaving 2,668 shares unvested. In addition, the restricted shares are subject to a holding period beginning on the grant date and ending on the date that the grantee ceases to serve as a member of the Board (the “Holding Period”). During the Holding Period, the restricted shares may not be sold, pledged or otherwise transferred by the grantee. Except for the one-time IPO-related grant of these 8,000 restricted shares of common stock, and the quarterly common stock grants to the non-employee directors in lieu of cash retainer fees (pursuant to the directors’ annual election under the Company’s Non-Employee Director Compensation Policy), the Company has not made any grants under the Equity Incentive Plans. Any future grants under the Equity Incentive Plans will be approved by the compensation committee of the Board. The 2019 non-employee director share awards had an aggregate grant date fair value of $0.2 million. The Company’s determination of the grant date fair value of the three-year vest restricted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awards was calculated by multiplying the number of shares issued by the Company’s stock price at the grant date. Compensation cost is recognized on a straight-line basis over the vesting period and is included in general and administrative expenses in the Company’s consolidated statements of operations. Award forfeitures are accounted for in the period in which they occur.</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 summary of activity for these awards during the six months ended June 30, 2022 is presented below:</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Restricted Shares</w:t>
            </w:r>
          </w:p>
        </w:tc>
        <w:tc>
          <w:tcPr>
            <w:tcW w:w="19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7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Wtd. Avg. Fair Value</w:t>
            </w:r>
          </w:p>
        </w:tc>
      </w:tr>
      <w:tr>
        <w:trPr>
          <w:trHeight w:val="209"/>
        </w:trPr>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2022</w:t>
            </w:r>
          </w:p>
        </w:tc>
        <w:tc>
          <w:tcPr>
            <w:tcW w:w="3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r>
      <w:tr>
        <w:trPr>
          <w:trHeight w:val="21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at June 30, 2022</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w:t>
            </w:r>
          </w:p>
        </w:tc>
      </w:tr>
      <w:tr>
        <w:trPr>
          <w:trHeight w:val="20"/>
        </w:trPr>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June 30, 2022, there was $0.02 million of unrecognized compensation cost related to the three-year vest restricted shares, which will be recognized over a remaining period of 0.4 years.</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Each member of the Board has the option to receive his or her annual retainer in shares of Company common stock rather than cash. The number of shares awarded to the directors making such election is calculated quarterly by dividing the amount of the quarterly retainer payment due to such director by the trailing 20-day average price of the Company’s common stock as of the last business day of the calendar quarter, rounded down to the nearest whole number of shares. During the six months ended June 30, 2022, the expense recognized for the value of the Company’s common stock received by non-employee directors totaled $0.1 million, or 7,203 shares, of which 3,514 shares were issued on April 1, 2022 and 3,689 shares were issued on July 1, 2022. During the six months ended June 30, 2021, the expense recognized for the value of the Company’s common stock received by non-employee directors totaled $0.1 million, or 6,978 shares, of which 3,453 were issued on April 1, 2021 and 3,525 shares were issued on July 1, 2021.</w:t>
      </w:r>
    </w:p>
    <w:p>
      <w:pPr>
        <w:spacing w:after="0" w:line="18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Stock compensation expense for the three and six months ended June 30, 2022 and 2021 is summarized as follows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25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10"/>
        </w:trPr>
        <w:tc>
          <w:tcPr>
            <w:tcW w:w="3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r>
      <w:tr>
        <w:trPr>
          <w:trHeight w:val="178"/>
        </w:trPr>
        <w:tc>
          <w:tcPr>
            <w:tcW w:w="340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Stock Compensation Expense – Director</w:t>
            </w:r>
          </w:p>
        </w:tc>
        <w:tc>
          <w:tcPr>
            <w:tcW w:w="1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r>
      <w:tr>
        <w:trPr>
          <w:trHeight w:val="234"/>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198"/>
        </w:trPr>
        <w:tc>
          <w:tcPr>
            <w:tcW w:w="34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Stock Compensation Expense – Director</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4"/>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Retainers Paid in Stock</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0"/>
        </w:trPr>
        <w:tc>
          <w:tcPr>
            <w:tcW w:w="3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15. RELATED PARTY MANAGEMENT COMPANY</w:t>
      </w:r>
    </w:p>
    <w:p>
      <w:pPr>
        <w:spacing w:after="0" w:line="20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are externally managed by the Manager, a wholly owned subsidiary of CTO. Subsequent to the IPO, CTO purchased an aggregate 107,866 shares of PINE common stock in the open market including (i) 99,778 shares purchased during the six months ended June 30, 2022 for $1.8 million, or an average price per share of $17.99 and (ii) 8,088 shares purchased during the year ended December 31, 2021 for $0.1 million, or an average price per share of $17.65. As of June 30, 2022, CTO owns, in the aggregate, 1,223,854 OP Units and 923,656 shares of PINE common stock, inclusive of (i) 394,737 shares of common stock totaling $7.5 million issued in connection with the CTO Private Placement, (ii) 421,053 shares of common stock totaling $8.0 million issued in connection with the IPO, and (iii) 107,866 shares of common stock totaling $1.9 million purchased by CTO subsequent to the IPO. The aggregate 1,223,854 OP Units and 923,656 shares of PINE common stock held by CTO represent an investment totaling $38.5 million, or 15.8% of PINE’s outstanding equity, as of June 30,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Management Agreement</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November 26, 2019, the Operating Partnership and PINE entered into a management agreement with the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We pay our Manager a base management fee equal to 0.375% per quarter of our “total equity” (as defined in the Management Agreement and based on a 1.5% annual rate), calculated and payable in cash, quarterly in arrears.</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Manager has the ability to earn an annual incentive fee based on our total stockholder return exceeding an 8% cumulative annual hurdle rate (the “Outperformance Amount”) subject to a high-water mark price. We would pay our Manager an incentive fee with respect to each annual measurement period in the amount of the greater of (i) $0.00 and (ii) the product of (a) 15% multiplied by (b) the Outperformance Amount multiplied by (c) the weighted average shares. No incentive fee was due for the year ended December 31, 2021.</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initial term of the Management Agreement will expire on November 26, 2024 and will automatically renew for an unlimited number of successive one-year periods thereafter, unless the agreement is not renewed or is terminated in accordance with its terms.</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independent directors review our Manager’s performance and the management fees annually and, following the initial term, the Management Agreement may be terminated annually upon the affirmative vote of two-thirds of our independent directors or upon a determination by the holders of a majority of the outstanding shares of our common stock, based upon (i) unsatisfactory performance by the Manager that is materially detrimental to us or (ii) a determination that the management fees payable to our Manager are not fair, subject to our Manager’s right to prevent such termination due to unfair fees by accepting a reduction of management fees agreed to by two-thirds of our independent directors. We may also terminate the Management Agreement for cause at any time, including during the initial term, without the payment of any termination fee, with 30 days’ prior written notice from the Board. During the initial term of the Management Agreement, we may not terminate the Management Agreement except for cause.</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pay directly or reimburse our Manager for certain expenses, if incurred by our Manager. We do not reimburse any compensation expenses incurred by our Manager or its affiliates. Expense reimbursements to our Manager are made in cash on a quarterly basis following the end of each quarter. In addition, we pay all of our operating expenses, except those specifically required to be borne by our Manager pursuant to the Management Agreement.</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incurred management fee expenses totaling $0.9 million and $1.9 million during the three and six months ended June 30, 2022, respectively. The Company also paid dividends on the common stock and OP Units owned by affiliates of the Manager in the amount of $0.6 million and $1.1 million for the three and six months ended June 30, 2022, respectively. The Company incurred management fee expenses totaling $0.7 million and $1.4 million during the three and six months ended June 30, 2021, respectively. The Company also paid dividends on the common stock and OP Units owned by affiliates of the Manager in the amount of $0.5 million and $1.0 million for the three and six months ended June 30, 2021, respectively.</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represents amounts due to (from) CTO (in thousands):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6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Pr>
          <w:p>
            <w:pPr>
              <w:spacing w:after="0"/>
              <w:rPr>
                <w:sz w:val="18"/>
                <w:szCs w:val="18"/>
                <w:color w:val="auto"/>
              </w:rPr>
            </w:pP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10"/>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 due to CTO</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16"/>
        </w:trPr>
        <w:tc>
          <w:tcPr>
            <w:tcW w:w="4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gridSpan w:val="3"/>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Total </w:t>
            </w:r>
            <w:r>
              <w:rPr>
                <w:rFonts w:ascii="Times New Roman" w:cs="Times New Roman" w:eastAsia="Times New Roman" w:hAnsi="Times New Roman"/>
                <w:sz w:val="24"/>
                <w:szCs w:val="24"/>
                <w:color w:val="auto"/>
                <w:vertAlign w:val="superscript"/>
              </w:rPr>
              <w:t>(1)</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2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80" w:hanging="330"/>
        <w:spacing w:after="0"/>
        <w:tabs>
          <w:tab w:leader="none" w:pos="38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Included in accrued expenses, see Note 8, “Accounts Payable, Accrued Expenses, and Other Liabilities”.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ROFO Agreement</w:t>
      </w:r>
    </w:p>
    <w:p>
      <w:pPr>
        <w:spacing w:after="0" w:line="21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November 26, 2019, PINE also entered into an Exclusivity and Right of First Offer Agreement with CTO (the “ROFO Agreement”). During the term of the ROFO Agreement, CTO will not, and will cause each of its affiliates (which for purposes of the ROFO Agreement will not include our company and our subsidiaries) not to, acquire, directly or indirectly, a single-tenant, net leased property, unless CTO has notified us of the opportunity and we have affirmatively rejected the opportunity to acquire the applicable property or properties.</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terms of the ROFO Agreement do not restrict CTO or any of its affiliates from providing financing for a third party’s acquisition of single-tenant, net leased properties or from developing and owning any single-tenant, net leased property.</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Pursuant to the ROFO Agreement, neither CTO nor any of its affiliates (which for purposes of the ROFO Agreement does not include our company and our subsidiaries) may sell to any third party any single-tenant, net leased property that was owned by CTO or any of its affiliates as of the closing date of the IPO or that is developed and owned by CTO or any of its affiliates after the closing date of the IPO, without first offering us the right to purchase such property.</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term of the ROFO Agreement will continue for so long as the Management Agreement with our Manager is in effect.</w:t>
      </w:r>
    </w:p>
    <w:p>
      <w:pPr>
        <w:spacing w:after="0" w:line="162"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On April 6, 2021, the Company entered into a purchase and sale agreement with a certain subsidiary of CTO for the purchase of one net lease property for $11.5 million. The acquisition was completed on April 23, 2021.</w:t>
      </w:r>
    </w:p>
    <w:p>
      <w:pPr>
        <w:spacing w:after="0" w:line="149" w:lineRule="exact"/>
        <w:rPr>
          <w:sz w:val="20"/>
          <w:szCs w:val="20"/>
          <w:color w:val="auto"/>
        </w:rPr>
      </w:pPr>
    </w:p>
    <w:p>
      <w:pPr>
        <w:jc w:val="both"/>
        <w:ind w:left="60" w:right="59" w:firstLine="324"/>
        <w:spacing w:after="0" w:line="245" w:lineRule="auto"/>
        <w:rPr>
          <w:sz w:val="20"/>
          <w:szCs w:val="20"/>
          <w:color w:val="auto"/>
        </w:rPr>
      </w:pPr>
      <w:r>
        <w:rPr>
          <w:rFonts w:ascii="Times New Roman" w:cs="Times New Roman" w:eastAsia="Times New Roman" w:hAnsi="Times New Roman"/>
          <w:sz w:val="18"/>
          <w:szCs w:val="18"/>
          <w:color w:val="auto"/>
        </w:rPr>
        <w:t>On April 2, 2021, the Company entered into a purchase and sale agreement with certain subsidiaries of CTO for the purchase of the CMBS Portfolio. The terms of the purchase and sale agreement, as amended on April 20, 2021, provided a total purchase price of $44.5 million for the CMBS Portfolio. The acquisition of the CMBS Portfolio was completed on June 30, 2021.</w:t>
      </w:r>
    </w:p>
    <w:p>
      <w:pPr>
        <w:spacing w:after="0" w:line="167"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On January 5, 2022, the Company entered into a purchase and sale agreement with a certain subsidiary of CTO for the purchase of one net lease property for $6.9 million. The acquisition was completed on January 7, 2022.</w:t>
      </w:r>
    </w:p>
    <w:p>
      <w:pPr>
        <w:spacing w:after="0" w:line="14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entry into these purchase and sale agreements, and subsequent completion of the related acquisitions, are a result of the Company exercising its right to purchase the aforementioned properties under the ROFO Agreement.</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Conflicts of Interest</w:t>
      </w:r>
    </w:p>
    <w:p>
      <w:pPr>
        <w:spacing w:after="0" w:line="200" w:lineRule="exact"/>
        <w:rPr>
          <w:sz w:val="20"/>
          <w:szCs w:val="20"/>
          <w:color w:val="auto"/>
        </w:rPr>
      </w:pPr>
    </w:p>
    <w:p>
      <w:pPr>
        <w:jc w:val="both"/>
        <w:ind w:left="60" w:right="59" w:firstLine="324"/>
        <w:spacing w:after="0" w:line="241" w:lineRule="auto"/>
        <w:rPr>
          <w:sz w:val="20"/>
          <w:szCs w:val="20"/>
          <w:color w:val="auto"/>
        </w:rPr>
      </w:pPr>
      <w:r>
        <w:rPr>
          <w:rFonts w:ascii="Times New Roman" w:cs="Times New Roman" w:eastAsia="Times New Roman" w:hAnsi="Times New Roman"/>
          <w:sz w:val="18"/>
          <w:szCs w:val="18"/>
          <w:color w:val="auto"/>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 We do not generally expect to enter into joint ventures with CTO, but if we do so, the terms and conditions of our joint venture investment will be subject to the approval of a majority of disinterested directors of the Board.</w:t>
      </w:r>
    </w:p>
    <w:p>
      <w:pPr>
        <w:spacing w:after="0" w:line="173" w:lineRule="exact"/>
        <w:rPr>
          <w:sz w:val="20"/>
          <w:szCs w:val="20"/>
          <w:color w:val="auto"/>
        </w:rPr>
      </w:pPr>
    </w:p>
    <w:p>
      <w:pPr>
        <w:jc w:val="both"/>
        <w:ind w:left="60" w:right="59" w:firstLine="324"/>
        <w:spacing w:after="0"/>
        <w:rPr>
          <w:sz w:val="20"/>
          <w:szCs w:val="20"/>
          <w:color w:val="auto"/>
        </w:rPr>
      </w:pPr>
      <w:r>
        <w:rPr>
          <w:rFonts w:ascii="Times New Roman" w:cs="Times New Roman" w:eastAsia="Times New Roman" w:hAnsi="Times New Roman"/>
          <w:sz w:val="18"/>
          <w:szCs w:val="18"/>
          <w:color w:val="auto"/>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spacing w:after="0" w:line="171"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We may acquire or sell net leased properties that would potentially fit the investment criteria for our Manager or its affiliates. Similarly, our Manager or its affiliates may acquire or sell net leased properties that would potentially fit our investment criteria. Although such acquisitions or dispositions could present conflicts of interest, we nonetheless may</w:t>
      </w:r>
    </w:p>
    <w:p>
      <w:pPr>
        <w:sectPr>
          <w:pgSz w:w="11900" w:h="16838" w:orient="portrait"/>
          <w:cols w:equalWidth="0" w:num="1">
            <w:col w:w="9019"/>
          </w:cols>
          <w:pgMar w:left="1440" w:top="513"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4" w:lineRule="auto"/>
        <w:rPr>
          <w:sz w:val="20"/>
          <w:szCs w:val="20"/>
          <w:color w:val="auto"/>
        </w:rPr>
      </w:pPr>
      <w:r>
        <w:rPr>
          <w:rFonts w:ascii="Times New Roman" w:cs="Times New Roman" w:eastAsia="Times New Roman" w:hAnsi="Times New Roman"/>
          <w:sz w:val="18"/>
          <w:szCs w:val="18"/>
          <w:color w:val="auto"/>
        </w:rPr>
        <w:t>pursue and consummate such transactions. Additionally, we may engage in transactions directly with our Manager or its affiliates, including the purchase and sale of all or a portion of a portfolio of assets. If we acquire a net leased property from CTO or one of its affiliates or sell a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spacing w:after="0" w:line="168" w:lineRule="exact"/>
        <w:rPr>
          <w:sz w:val="20"/>
          <w:szCs w:val="20"/>
          <w:color w:val="auto"/>
        </w:rPr>
      </w:pPr>
    </w:p>
    <w:p>
      <w:pPr>
        <w:jc w:val="both"/>
        <w:ind w:left="60" w:right="59" w:firstLine="324"/>
        <w:spacing w:after="0" w:line="245" w:lineRule="auto"/>
        <w:rPr>
          <w:sz w:val="20"/>
          <w:szCs w:val="20"/>
          <w:color w:val="auto"/>
        </w:rPr>
      </w:pPr>
      <w:r>
        <w:rPr>
          <w:rFonts w:ascii="Times New Roman" w:cs="Times New Roman" w:eastAsia="Times New Roman" w:hAnsi="Times New Roman"/>
          <w:sz w:val="18"/>
          <w:szCs w:val="18"/>
          <w:color w:val="auto"/>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spacing w:after="0" w:line="167" w:lineRule="exact"/>
        <w:rPr>
          <w:sz w:val="20"/>
          <w:szCs w:val="20"/>
          <w:color w:val="auto"/>
        </w:rPr>
      </w:pPr>
    </w:p>
    <w:p>
      <w:pPr>
        <w:jc w:val="both"/>
        <w:ind w:left="60" w:right="59" w:firstLine="324"/>
        <w:spacing w:after="0" w:line="239" w:lineRule="auto"/>
        <w:rPr>
          <w:sz w:val="20"/>
          <w:szCs w:val="20"/>
          <w:color w:val="auto"/>
        </w:rPr>
      </w:pPr>
      <w:r>
        <w:rPr>
          <w:rFonts w:ascii="Times New Roman" w:cs="Times New Roman" w:eastAsia="Times New Roman" w:hAnsi="Times New Roman"/>
          <w:sz w:val="18"/>
          <w:szCs w:val="18"/>
          <w:color w:val="auto"/>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spacing w:after="0" w:line="187"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Additionally, the ROFO Agreement does contain exceptions to CTO’s exclusivity for opportunities that include only an incidental interest in single-tenant, net leased properties. Accordingly, the ROFO Agreement will not prevent CTO from pursuing certain acquisition opportunities that otherwise satisfy our then-current investment criteria.</w:t>
      </w:r>
    </w:p>
    <w:p>
      <w:pPr>
        <w:spacing w:after="0" w:line="163" w:lineRule="exact"/>
        <w:rPr>
          <w:sz w:val="20"/>
          <w:szCs w:val="20"/>
          <w:color w:val="auto"/>
        </w:rPr>
      </w:pPr>
    </w:p>
    <w:p>
      <w:pPr>
        <w:jc w:val="both"/>
        <w:ind w:left="60" w:right="59" w:firstLine="324"/>
        <w:spacing w:after="0" w:line="238" w:lineRule="auto"/>
        <w:rPr>
          <w:sz w:val="20"/>
          <w:szCs w:val="20"/>
          <w:color w:val="auto"/>
        </w:rPr>
      </w:pPr>
      <w:r>
        <w:rPr>
          <w:rFonts w:ascii="Times New Roman" w:cs="Times New Roman" w:eastAsia="Times New Roman" w:hAnsi="Times New Roman"/>
          <w:sz w:val="18"/>
          <w:szCs w:val="18"/>
          <w:color w:val="auto"/>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partnership agreement provides that in the event of a conflict between the interests of our stockholders on the one hand and the limited 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16.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16"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17. SUBSEQUENT EVENTS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Subsequent events and transactions were evaluated through July 21, 2022 the date the consolidated financial statements were issued. There were no reportable subsequent events or transactions.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When we refer to “we,” “us,” “our,” or “the Company,” we mean Alpine Income Property Trust, Inc. and its consolidated subsidiaries. References to “Notes to Financial Statements” refer to the Notes to the Consolidated Financial Statements of Alpine Income Property Trust, Inc. included in this Quarterly Report on Form 10-Q. Some of the comments we make in this section are forward-looking statements within the meaning of the federal securities laws. For a complete discussion of forward-looking statements, see the section below entitled “Special Note Regarding Forward-Looking Statements.” Certain factors that could cause actual results or events to differ materially from those the Company anticipates or projects are described in “Item 1A. Risk Factors” of the Company’s Annual Report on Form 10-K for the year ended December 31, 2021.</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(set forth in Section 27A of the Securities Act of 1933, as amended, and Section 21E of the Securities Exchange Act of 1934, as amended (the “Exchange Act”)). The words “believe,” “estimate,” “expect,” “intend,” “anticipate,” “will,” “could,” “may,” “should,” “plan,” “potential,” “predict,” “forecast,” “project,” and similar expressions and variations thereof identify certain of such forward-looking statements, which speak only as of the dates on which they were made. Forward-looking statements are made based upon management’s expectations and beliefs concerning future developments and their potential effect upon the Company. There can be no assurance that future developments will be in accordance with management’s expectations or that the effect of future developments on the Company will be those anticipated by management.</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Because forward-looking statements relate to the future, by their nature, they are subject to inherent uncertainties, risks and changes in circumstances that are difficult to predict. These risks and uncertainties include, but are not limited to, the strength of the real estate market; the impact of a prolonged recession or downturn in economic conditions; our ability to successfully execute acquisition or development strategies; any loss of key management personnel; changes in local, regional, and national economic conditions affecting the real estate development business and properties; the impact of competitive real estate activity; the loss of any major property tenants; the ultimate geographic spread, severity and duration of pandemics such as the outbreak of COVID-19 and its variants, actions that may be taken by governmental authorities to contain or address the impact of such pandemics, and the potential negative impacts of such pandemics on the global economy and our financial condition and results of operations; and the availability of capital. These risks and uncertainties may cause our actual future results to be materially different than those expressed in our forward-looking statements.</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See “Item 1A. Risk Factors” of the Company’s Annual Report on Form 10-K for the year ended December 31, 2021 for further discussion of these risks, as well as additional risks and uncertainties that could cause actual results or events to differ materially from those described in the Company’s forward-looking statements. Given these risks and uncertainties, readers are cautioned not to place undue reliance on such statements, which speak only as of the date of this Quarterly Report on Form 10-Q. The Company undertakes no obligation to publicly release any revisions to these forward-looking statements that may be made to reflect events or circumstances after the date of this Quarterly Report on Form 10-Q.</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are a real estate company that owns and operates a high-quality portfolio of commercial properties located in the United States. Our properties are generally leased on a long-term basis and located primarily in, or in close proximity to major metropolitan statistical areas, or MSAs, and in growth markets and other markets in the United States with favorable economic and demographic conditions. Our properties are primarily leased to industry leading, creditworthy tenants, many of which operate in industries we believe are resistant to the impact of e-commerce or defensive in nature against economic uncertainty or disruption. The properties in our portfolio are primarily triple-net leases which generally require the tenant to pay all of the property operating expenses such as real estate taxes, insurance, assessments and other governmental fees,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utilities, repairs and maintenance and certain capital expenditures. Our portfolio consists of 143 net leased retail and office properties located in 98 markets in 35 states.</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Twenty properties, representing our initial portfolio, were acquired from CTO Realty Growth, Inc. (“CTO”) in the formation transactions, utilizing $125.9 million of proceeds from our initial public offering of our common stock (the “IPO”) and the issuance of 1,223,854 units of our operating partnership (the “OP Units”) that had an initial value of $23.3 million based on the IPO price of $19.00 per share (the “IPO Price”). As of June 30, 2022, eight of the properties included within our initial portfolio have been sold. Subsequent to June 30, 2022, one additional property included within our initial portfolio was sold.</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seek to acquire, own and operate primarily freestanding, commercial real estate properties located in the United States leased primarily pursuant to triple-net, long-term leases. We focus on investments primarily in retail properties. We target tenants in industries that we believe are favorably impacted by current macroeconomic trends that support consumer spending, such as strong and growing employment and positive consumer sentiment, as well as tenants in industries that have demonstrated resistance to the impact of the growing e-commerce retail sector or who use a physical presence as a component of their omnichannel strategy. We also seek to invest in properties that are net leased to tenants that we determine have attractive credit characteristics, stable operating histories and healthy rent coverage levels, are well-located within their respective markets and have rents at-or-below market rent levels. Furthermore, we believe that the size of our company allows us, for at least the near term, to focus our investment activities on the acquisition of single properties or smaller portfolios of properties that represent a transaction size that most of our publicly-traded net lease REIT peers will not pursue on a consistent basis.</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objective is to maximize cash flow and value per share by generating stable and growing cash flows and attractive risk-adjusted returns through owning, operating and growing a diversified portfolio of high-quality net leased commercial properties with strong long-term real estate fundamentals. The 143 properties in our portfolio are 100% occupied and represent 3.3 million of gross rentable square feet. As of June 30, 2022, our leases have a weighted-average remaining lease term of 8.0 years based on annualized base rent.</w:t>
      </w:r>
    </w:p>
    <w:p>
      <w:pPr>
        <w:spacing w:after="0" w:line="18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strategy for investing in income-producing properties is focused on factors including, but not limited to, long-term real estate fundamentals, including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has no employees and is externally managed by Alpine Income Property Manager, LLC, a Delaware limited liability company and a wholly owned subsidiary of CTO (our “Manager”). CTO is a Maryland corporation that is a publicly traded diversified REIT and the sole member of our Manager.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JUNE 30, 2022 AND 2021</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presents the Company’s results of operations for the three months ended June 30, 2022, as compared to the three months ended June 30, 2021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Variance</w:t>
            </w:r>
          </w:p>
        </w:tc>
        <w:tc>
          <w:tcPr>
            <w:tcW w:w="0" w:type="dxa"/>
            <w:vAlign w:val="bottom"/>
          </w:tcPr>
          <w:p>
            <w:pPr>
              <w:spacing w:after="0"/>
              <w:rPr>
                <w:sz w:val="1"/>
                <w:szCs w:val="1"/>
                <w:color w:val="auto"/>
              </w:rPr>
            </w:pPr>
          </w:p>
        </w:tc>
      </w:tr>
      <w:tr>
        <w:trPr>
          <w:trHeight w:val="209"/>
        </w:trPr>
        <w:tc>
          <w:tcPr>
            <w:tcW w:w="4320" w:type="dxa"/>
            <w:vAlign w:val="bottom"/>
          </w:tcPr>
          <w:p>
            <w:pPr>
              <w:spacing w:after="0"/>
              <w:rPr>
                <w:sz w:val="18"/>
                <w:szCs w:val="18"/>
                <w:color w:val="auto"/>
              </w:rPr>
            </w:pPr>
          </w:p>
        </w:tc>
        <w:tc>
          <w:tcPr>
            <w:tcW w:w="12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Lease Income</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0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Expenses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09"/>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18,459</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17,435</w:t>
            </w: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r>
        <w:trPr>
          <w:trHeight w:val="20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15,990</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4621.4%</w:t>
            </w:r>
          </w:p>
        </w:tc>
        <w:tc>
          <w:tcPr>
            <w:tcW w:w="0" w:type="dxa"/>
            <w:vAlign w:val="bottom"/>
          </w:tcPr>
          <w:p>
            <w:pPr>
              <w:spacing w:after="0"/>
              <w:rPr>
                <w:sz w:val="1"/>
                <w:szCs w:val="1"/>
                <w:color w:val="auto"/>
              </w:rPr>
            </w:pPr>
          </w:p>
        </w:tc>
      </w:tr>
      <w:tr>
        <w:trPr>
          <w:trHeight w:val="198"/>
        </w:trPr>
        <w:tc>
          <w:tcPr>
            <w:tcW w:w="43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(2,054)</w:t>
            </w:r>
          </w:p>
        </w:tc>
        <w:tc>
          <w:tcPr>
            <w:tcW w:w="3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(4790.5)%</w:t>
            </w:r>
          </w:p>
        </w:tc>
        <w:tc>
          <w:tcPr>
            <w:tcW w:w="0" w:type="dxa"/>
            <w:vAlign w:val="bottom"/>
          </w:tcPr>
          <w:p>
            <w:pPr>
              <w:spacing w:after="0"/>
              <w:rPr>
                <w:sz w:val="1"/>
                <w:szCs w:val="1"/>
                <w:color w:val="auto"/>
              </w:rPr>
            </w:pPr>
          </w:p>
        </w:tc>
      </w:tr>
      <w:tr>
        <w:trPr>
          <w:trHeight w:val="178"/>
        </w:trPr>
        <w:tc>
          <w:tcPr>
            <w:tcW w:w="43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Net Income Attributable to Alpine Income Property</w:t>
            </w:r>
          </w:p>
        </w:tc>
        <w:tc>
          <w:tcPr>
            <w:tcW w:w="2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14,282</w:t>
            </w:r>
          </w:p>
        </w:tc>
        <w:tc>
          <w:tcPr>
            <w:tcW w:w="120" w:type="dxa"/>
            <w:vAlign w:val="bottom"/>
          </w:tcPr>
          <w:p>
            <w:pPr>
              <w:spacing w:after="0"/>
              <w:rPr>
                <w:sz w:val="15"/>
                <w:szCs w:val="15"/>
                <w:color w:val="auto"/>
              </w:rPr>
            </w:pPr>
          </w:p>
        </w:tc>
        <w:tc>
          <w:tcPr>
            <w:tcW w:w="3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13,978</w:t>
            </w:r>
          </w:p>
        </w:tc>
        <w:tc>
          <w:tcPr>
            <w:tcW w:w="120" w:type="dxa"/>
            <w:vAlign w:val="bottom"/>
          </w:tcPr>
          <w:p>
            <w:pPr>
              <w:spacing w:after="0"/>
              <w:rPr>
                <w:sz w:val="15"/>
                <w:szCs w:val="15"/>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4598.0%</w:t>
            </w:r>
          </w:p>
        </w:tc>
        <w:tc>
          <w:tcPr>
            <w:tcW w:w="0" w:type="dxa"/>
            <w:vAlign w:val="bottom"/>
          </w:tcPr>
          <w:p>
            <w:pPr>
              <w:spacing w:after="0"/>
              <w:rPr>
                <w:sz w:val="1"/>
                <w:szCs w:val="1"/>
                <w:color w:val="auto"/>
              </w:rPr>
            </w:pPr>
          </w:p>
        </w:tc>
      </w:tr>
      <w:tr>
        <w:trPr>
          <w:trHeight w:val="22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Inc.</w:t>
            </w:r>
          </w:p>
        </w:tc>
        <w:tc>
          <w:tcPr>
            <w:tcW w:w="20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and Direct Cost of Revenues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Revenue from our property operations during the three months ended June 30, 2022 and 2021, totaled $11.3 million and $6.6 million, respectively. The $4.7 million increase in revenues is reflective of the Company’s volume of property acquisitions, partially offset by property sales. The direct costs of revenues for our property operations totaled $1.3 million and $0.8 million for the three months ended June 30, 2022 and 2021, respectively. The $0.5 million increase in the direct cost of revenues is also attributable to the Company’s expanded property portfolio.</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general and administrative expenses for the three months ended June 30, 2022, as compared to the three months ended June 30, 2021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1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 Variance</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12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 to Manager</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Stock Compensation Expense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&amp; Officer Insurance Expense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General and Administrative Expense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totaled $1.5 million and $1.3 million during the three months ended June 30, 2022 and 2021, respectively. The $0.2 million increase is primarily attributable to growth in the Company’s equity base, which led to increased management fee expenses totaling $0.2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jc w:val="both"/>
        <w:ind w:left="60" w:right="59" w:firstLine="3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totaled $5.7 million and $3.5 million during the three months ended June 30, 2022 and 2021, respectively. The $2.2 million increase in the depreciation and amortization expense is reflective of the Company’s expanded property portfolio.</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Gain on Disposition of Assets</w:t>
      </w:r>
    </w:p>
    <w:p>
      <w:pPr>
        <w:spacing w:after="0" w:line="229" w:lineRule="exact"/>
        <w:rPr>
          <w:sz w:val="20"/>
          <w:szCs w:val="20"/>
          <w:color w:val="auto"/>
        </w:rPr>
      </w:pPr>
    </w:p>
    <w:p>
      <w:pPr>
        <w:jc w:val="both"/>
        <w:ind w:left="60" w:right="79" w:firstLine="319"/>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2022, the Company sold five properties for an aggregate sales price of $72.8 million, generating aggregate gains on sale of $15.6 million. No properties were sold during the three months ended June 30, 2021.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Interest expense totaled $2.1 million and $0.7 million during the three months ended June 30, 2022 and 2021, respectively. The $1.4 million increase in interest expense is attributable to the higher average outstanding debt balance during the three months ended June 30, 2022 as compared to the same period in 2021. The overall increase in the Company’s long-term debt was primarily utilized to fund the acquisitions of properties during the latter half of 2021 and year to date in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Net income totaled $16.3 million and $0.3 million during the three months ended June 30, 2022 and 2021, respectively. The increase in net income is attributable to the factors described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2022 AND 2021</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presents the Company’s results of operations for the six months ended June 30, 2022, as compared to the six months ended June 30, 2021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Pr>
          <w:p>
            <w:pPr>
              <w:spacing w:after="0"/>
              <w:rPr>
                <w:sz w:val="20"/>
                <w:szCs w:val="20"/>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Variance</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12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Lease Income</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9,592</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9,592</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Expenses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10"/>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18,973</w:t>
            </w: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907.8%</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16,403</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1914.0%</w:t>
            </w:r>
          </w:p>
        </w:tc>
        <w:tc>
          <w:tcPr>
            <w:tcW w:w="0" w:type="dxa"/>
            <w:vAlign w:val="bottom"/>
          </w:tcPr>
          <w:p>
            <w:pPr>
              <w:spacing w:after="0"/>
              <w:rPr>
                <w:sz w:val="1"/>
                <w:szCs w:val="1"/>
                <w:color w:val="auto"/>
              </w:rPr>
            </w:pPr>
          </w:p>
        </w:tc>
      </w:tr>
      <w:tr>
        <w:trPr>
          <w:trHeight w:val="198"/>
        </w:trPr>
        <w:tc>
          <w:tcPr>
            <w:tcW w:w="43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(2,172)</w:t>
            </w: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(1822.1)%</w:t>
            </w:r>
          </w:p>
        </w:tc>
        <w:tc>
          <w:tcPr>
            <w:tcW w:w="0" w:type="dxa"/>
            <w:vAlign w:val="bottom"/>
          </w:tcPr>
          <w:p>
            <w:pPr>
              <w:spacing w:after="0"/>
              <w:rPr>
                <w:sz w:val="1"/>
                <w:szCs w:val="1"/>
                <w:color w:val="auto"/>
              </w:rPr>
            </w:pPr>
          </w:p>
        </w:tc>
      </w:tr>
      <w:tr>
        <w:trPr>
          <w:trHeight w:val="178"/>
        </w:trPr>
        <w:tc>
          <w:tcPr>
            <w:tcW w:w="43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Net Income Attributable to Alpine Income Property</w:t>
            </w:r>
          </w:p>
        </w:tc>
        <w:tc>
          <w:tcPr>
            <w:tcW w:w="2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15,088</w:t>
            </w:r>
          </w:p>
        </w:tc>
        <w:tc>
          <w:tcPr>
            <w:tcW w:w="120" w:type="dxa"/>
            <w:vAlign w:val="bottom"/>
          </w:tcPr>
          <w:p>
            <w:pPr>
              <w:spacing w:after="0"/>
              <w:rPr>
                <w:sz w:val="15"/>
                <w:szCs w:val="15"/>
                <w:color w:val="auto"/>
              </w:rPr>
            </w:pPr>
          </w:p>
        </w:tc>
        <w:tc>
          <w:tcPr>
            <w:tcW w:w="3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14,344</w:t>
            </w:r>
          </w:p>
        </w:tc>
        <w:tc>
          <w:tcPr>
            <w:tcW w:w="120" w:type="dxa"/>
            <w:vAlign w:val="bottom"/>
          </w:tcPr>
          <w:p>
            <w:pPr>
              <w:spacing w:after="0"/>
              <w:rPr>
                <w:sz w:val="15"/>
                <w:szCs w:val="15"/>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1928.0%</w:t>
            </w:r>
          </w:p>
        </w:tc>
        <w:tc>
          <w:tcPr>
            <w:tcW w:w="0" w:type="dxa"/>
            <w:vAlign w:val="bottom"/>
          </w:tcPr>
          <w:p>
            <w:pPr>
              <w:spacing w:after="0"/>
              <w:rPr>
                <w:sz w:val="1"/>
                <w:szCs w:val="1"/>
                <w:color w:val="auto"/>
              </w:rPr>
            </w:pPr>
          </w:p>
        </w:tc>
      </w:tr>
      <w:tr>
        <w:trPr>
          <w:trHeight w:val="22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Inc.</w:t>
            </w:r>
          </w:p>
        </w:tc>
        <w:tc>
          <w:tcPr>
            <w:tcW w:w="26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and Direct Cost of Revenues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Revenue from our property operations during the six months ended June 30, 2022 and 2021, totaled $22.1 million and $12.5 million, respectively. The $9.6 million increase in revenues is reflective of the Company’s volume of property acquisitions, partially offset by property sales. The direct costs of revenues for our property operations totaled $2.4 million and $1.5 million for the six months ended June 30, 2022 and 2021, respectively. The $0.9 million increase in the direct cost of revenues is also attributable to the Company’s expanded property portfolio.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general and administrative expenses for the six months ended June 30, 2022, as compared to the six months ended June 30, 2021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Pr>
          <w:p>
            <w:pPr>
              <w:spacing w:after="0"/>
              <w:rPr>
                <w:sz w:val="20"/>
                <w:szCs w:val="20"/>
                <w:color w:val="auto"/>
              </w:rPr>
            </w:pPr>
          </w:p>
        </w:tc>
        <w:tc>
          <w:tcPr>
            <w:tcW w:w="11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 Variance</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12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 to Manager</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Stock Compensation Expense</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&amp; Officer Insurance Expense</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Additional General and Administrative Expense</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totaled $2.9 million and $2.3 million during the six months ended June 30, 2022 and 2021, respectively. The $0.6 million increase is primarily attributable to growth in the Company’s equity base, which led to increased management fee expenses totaling $0.5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jc w:val="both"/>
        <w:ind w:left="60" w:right="59" w:firstLine="355"/>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totaled $11.4 million and $6.6 million during the six months ended June 30, 2022 and 2021, respectively. The $4.8 million increase in the depreciation and amortization expense is reflective of the Company’s expanded property portfolio.</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Gain on Disposition of Assets</w:t>
      </w:r>
    </w:p>
    <w:p>
      <w:pPr>
        <w:spacing w:after="0" w:line="229" w:lineRule="exact"/>
        <w:rPr>
          <w:sz w:val="20"/>
          <w:szCs w:val="20"/>
          <w:color w:val="auto"/>
        </w:rPr>
      </w:pPr>
    </w:p>
    <w:p>
      <w:pPr>
        <w:jc w:val="both"/>
        <w:ind w:left="60" w:right="59" w:firstLine="35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the Company sold five properties for an aggregate sales price of $72.8 million, generating aggregate gains on sale of $15.6 million. No properties were sold during the six months ended June 30, 2021.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Interest expense totaled $3.8 million and $1.2 million during the six months ended June 30, 2022 and 2021, respectively. The $2.6 million increase in interest expense is attributable to the higher average outstanding debt balance during the six months ended June 30, 2022 as compared to the same period in 2021. The overall increase in the Company’s long-term debt was primarily utilized to fund the acquisitions of properties during the latter half of 2021 and year to date in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income totaled $17.3 million and $0.9 million during the six months ended June 30, 2022 and 2021, respectively.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increase in net income is attributable to the factors described above.</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Cash totaled $17.6 million as of June 30, 2022, including restricted cash of $15.1 million, see Note 2 “Summary of Significant Accounting Policies” under the heading Restricted Cash for the Company’s disclosure related to its restricted cash balance as of June 30, 2022.</w:t>
      </w:r>
    </w:p>
    <w:p>
      <w:pPr>
        <w:spacing w:after="0" w:line="17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As of June 30, 2022, the Company had an outstanding balance of $72.5 million on the $150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revolving Credit Facility. The Company also had $200.0 million in term loans and $30.0 million in mortgage notes payable outstanding as of June 30, 2022. See Note 9, “Long-Term Debt” for the Company’s disclosure related to its long-term debt balance at June 30,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Acquisitions and Dispositions. </w:t>
      </w:r>
      <w:r>
        <w:rPr>
          <w:rFonts w:ascii="Times New Roman" w:cs="Times New Roman" w:eastAsia="Times New Roman" w:hAnsi="Times New Roman"/>
          <w:sz w:val="18"/>
          <w:szCs w:val="18"/>
          <w:color w:val="auto"/>
        </w:rPr>
        <w:t>As further described in Note 3, “Property Portfolio,” the Company (i) acquired 35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during the six months ended June 30, 2022 for an aggregate purchase price of $109.1 million and (ii) sold five properties for an aggregate sales price of $72.8 million, generating aggregate gains on sale of $15.6 million. One property was classified as held for sale as of June 30, 2022.</w:t>
      </w:r>
    </w:p>
    <w:p>
      <w:pPr>
        <w:spacing w:after="0" w:line="180"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ATM Program. </w:t>
      </w:r>
      <w:r>
        <w:rPr>
          <w:rFonts w:ascii="Times New Roman" w:cs="Times New Roman" w:eastAsia="Times New Roman" w:hAnsi="Times New Roman"/>
          <w:sz w:val="18"/>
          <w:szCs w:val="18"/>
          <w:color w:val="auto"/>
        </w:rPr>
        <w:t>During the six months ended June 30, 2022, the Company sold 401,783 shares under the 2020 ATM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for gross proceeds of $7.8 million at a weighted average price of $19.53 per share, generating net proceeds of $7.7 million.</w:t>
      </w:r>
    </w:p>
    <w:p>
      <w:pPr>
        <w:spacing w:after="0" w:line="173"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As of June 30, 2022, the Company had no commitments related to capital expenditures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of fixed assets, such as land, buildings, and equipment.</w:t>
      </w:r>
    </w:p>
    <w:p>
      <w:pPr>
        <w:spacing w:after="0" w:line="16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believe we will have sufficient liquidity to fund our operations, capital requirements, maintenance, and debt service requirements over the next twelve months and into the foreseeable future, with cash on hand, cash flow from our operations, proceeds from the completion of the sale of assets utilizing the reverse like-kind 1031 exchange structure, $78.2 million of availability remaining under the 2020 ATM Program, and $77.5 million of available capacity on the existing $150.0 million Credit Facility.</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of investing in net leased properties by utilizing capital that we raise and available borrowing capacity from the Credit Facility to increase our portfolio of income-producing properties, providing stabilized cash flows with strong risk-adjusted returns primarily in larger metropolitan areas and growth markets.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4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reported results are presented in accordance with GAAP. We also disclose FFO and AFFO, both of which are non-GAAP financial measures. We believe these two non-GAAP financial measures are useful to investors because they are widely accepted industry measures used by analysts and investors to compare the operating performance of REITs.</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FFO and AFFO do not represent cash generated from operating activities and are not necessarily indicative of cash available to fund cash requirements; accordingly, they should not be considered alternatives to net income as a performance measure or cash flows from operations as reported on our statement of cash flows as a liquidity measure and should be considered in addition to, and not in lieu of, GAAP financial measures.</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compute FFO in accordance with the definition adopted by the Board of Governors of the National Association of Real Estate Investment Trusts, or NAREIT. NAREIT defines FFO as GAAP net income or loss adjusted to exclude extraordinary items (as defined by GAAP), net gain or loss from sales of depreciable real estate assets, impairment write-downs associated with depreciable real estate assets and real estate related depreciation and amortization, including the pro rata share of such adjustments of unconsolidated subsidiaries. To derive AFFO, we modify the NAREIT computation of FFO to include other adjustments to GAAP net income related to non-cash revenues and expenses such as straight-line rental revenue, amortization of deferred financing costs, amortization of above- and below-market lease related intangibles, non-cash compensation, and other non-cash income or expense. Such items may cause short-term fluctuations in net income but have no impact on operating cash flows or long-term operating performance. We use AFFO as one measure of our performance when we formulate corporate goals.</w:t>
      </w:r>
    </w:p>
    <w:p>
      <w:pPr>
        <w:spacing w:after="0" w:line="20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FFO and AFFO may not be comparable to similarly titled measures employed by other companies.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Non-GAAP Measures (in thousands, except share data):</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0"/>
                <w:szCs w:val="20"/>
                <w:color w:val="auto"/>
              </w:rPr>
            </w:pPr>
          </w:p>
        </w:tc>
        <w:tc>
          <w:tcPr>
            <w:tcW w:w="230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10"/>
        </w:trPr>
        <w:tc>
          <w:tcPr>
            <w:tcW w:w="3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June 30, 2022</w:t>
            </w: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June 30, 2021</w:t>
            </w:r>
          </w:p>
        </w:tc>
        <w:tc>
          <w:tcPr>
            <w:tcW w:w="120" w:type="dxa"/>
            <w:vAlign w:val="bottom"/>
          </w:tcPr>
          <w:p>
            <w:pPr>
              <w:spacing w:after="0"/>
              <w:rPr>
                <w:sz w:val="18"/>
                <w:szCs w:val="18"/>
                <w:color w:val="auto"/>
              </w:rPr>
            </w:pPr>
          </w:p>
        </w:tc>
        <w:tc>
          <w:tcPr>
            <w:tcW w:w="13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20" w:type="dxa"/>
            <w:vAlign w:val="bottom"/>
          </w:tcPr>
          <w:p>
            <w:pPr>
              <w:spacing w:after="0"/>
              <w:rPr>
                <w:sz w:val="18"/>
                <w:szCs w:val="18"/>
                <w:color w:val="auto"/>
              </w:rPr>
            </w:pPr>
          </w:p>
        </w:tc>
      </w:tr>
      <w:tr>
        <w:trPr>
          <w:trHeight w:val="210"/>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0" w:type="dxa"/>
            <w:vAlign w:val="bottom"/>
          </w:tcPr>
          <w:p>
            <w:pPr>
              <w:spacing w:after="0"/>
              <w:rPr>
                <w:sz w:val="18"/>
                <w:szCs w:val="18"/>
                <w:color w:val="auto"/>
              </w:rPr>
            </w:pPr>
          </w:p>
        </w:tc>
      </w:tr>
      <w:tr>
        <w:trPr>
          <w:trHeight w:val="216"/>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(15,637)</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(15,637)</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From Operations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4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Straight-Line Rent Adjustment</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(528)</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COVID-19 Rent Repayments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0" w:type="dxa"/>
            <w:vAlign w:val="bottom"/>
          </w:tcPr>
          <w:p>
            <w:pPr>
              <w:spacing w:after="0"/>
              <w:rPr>
                <w:sz w:val="18"/>
                <w:szCs w:val="18"/>
                <w:color w:val="auto"/>
              </w:rPr>
            </w:pPr>
          </w:p>
        </w:tc>
      </w:tr>
      <w:tr>
        <w:trPr>
          <w:trHeight w:val="216"/>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Compensation</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tcPr>
          <w:p>
            <w:pPr>
              <w:spacing w:after="0"/>
              <w:rPr>
                <w:sz w:val="18"/>
                <w:szCs w:val="18"/>
                <w:color w:val="auto"/>
              </w:rPr>
            </w:pPr>
          </w:p>
        </w:tc>
      </w:tr>
      <w:tr>
        <w:trPr>
          <w:trHeight w:val="198"/>
        </w:trPr>
        <w:tc>
          <w:tcPr>
            <w:tcW w:w="37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Deferred Financing Costs to</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20"/>
                <w:szCs w:val="20"/>
                <w:color w:val="auto"/>
              </w:rPr>
            </w:pPr>
          </w:p>
        </w:tc>
      </w:tr>
      <w:tr>
        <w:trPr>
          <w:trHeight w:val="198"/>
        </w:trPr>
        <w:tc>
          <w:tcPr>
            <w:tcW w:w="37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Intangible Assets and</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Liabilities to Lease Income</w:t>
            </w:r>
          </w:p>
        </w:tc>
        <w:tc>
          <w:tcPr>
            <w:tcW w:w="1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Non-Cash Expense (Income)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r>
      <w:tr>
        <w:trPr>
          <w:trHeight w:val="216"/>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Recurring Capital Expenditures</w:t>
            </w: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r>
      <w:tr>
        <w:trPr>
          <w:trHeight w:val="210"/>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Funds From Operations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20" w:type="dxa"/>
            <w:vAlign w:val="bottom"/>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11,844,108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8,853,259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11,753,904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8,212,902</w:t>
            </w: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13,547,602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10,081,783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13,457,398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9,439,104</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Data (in thousands, except per share data):</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80" w:type="dxa"/>
            <w:vAlign w:val="bottom"/>
          </w:tcPr>
          <w:p>
            <w:pPr>
              <w:spacing w:after="0"/>
              <w:rPr>
                <w:sz w:val="20"/>
                <w:szCs w:val="20"/>
                <w:color w:val="auto"/>
              </w:rPr>
            </w:pPr>
          </w:p>
        </w:tc>
      </w:tr>
      <w:tr>
        <w:trPr>
          <w:trHeight w:val="209"/>
        </w:trPr>
        <w:tc>
          <w:tcPr>
            <w:tcW w:w="3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June 30, 2021</w:t>
            </w:r>
          </w:p>
        </w:tc>
        <w:tc>
          <w:tcPr>
            <w:tcW w:w="120" w:type="dxa"/>
            <w:vAlign w:val="bottom"/>
          </w:tcPr>
          <w:p>
            <w:pPr>
              <w:spacing w:after="0"/>
              <w:rPr>
                <w:sz w:val="18"/>
                <w:szCs w:val="18"/>
                <w:color w:val="auto"/>
              </w:rPr>
            </w:pPr>
          </w:p>
        </w:tc>
        <w:tc>
          <w:tcPr>
            <w:tcW w:w="13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2021</w:t>
            </w:r>
          </w:p>
        </w:tc>
      </w:tr>
      <w:tr>
        <w:trPr>
          <w:trHeight w:val="209"/>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w:t>
            </w: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FFO per Diluted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20" w:type="dxa"/>
            <w:vAlign w:val="bottom"/>
          </w:tcPr>
          <w:p>
            <w:pPr>
              <w:spacing w:after="0"/>
              <w:rPr>
                <w:sz w:val="18"/>
                <w:szCs w:val="18"/>
                <w:color w:val="auto"/>
              </w:rPr>
            </w:pPr>
          </w:p>
        </w:tc>
        <w:tc>
          <w:tcPr>
            <w:tcW w:w="70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r>
      <w:tr>
        <w:trPr>
          <w:trHeight w:val="216"/>
        </w:trPr>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AFFO</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12,797</w:t>
            </w:r>
          </w:p>
        </w:tc>
        <w:tc>
          <w:tcPr>
            <w:tcW w:w="120" w:type="dxa"/>
            <w:vAlign w:val="bottom"/>
          </w:tcPr>
          <w:p>
            <w:pPr>
              <w:spacing w:after="0"/>
              <w:rPr>
                <w:sz w:val="18"/>
                <w:szCs w:val="18"/>
                <w:color w:val="auto"/>
              </w:rPr>
            </w:pPr>
          </w:p>
        </w:tc>
        <w:tc>
          <w:tcPr>
            <w:tcW w:w="70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7,742</w:t>
            </w:r>
          </w:p>
        </w:tc>
      </w:tr>
      <w:tr>
        <w:trPr>
          <w:trHeight w:val="21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AFFO per Diluted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Critical accounting estimates include those estimates made in accordance with GAAP that involve a significant level of estimation uncertainty and have had or are reasonably likely to have a material impact on the Company’s financial condition or results of operations. Our most significant estimate is as follows:</w:t>
      </w:r>
    </w:p>
    <w:p>
      <w:pPr>
        <w:spacing w:after="0" w:line="174"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Purchase Accounting for Acquisitions of Real Estate Subject to a Lease</w:t>
      </w:r>
      <w:r>
        <w:rPr>
          <w:rFonts w:ascii="Times New Roman" w:cs="Times New Roman" w:eastAsia="Times New Roman" w:hAnsi="Times New Roman"/>
          <w:sz w:val="18"/>
          <w:szCs w:val="18"/>
          <w:color w:val="auto"/>
        </w:rPr>
        <w:t>. As required by GAAP, the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35 properties for a combined purchase price of $109.1 million for the six months ended June 30, 2022 and 23 properties for a combined purchase price of $103.2 million for the six months ended June 30, 2021.</w:t>
      </w:r>
    </w:p>
    <w:p>
      <w:pPr>
        <w:spacing w:after="0" w:line="19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for further discussion of the Company’s accounting estimates and policies.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Item 10(f)(1) of Regulation S-K. As a result, pursuant to Item 305(e) of Regulation S-K, we are not required to provide the information required by this Item.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229" w:lineRule="exact"/>
        <w:rPr>
          <w:sz w:val="20"/>
          <w:szCs w:val="20"/>
          <w:color w:val="auto"/>
        </w:rPr>
      </w:pPr>
    </w:p>
    <w:p>
      <w:pPr>
        <w:jc w:val="both"/>
        <w:ind w:left="60" w:right="59" w:firstLine="324"/>
        <w:spacing w:after="0" w:line="241" w:lineRule="auto"/>
        <w:rPr>
          <w:sz w:val="20"/>
          <w:szCs w:val="20"/>
          <w:color w:val="auto"/>
        </w:rPr>
      </w:pPr>
      <w:r>
        <w:rPr>
          <w:rFonts w:ascii="Times New Roman" w:cs="Times New Roman" w:eastAsia="Times New Roman" w:hAnsi="Times New Roman"/>
          <w:sz w:val="18"/>
          <w:szCs w:val="18"/>
          <w:color w:val="auto"/>
        </w:rPr>
        <w:t>As of the end of the period covered by this report, an evaluation, as required by Rules 13(a)-15 and 15(d)-15 of the Securities Exchange Act of 1934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 rules and forms, and to provide reasonable assurance that information required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6" w:lineRule="auto"/>
        <w:rPr>
          <w:sz w:val="20"/>
          <w:szCs w:val="20"/>
          <w:color w:val="auto"/>
        </w:rPr>
      </w:pPr>
      <w:r>
        <w:rPr>
          <w:rFonts w:ascii="Times New Roman" w:cs="Times New Roman" w:eastAsia="Times New Roman" w:hAnsi="Times New Roman"/>
          <w:sz w:val="18"/>
          <w:szCs w:val="18"/>
          <w:color w:val="auto"/>
        </w:rPr>
        <w:t>to be disclosed by the Company in such reports is accumulated and communicated to the Company’s management, including its CEO and CFO, as appropriate to allow timely decisions regarding required disclosure. There were no changes in the Company’s internal control over financial reporting (as defined in Rules 13a-15(f) or 15d-15(f) under the Exchange Act) during the six months ended June 30, 2022, that have materially affected, or are reasonably likely to materially affect, the Company’s internal control over financial reporting.</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PART II—OTHER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202"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June 30, 2022, there have been no material changes in our risk factors from those set forth under the heading Part I, “Item 1A. Risk Factors” in the Company’s Annual Report on Form 10-K for the year ended December 31, 2021 (the “Form 10-K”). The risks described in the Form 10-K are not the only risks facing the Company. Additional risks and uncertainties not currently known to the Company or that the Company currently deems to be immaterial also may materially adversely affect the Company.</w:t>
      </w:r>
    </w:p>
    <w:p>
      <w:pPr>
        <w:spacing w:after="0" w:line="179" w:lineRule="exact"/>
        <w:rPr>
          <w:sz w:val="20"/>
          <w:szCs w:val="20"/>
          <w:color w:val="auto"/>
        </w:rPr>
      </w:pPr>
    </w:p>
    <w:p>
      <w:pPr>
        <w:ind w:left="60" w:right="1879"/>
        <w:spacing w:after="0" w:line="477"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ITEM 2. UNREGISTERED SALES OF EQUITY SECURITIES AND USE OF PROCEEDS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Exhibits:</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3.1</w:t>
            </w:r>
          </w:p>
        </w:tc>
        <w:tc>
          <w:tcPr>
            <w:tcW w:w="7660" w:type="dxa"/>
            <w:vAlign w:val="bottom"/>
            <w:gridSpan w:val="19"/>
          </w:tcPr>
          <w:p>
            <w:pPr>
              <w:spacing w:after="0"/>
              <w:rPr>
                <w:rFonts w:ascii="Times New Roman" w:cs="Times New Roman" w:eastAsia="Times New Roman" w:hAnsi="Times New Roman"/>
                <w:sz w:val="17"/>
                <w:szCs w:val="17"/>
                <w:color w:val="0000EE"/>
              </w:rPr>
            </w:pPr>
            <w:hyperlink r:id="rId55">
              <w:r>
                <w:rPr>
                  <w:rFonts w:ascii="Times New Roman" w:cs="Times New Roman" w:eastAsia="Times New Roman" w:hAnsi="Times New Roman"/>
                  <w:sz w:val="17"/>
                  <w:szCs w:val="17"/>
                  <w:color w:val="0000EE"/>
                </w:rPr>
                <w:t>Articles of Amendment and Restatement of Alpine Income Property Trust, Inc. (incorporated by reference to</w:t>
              </w:r>
            </w:hyperlink>
          </w:p>
        </w:tc>
        <w:tc>
          <w:tcPr>
            <w:tcW w:w="0" w:type="dxa"/>
            <w:vAlign w:val="bottom"/>
          </w:tcPr>
          <w:p>
            <w:pPr>
              <w:spacing w:after="0"/>
              <w:rPr>
                <w:sz w:val="1"/>
                <w:szCs w:val="1"/>
                <w:color w:val="auto"/>
              </w:rPr>
            </w:pPr>
          </w:p>
        </w:tc>
      </w:tr>
      <w:tr>
        <w:trPr>
          <w:trHeight w:val="156"/>
        </w:trPr>
        <w:tc>
          <w:tcPr>
            <w:tcW w:w="1420" w:type="dxa"/>
            <w:vAlign w:val="bottom"/>
          </w:tcPr>
          <w:p>
            <w:pPr>
              <w:spacing w:after="0"/>
              <w:rPr>
                <w:sz w:val="13"/>
                <w:szCs w:val="13"/>
                <w:color w:val="auto"/>
              </w:rPr>
            </w:pPr>
          </w:p>
        </w:tc>
        <w:tc>
          <w:tcPr>
            <w:tcW w:w="5980" w:type="dxa"/>
            <w:vAlign w:val="bottom"/>
            <w:tcBorders>
              <w:top w:val="single" w:sz="8" w:color="0000EE"/>
              <w:bottom w:val="single" w:sz="8" w:color="0000EE"/>
            </w:tcBorders>
            <w:gridSpan w:val="8"/>
          </w:tcPr>
          <w:p>
            <w:pPr>
              <w:spacing w:after="0" w:line="155" w:lineRule="exact"/>
              <w:rPr>
                <w:rFonts w:ascii="Times New Roman" w:cs="Times New Roman" w:eastAsia="Times New Roman" w:hAnsi="Times New Roman"/>
                <w:sz w:val="17"/>
                <w:szCs w:val="17"/>
                <w:color w:val="0000EE"/>
                <w:w w:val="99"/>
              </w:rPr>
            </w:pPr>
            <w:hyperlink r:id="rId55">
              <w:r>
                <w:rPr>
                  <w:rFonts w:ascii="Times New Roman" w:cs="Times New Roman" w:eastAsia="Times New Roman" w:hAnsi="Times New Roman"/>
                  <w:sz w:val="17"/>
                  <w:szCs w:val="17"/>
                  <w:color w:val="0000EE"/>
                  <w:w w:val="99"/>
                </w:rPr>
                <w:t>Exhibit 3.1 to the Company’s Current Report on Form 8-K filed on December 3, 2019).</w:t>
              </w:r>
            </w:hyperlink>
          </w:p>
        </w:tc>
        <w:tc>
          <w:tcPr>
            <w:tcW w:w="1540" w:type="dxa"/>
            <w:vAlign w:val="bottom"/>
            <w:tcBorders>
              <w:top w:val="single" w:sz="8" w:color="0000EE"/>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3.2</w:t>
            </w:r>
          </w:p>
        </w:tc>
        <w:tc>
          <w:tcPr>
            <w:tcW w:w="7660" w:type="dxa"/>
            <w:vAlign w:val="bottom"/>
            <w:gridSpan w:val="19"/>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 xml:space="preserve">Second </w:t>
              </w:r>
              <w:r>
                <w:rPr>
                  <w:rFonts w:ascii="Times New Roman" w:cs="Times New Roman" w:eastAsia="Times New Roman" w:hAnsi="Times New Roman"/>
                  <w:sz w:val="17"/>
                  <w:szCs w:val="17"/>
                  <w:color w:val="0000EE"/>
                </w:rPr>
                <w:t>Amended and Restated Bylaws of Alpine Income Property Trust, Inc. (incorporated by reference to</w:t>
              </w:r>
            </w:hyperlink>
          </w:p>
        </w:tc>
        <w:tc>
          <w:tcPr>
            <w:tcW w:w="0" w:type="dxa"/>
            <w:vAlign w:val="bottom"/>
          </w:tcPr>
          <w:p>
            <w:pPr>
              <w:spacing w:after="0"/>
              <w:rPr>
                <w:sz w:val="1"/>
                <w:szCs w:val="1"/>
                <w:color w:val="auto"/>
              </w:rPr>
            </w:pPr>
          </w:p>
        </w:tc>
      </w:tr>
      <w:tr>
        <w:trPr>
          <w:trHeight w:val="156"/>
        </w:trPr>
        <w:tc>
          <w:tcPr>
            <w:tcW w:w="1420" w:type="dxa"/>
            <w:vAlign w:val="bottom"/>
          </w:tcPr>
          <w:p>
            <w:pPr>
              <w:spacing w:after="0"/>
              <w:rPr>
                <w:sz w:val="13"/>
                <w:szCs w:val="13"/>
                <w:color w:val="auto"/>
              </w:rPr>
            </w:pPr>
          </w:p>
        </w:tc>
        <w:tc>
          <w:tcPr>
            <w:tcW w:w="7620" w:type="dxa"/>
            <w:vAlign w:val="bottom"/>
            <w:tcBorders>
              <w:top w:val="single" w:sz="8" w:color="0000EE"/>
            </w:tcBorders>
            <w:gridSpan w:val="17"/>
          </w:tcPr>
          <w:p>
            <w:pPr>
              <w:spacing w:after="0" w:line="155" w:lineRule="exact"/>
              <w:rPr>
                <w:rFonts w:ascii="Times New Roman" w:cs="Times New Roman" w:eastAsia="Times New Roman" w:hAnsi="Times New Roman"/>
                <w:sz w:val="17"/>
                <w:szCs w:val="17"/>
                <w:color w:val="0000EE"/>
              </w:rPr>
            </w:pPr>
            <w:hyperlink r:id="rId56">
              <w:r>
                <w:rPr>
                  <w:rFonts w:ascii="Times New Roman" w:cs="Times New Roman" w:eastAsia="Times New Roman" w:hAnsi="Times New Roman"/>
                  <w:sz w:val="17"/>
                  <w:szCs w:val="17"/>
                  <w:color w:val="0000EE"/>
                </w:rPr>
                <w:t>Exhibit 3.1 to the Company’s Current Report on Form 8-K filed on July 22,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4.1</w:t>
            </w:r>
          </w:p>
        </w:tc>
        <w:tc>
          <w:tcPr>
            <w:tcW w:w="7660" w:type="dxa"/>
            <w:vAlign w:val="bottom"/>
            <w:gridSpan w:val="19"/>
          </w:tcPr>
          <w:p>
            <w:pPr>
              <w:spacing w:after="0"/>
              <w:rPr>
                <w:rFonts w:ascii="Times New Roman" w:cs="Times New Roman" w:eastAsia="Times New Roman" w:hAnsi="Times New Roman"/>
                <w:sz w:val="17"/>
                <w:szCs w:val="17"/>
                <w:color w:val="0000EE"/>
              </w:rPr>
            </w:pPr>
            <w:hyperlink r:id="rId57">
              <w:r>
                <w:rPr>
                  <w:rFonts w:ascii="Times New Roman" w:cs="Times New Roman" w:eastAsia="Times New Roman" w:hAnsi="Times New Roman"/>
                  <w:sz w:val="17"/>
                  <w:szCs w:val="17"/>
                  <w:color w:val="0000EE"/>
                </w:rPr>
                <w:t>Specimen Common Stock Certificate of Alpine Income Property Trust, Inc. (incorporated by reference to</w:t>
              </w:r>
            </w:hyperlink>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7580" w:type="dxa"/>
            <w:vAlign w:val="bottom"/>
            <w:tcBorders>
              <w:top w:val="single" w:sz="8" w:color="0000EE"/>
            </w:tcBorders>
            <w:gridSpan w:val="15"/>
          </w:tcPr>
          <w:p>
            <w:pPr>
              <w:spacing w:after="0" w:line="155" w:lineRule="exact"/>
              <w:rPr>
                <w:rFonts w:ascii="Times New Roman" w:cs="Times New Roman" w:eastAsia="Times New Roman" w:hAnsi="Times New Roman"/>
                <w:sz w:val="17"/>
                <w:szCs w:val="17"/>
                <w:color w:val="0000EE"/>
              </w:rPr>
            </w:pPr>
            <w:hyperlink r:id="rId57">
              <w:r>
                <w:rPr>
                  <w:rFonts w:ascii="Times New Roman" w:cs="Times New Roman" w:eastAsia="Times New Roman" w:hAnsi="Times New Roman"/>
                  <w:sz w:val="17"/>
                  <w:szCs w:val="17"/>
                  <w:color w:val="0000EE"/>
                </w:rPr>
                <w:t>Exhibit 4.1 to the Registrant’s Registration Statement on Form S-11/A (File No. 333-234304) filed with the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20" w:type="dxa"/>
            <w:vAlign w:val="bottom"/>
          </w:tcPr>
          <w:p>
            <w:pPr>
              <w:spacing w:after="0"/>
              <w:rPr>
                <w:sz w:val="14"/>
                <w:szCs w:val="14"/>
                <w:color w:val="auto"/>
              </w:rPr>
            </w:pPr>
          </w:p>
        </w:tc>
        <w:tc>
          <w:tcPr>
            <w:tcW w:w="7480" w:type="dxa"/>
            <w:vAlign w:val="bottom"/>
            <w:tcBorders>
              <w:top w:val="single" w:sz="8" w:color="0000EE"/>
            </w:tcBorders>
            <w:gridSpan w:val="10"/>
          </w:tcPr>
          <w:p>
            <w:pPr>
              <w:spacing w:after="0" w:line="169" w:lineRule="exact"/>
              <w:rPr>
                <w:rFonts w:ascii="Times New Roman" w:cs="Times New Roman" w:eastAsia="Times New Roman" w:hAnsi="Times New Roman"/>
                <w:sz w:val="17"/>
                <w:szCs w:val="17"/>
                <w:color w:val="0000EE"/>
              </w:rPr>
            </w:pPr>
            <w:hyperlink r:id="rId57">
              <w:r>
                <w:rPr>
                  <w:rFonts w:ascii="Times New Roman" w:cs="Times New Roman" w:eastAsia="Times New Roman" w:hAnsi="Times New Roman"/>
                  <w:sz w:val="17"/>
                  <w:szCs w:val="17"/>
                  <w:color w:val="0000EE"/>
                </w:rPr>
                <w:t>Commission on October 29, 2019).</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Exhibit 10.1</w:t>
            </w: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vMerge w:val="continue"/>
          </w:tcPr>
          <w:p>
            <w:pPr>
              <w:spacing w:after="0"/>
              <w:rPr>
                <w:sz w:val="22"/>
                <w:szCs w:val="22"/>
                <w:color w:val="auto"/>
              </w:rPr>
            </w:pPr>
          </w:p>
        </w:tc>
        <w:tc>
          <w:tcPr>
            <w:tcW w:w="7660" w:type="dxa"/>
            <w:vAlign w:val="bottom"/>
            <w:gridSpan w:val="19"/>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Amendment, Increase and Joinder to Credit Agreement, dated as of April 14, 2022, among Alpine</w:t>
              </w:r>
            </w:hyperlink>
          </w:p>
        </w:tc>
        <w:tc>
          <w:tcPr>
            <w:tcW w:w="0" w:type="dxa"/>
            <w:vAlign w:val="bottom"/>
          </w:tcPr>
          <w:p>
            <w:pPr>
              <w:spacing w:after="0"/>
              <w:rPr>
                <w:sz w:val="1"/>
                <w:szCs w:val="1"/>
                <w:color w:val="auto"/>
              </w:rPr>
            </w:pPr>
          </w:p>
        </w:tc>
      </w:tr>
      <w:tr>
        <w:trPr>
          <w:trHeight w:val="169"/>
        </w:trPr>
        <w:tc>
          <w:tcPr>
            <w:tcW w:w="1420" w:type="dxa"/>
            <w:vAlign w:val="bottom"/>
          </w:tcPr>
          <w:p>
            <w:pPr>
              <w:spacing w:after="0"/>
              <w:rPr>
                <w:sz w:val="14"/>
                <w:szCs w:val="14"/>
                <w:color w:val="auto"/>
              </w:rPr>
            </w:pPr>
          </w:p>
        </w:tc>
        <w:tc>
          <w:tcPr>
            <w:tcW w:w="7560" w:type="dxa"/>
            <w:vAlign w:val="bottom"/>
            <w:tcBorders>
              <w:top w:val="single" w:sz="8" w:color="0000EE"/>
              <w:bottom w:val="single" w:sz="8" w:color="0000EE"/>
            </w:tcBorders>
            <w:gridSpan w:val="14"/>
          </w:tcPr>
          <w:p>
            <w:pPr>
              <w:spacing w:after="0" w:line="169"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Income Property, OP, LP, Alpine Income Property Trust, Inc., the other Guarantors from time to time</w:t>
              </w:r>
            </w:hyperlink>
          </w:p>
        </w:tc>
        <w:tc>
          <w:tcPr>
            <w:tcW w:w="40" w:type="dxa"/>
            <w:vAlign w:val="bottom"/>
            <w:tcBorders>
              <w:bottom w:val="single" w:sz="8" w:color="0000EE"/>
            </w:tcBorders>
            <w:gridSpan w:val="2"/>
          </w:tcPr>
          <w:p>
            <w:pPr>
              <w:spacing w:after="0"/>
              <w:rPr>
                <w:sz w:val="14"/>
                <w:szCs w:val="14"/>
                <w:color w:val="auto"/>
              </w:rPr>
            </w:pPr>
          </w:p>
        </w:tc>
        <w:tc>
          <w:tcPr>
            <w:tcW w:w="40" w:type="dxa"/>
            <w:vAlign w:val="bottom"/>
            <w:tcBorders>
              <w:bottom w:val="single" w:sz="8" w:color="0000EE"/>
            </w:tcBorders>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20" w:type="dxa"/>
            <w:vAlign w:val="bottom"/>
          </w:tcPr>
          <w:p>
            <w:pPr>
              <w:spacing w:after="0"/>
              <w:rPr>
                <w:sz w:val="14"/>
                <w:szCs w:val="14"/>
                <w:color w:val="auto"/>
              </w:rPr>
            </w:pPr>
          </w:p>
        </w:tc>
        <w:tc>
          <w:tcPr>
            <w:tcW w:w="7640" w:type="dxa"/>
            <w:vAlign w:val="bottom"/>
            <w:gridSpan w:val="18"/>
          </w:tcPr>
          <w:p>
            <w:pPr>
              <w:spacing w:after="0" w:line="169"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parties thereto, Truist Bank, N.A., and certain other lenders named therein (incorporated by reference to</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20" w:type="dxa"/>
            <w:vAlign w:val="bottom"/>
          </w:tcPr>
          <w:p>
            <w:pPr>
              <w:spacing w:after="0"/>
              <w:rPr>
                <w:sz w:val="14"/>
                <w:szCs w:val="14"/>
                <w:color w:val="auto"/>
              </w:rPr>
            </w:pPr>
          </w:p>
        </w:tc>
        <w:tc>
          <w:tcPr>
            <w:tcW w:w="6120" w:type="dxa"/>
            <w:vAlign w:val="bottom"/>
            <w:tcBorders>
              <w:top w:val="single" w:sz="8" w:color="0000EE"/>
              <w:bottom w:val="single" w:sz="8" w:color="0000EE"/>
            </w:tcBorders>
            <w:gridSpan w:val="9"/>
          </w:tcPr>
          <w:p>
            <w:pPr>
              <w:spacing w:after="0" w:line="169"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Exhibit 10.2 to the Company’s Current Report on Form 8-K filed on April 18, 2022).</w:t>
              </w:r>
            </w:hyperlink>
          </w:p>
        </w:tc>
        <w:tc>
          <w:tcPr>
            <w:tcW w:w="1480" w:type="dxa"/>
            <w:vAlign w:val="bottom"/>
            <w:tcBorders>
              <w:top w:val="single" w:sz="8" w:color="0000EE"/>
            </w:tcBorders>
            <w:gridSpan w:val="7"/>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10.2</w:t>
            </w:r>
          </w:p>
        </w:tc>
        <w:tc>
          <w:tcPr>
            <w:tcW w:w="7660" w:type="dxa"/>
            <w:vAlign w:val="bottom"/>
            <w:gridSpan w:val="19"/>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Amendment, Increase and Joinder to Credit Agreement, dated as of April 14, 2022, among Alpine</w:t>
              </w:r>
            </w:hyperlink>
          </w:p>
        </w:tc>
        <w:tc>
          <w:tcPr>
            <w:tcW w:w="0" w:type="dxa"/>
            <w:vAlign w:val="bottom"/>
          </w:tcPr>
          <w:p>
            <w:pPr>
              <w:spacing w:after="0"/>
              <w:rPr>
                <w:sz w:val="1"/>
                <w:szCs w:val="1"/>
                <w:color w:val="auto"/>
              </w:rPr>
            </w:pPr>
          </w:p>
        </w:tc>
      </w:tr>
      <w:tr>
        <w:trPr>
          <w:trHeight w:val="169"/>
        </w:trPr>
        <w:tc>
          <w:tcPr>
            <w:tcW w:w="1420" w:type="dxa"/>
            <w:vAlign w:val="bottom"/>
          </w:tcPr>
          <w:p>
            <w:pPr>
              <w:spacing w:after="0"/>
              <w:rPr>
                <w:sz w:val="14"/>
                <w:szCs w:val="14"/>
                <w:color w:val="auto"/>
              </w:rPr>
            </w:pPr>
          </w:p>
        </w:tc>
        <w:tc>
          <w:tcPr>
            <w:tcW w:w="7560" w:type="dxa"/>
            <w:vAlign w:val="bottom"/>
            <w:tcBorders>
              <w:top w:val="single" w:sz="8" w:color="0000EE"/>
            </w:tcBorders>
            <w:gridSpan w:val="14"/>
          </w:tcPr>
          <w:p>
            <w:pPr>
              <w:spacing w:after="0" w:line="169"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Income Property, OP, LP, Alpine Income Property Trust, Inc., the other Guarantors from time to time</w:t>
              </w:r>
            </w:hyperlink>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20" w:type="dxa"/>
            <w:vAlign w:val="bottom"/>
          </w:tcPr>
          <w:p>
            <w:pPr>
              <w:spacing w:after="0"/>
              <w:rPr>
                <w:sz w:val="14"/>
                <w:szCs w:val="14"/>
                <w:color w:val="auto"/>
              </w:rPr>
            </w:pPr>
          </w:p>
        </w:tc>
        <w:tc>
          <w:tcPr>
            <w:tcW w:w="7640" w:type="dxa"/>
            <w:vAlign w:val="bottom"/>
            <w:tcBorders>
              <w:top w:val="single" w:sz="8" w:color="0000EE"/>
            </w:tcBorders>
            <w:gridSpan w:val="18"/>
          </w:tcPr>
          <w:p>
            <w:pPr>
              <w:spacing w:after="0" w:line="169"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parties thereto, the Lenders from time to time parties thereto, and KeyBank National Association</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20" w:type="dxa"/>
            <w:vAlign w:val="bottom"/>
          </w:tcPr>
          <w:p>
            <w:pPr>
              <w:spacing w:after="0"/>
              <w:rPr>
                <w:sz w:val="14"/>
                <w:szCs w:val="14"/>
                <w:color w:val="auto"/>
              </w:rPr>
            </w:pPr>
          </w:p>
        </w:tc>
        <w:tc>
          <w:tcPr>
            <w:tcW w:w="7500" w:type="dxa"/>
            <w:vAlign w:val="bottom"/>
            <w:tcBorders>
              <w:top w:val="single" w:sz="8" w:color="0000EE"/>
              <w:bottom w:val="single" w:sz="8" w:color="0000EE"/>
            </w:tcBorders>
            <w:gridSpan w:val="11"/>
          </w:tcPr>
          <w:p>
            <w:pPr>
              <w:spacing w:after="0" w:line="169"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(incorporated by reference to Exhibit 10.4 to the Company’s Current Report on Form 8-K filed on April</w:t>
              </w:r>
            </w:hyperlink>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720" w:type="dxa"/>
            <w:vAlign w:val="bottom"/>
            <w:tcBorders>
              <w:bottom w:val="single" w:sz="8" w:color="0000EE"/>
            </w:tcBorders>
          </w:tcPr>
          <w:p>
            <w:pPr>
              <w:spacing w:after="0" w:line="182" w:lineRule="exact"/>
              <w:rPr>
                <w:rFonts w:ascii="Times New Roman" w:cs="Times New Roman" w:eastAsia="Times New Roman" w:hAnsi="Times New Roman"/>
                <w:sz w:val="18"/>
                <w:szCs w:val="18"/>
                <w:color w:val="0000EE"/>
                <w:w w:val="95"/>
              </w:rPr>
            </w:pPr>
            <w:hyperlink r:id="rId59">
              <w:r>
                <w:rPr>
                  <w:rFonts w:ascii="Times New Roman" w:cs="Times New Roman" w:eastAsia="Times New Roman" w:hAnsi="Times New Roman"/>
                  <w:sz w:val="18"/>
                  <w:szCs w:val="18"/>
                  <w:color w:val="0000EE"/>
                  <w:w w:val="95"/>
                </w:rPr>
                <w:t>18, 2022).</w:t>
              </w:r>
            </w:hyperlink>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31.1</w:t>
            </w:r>
          </w:p>
        </w:tc>
        <w:tc>
          <w:tcPr>
            <w:tcW w:w="7660" w:type="dxa"/>
            <w:vAlign w:val="bottom"/>
            <w:gridSpan w:val="19"/>
          </w:tcPr>
          <w:p>
            <w:pPr>
              <w:spacing w:after="0"/>
              <w:rPr>
                <w:sz w:val="20"/>
                <w:szCs w:val="20"/>
                <w:color w:val="auto"/>
              </w:rPr>
            </w:pPr>
            <w:r>
              <w:rPr>
                <w:rFonts w:ascii="Times New Roman" w:cs="Times New Roman" w:eastAsia="Times New Roman" w:hAnsi="Times New Roman"/>
                <w:sz w:val="17"/>
                <w:szCs w:val="17"/>
                <w:color w:val="0000EE"/>
              </w:rPr>
              <w:t>Certification filed pursuant to Section 302 of the Sarbanes-Oxley Act of 2002.</w:t>
            </w:r>
          </w:p>
        </w:tc>
        <w:tc>
          <w:tcPr>
            <w:tcW w:w="0" w:type="dxa"/>
            <w:vAlign w:val="bottom"/>
          </w:tcPr>
          <w:p>
            <w:pPr>
              <w:spacing w:after="0"/>
              <w:rPr>
                <w:sz w:val="1"/>
                <w:szCs w:val="1"/>
                <w:color w:val="auto"/>
              </w:rPr>
            </w:pPr>
          </w:p>
        </w:tc>
      </w:tr>
      <w:tr>
        <w:trPr>
          <w:trHeight w:val="25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31.2</w:t>
            </w:r>
          </w:p>
        </w:tc>
        <w:tc>
          <w:tcPr>
            <w:tcW w:w="51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Certification filed pursuant to Section 302 of Sarbanes-Oxley Act of 2002.</w:t>
            </w:r>
          </w:p>
        </w:tc>
        <w:tc>
          <w:tcPr>
            <w:tcW w:w="240" w:type="dxa"/>
            <w:vAlign w:val="bottom"/>
            <w:tcBorders>
              <w:top w:val="single" w:sz="8" w:color="0000EE"/>
            </w:tcBorders>
          </w:tcPr>
          <w:p>
            <w:pPr>
              <w:spacing w:after="0"/>
              <w:rPr>
                <w:sz w:val="21"/>
                <w:szCs w:val="21"/>
                <w:color w:val="auto"/>
              </w:rPr>
            </w:pPr>
          </w:p>
        </w:tc>
        <w:tc>
          <w:tcPr>
            <w:tcW w:w="232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32.1</w:t>
            </w:r>
          </w:p>
        </w:tc>
        <w:tc>
          <w:tcPr>
            <w:tcW w:w="7660" w:type="dxa"/>
            <w:vAlign w:val="bottom"/>
            <w:gridSpan w:val="19"/>
          </w:tcPr>
          <w:p>
            <w:pPr>
              <w:spacing w:after="0"/>
              <w:rPr>
                <w:sz w:val="20"/>
                <w:szCs w:val="20"/>
                <w:color w:val="auto"/>
              </w:rPr>
            </w:pPr>
            <w:r>
              <w:rPr>
                <w:rFonts w:ascii="Times New Roman" w:cs="Times New Roman" w:eastAsia="Times New Roman" w:hAnsi="Times New Roman"/>
                <w:sz w:val="17"/>
                <w:szCs w:val="17"/>
                <w:color w:val="0000EE"/>
              </w:rPr>
              <w:t>Certification furnished pursuant to 18 U.S.C. Section 1350, as Adopted pursuant to Section 906 of the</w:t>
            </w: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7540" w:type="dxa"/>
            <w:vAlign w:val="bottom"/>
            <w:tcBorders>
              <w:top w:val="single" w:sz="8" w:color="0000EE"/>
            </w:tcBorders>
            <w:gridSpan w:val="13"/>
          </w:tcPr>
          <w:p>
            <w:pPr>
              <w:spacing w:after="0" w:line="155" w:lineRule="exact"/>
              <w:rPr>
                <w:sz w:val="20"/>
                <w:szCs w:val="20"/>
                <w:color w:val="auto"/>
              </w:rPr>
            </w:pPr>
            <w:r>
              <w:rPr>
                <w:rFonts w:ascii="Times New Roman" w:cs="Times New Roman" w:eastAsia="Times New Roman" w:hAnsi="Times New Roman"/>
                <w:sz w:val="17"/>
                <w:szCs w:val="17"/>
                <w:color w:val="0000EE"/>
              </w:rPr>
              <w:t>Sarbanes-Oxley Act of 2002.</w:t>
            </w: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68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32.2</w:t>
            </w:r>
          </w:p>
        </w:tc>
        <w:tc>
          <w:tcPr>
            <w:tcW w:w="7660" w:type="dxa"/>
            <w:vAlign w:val="bottom"/>
            <w:gridSpan w:val="19"/>
          </w:tcPr>
          <w:p>
            <w:pPr>
              <w:spacing w:after="0"/>
              <w:rPr>
                <w:sz w:val="20"/>
                <w:szCs w:val="20"/>
                <w:color w:val="auto"/>
              </w:rPr>
            </w:pPr>
            <w:r>
              <w:rPr>
                <w:rFonts w:ascii="Times New Roman" w:cs="Times New Roman" w:eastAsia="Times New Roman" w:hAnsi="Times New Roman"/>
                <w:sz w:val="17"/>
                <w:szCs w:val="17"/>
                <w:color w:val="0000EE"/>
              </w:rPr>
              <w:t>Certification furnished pursuant to 18 U.S.C. Section 1350, as Adopted pursuant to Section 906 of the</w:t>
            </w: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7540" w:type="dxa"/>
            <w:vAlign w:val="bottom"/>
            <w:tcBorders>
              <w:top w:val="single" w:sz="8" w:color="0000EE"/>
            </w:tcBorders>
            <w:gridSpan w:val="13"/>
          </w:tcPr>
          <w:p>
            <w:pPr>
              <w:spacing w:after="0" w:line="155" w:lineRule="exact"/>
              <w:rPr>
                <w:sz w:val="20"/>
                <w:szCs w:val="20"/>
                <w:color w:val="auto"/>
              </w:rPr>
            </w:pPr>
            <w:r>
              <w:rPr>
                <w:rFonts w:ascii="Times New Roman" w:cs="Times New Roman" w:eastAsia="Times New Roman" w:hAnsi="Times New Roman"/>
                <w:sz w:val="17"/>
                <w:szCs w:val="17"/>
                <w:color w:val="0000EE"/>
              </w:rPr>
              <w:t>Sarbanes-Oxley Act of 2002.</w:t>
            </w: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68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101.INS</w:t>
            </w:r>
          </w:p>
        </w:tc>
        <w:tc>
          <w:tcPr>
            <w:tcW w:w="766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0" w:type="dxa"/>
            <w:vAlign w:val="bottom"/>
          </w:tcPr>
          <w:p>
            <w:pPr>
              <w:spacing w:after="0"/>
              <w:rPr>
                <w:sz w:val="1"/>
                <w:szCs w:val="1"/>
                <w:color w:val="auto"/>
              </w:rPr>
            </w:pPr>
          </w:p>
        </w:tc>
      </w:tr>
      <w:tr>
        <w:trPr>
          <w:trHeight w:val="27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101.SCH</w:t>
            </w:r>
          </w:p>
        </w:tc>
        <w:tc>
          <w:tcPr>
            <w:tcW w:w="766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0" w:type="dxa"/>
            <w:vAlign w:val="bottom"/>
          </w:tcPr>
          <w:p>
            <w:pPr>
              <w:spacing w:after="0"/>
              <w:rPr>
                <w:sz w:val="1"/>
                <w:szCs w:val="1"/>
                <w:color w:val="auto"/>
              </w:rPr>
            </w:pPr>
          </w:p>
        </w:tc>
      </w:tr>
      <w:tr>
        <w:trPr>
          <w:trHeight w:val="27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101.CAL</w:t>
            </w:r>
          </w:p>
        </w:tc>
        <w:tc>
          <w:tcPr>
            <w:tcW w:w="766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7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101.DEF</w:t>
            </w:r>
          </w:p>
        </w:tc>
        <w:tc>
          <w:tcPr>
            <w:tcW w:w="766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Definition Linkbase Document</w:t>
            </w:r>
          </w:p>
        </w:tc>
        <w:tc>
          <w:tcPr>
            <w:tcW w:w="0" w:type="dxa"/>
            <w:vAlign w:val="bottom"/>
          </w:tcPr>
          <w:p>
            <w:pPr>
              <w:spacing w:after="0"/>
              <w:rPr>
                <w:sz w:val="1"/>
                <w:szCs w:val="1"/>
                <w:color w:val="auto"/>
              </w:rPr>
            </w:pPr>
          </w:p>
        </w:tc>
      </w:tr>
      <w:tr>
        <w:trPr>
          <w:trHeight w:val="27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101.LAB</w:t>
            </w:r>
          </w:p>
        </w:tc>
        <w:tc>
          <w:tcPr>
            <w:tcW w:w="766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7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101.PRE</w:t>
            </w:r>
          </w:p>
        </w:tc>
        <w:tc>
          <w:tcPr>
            <w:tcW w:w="766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284"/>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104</w:t>
            </w:r>
          </w:p>
        </w:tc>
        <w:tc>
          <w:tcPr>
            <w:tcW w:w="766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c>
          <w:tcPr>
            <w:tcW w:w="0" w:type="dxa"/>
            <w:vAlign w:val="bottom"/>
          </w:tcPr>
          <w:p>
            <w:pPr>
              <w:spacing w:after="0"/>
              <w:rPr>
                <w:sz w:val="1"/>
                <w:szCs w:val="1"/>
                <w:color w:val="auto"/>
              </w:rPr>
            </w:pPr>
          </w:p>
        </w:tc>
      </w:tr>
      <w:tr>
        <w:trPr>
          <w:trHeight w:val="83"/>
        </w:trPr>
        <w:tc>
          <w:tcPr>
            <w:tcW w:w="14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(Registrant)</w:t>
      </w:r>
    </w:p>
    <w:p>
      <w:pPr>
        <w:spacing w:after="0" w:line="234" w:lineRule="exact"/>
        <w:rPr>
          <w:sz w:val="20"/>
          <w:szCs w:val="20"/>
          <w:color w:val="auto"/>
        </w:rPr>
      </w:pPr>
    </w:p>
    <w:p>
      <w:pPr>
        <w:ind w:left="60"/>
        <w:spacing w:after="0"/>
        <w:tabs>
          <w:tab w:leader="none" w:pos="4620" w:val="left"/>
        </w:tabs>
        <w:rPr>
          <w:sz w:val="20"/>
          <w:szCs w:val="20"/>
          <w:color w:val="auto"/>
        </w:rPr>
      </w:pPr>
      <w:r>
        <w:rPr>
          <w:rFonts w:ascii="Times New Roman" w:cs="Times New Roman" w:eastAsia="Times New Roman" w:hAnsi="Times New Roman"/>
          <w:sz w:val="18"/>
          <w:szCs w:val="18"/>
          <w:color w:val="auto"/>
        </w:rPr>
        <w:t>July 21, 2022</w:t>
      </w:r>
      <w:r>
        <w:rPr>
          <w:sz w:val="20"/>
          <w:szCs w:val="20"/>
          <w:color w:val="auto"/>
        </w:rPr>
        <w:tab/>
      </w:r>
      <w:r>
        <w:rPr>
          <w:rFonts w:ascii="Times New Roman" w:cs="Times New Roman" w:eastAsia="Times New Roman" w:hAnsi="Times New Roman"/>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John P. Albright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ind w:left="60"/>
        <w:spacing w:after="0"/>
        <w:tabs>
          <w:tab w:leader="none" w:pos="4620" w:val="left"/>
        </w:tabs>
        <w:rPr>
          <w:sz w:val="20"/>
          <w:szCs w:val="20"/>
          <w:color w:val="auto"/>
        </w:rPr>
      </w:pPr>
      <w:r>
        <w:rPr>
          <w:rFonts w:ascii="Times New Roman" w:cs="Times New Roman" w:eastAsia="Times New Roman" w:hAnsi="Times New Roman"/>
          <w:sz w:val="18"/>
          <w:szCs w:val="18"/>
          <w:color w:val="auto"/>
        </w:rPr>
        <w:t>July 21, 2022</w:t>
      </w:r>
      <w:r>
        <w:rPr>
          <w:sz w:val="20"/>
          <w:szCs w:val="20"/>
          <w:color w:val="auto"/>
        </w:rPr>
        <w:tab/>
      </w:r>
      <w:r>
        <w:rPr>
          <w:rFonts w:ascii="Times New Roman" w:cs="Times New Roman" w:eastAsia="Times New Roman" w:hAnsi="Times New Roman"/>
          <w:sz w:val="18"/>
          <w:szCs w:val="18"/>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Matthew M. Partridge, Senior Vice President and</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34" w:lineRule="exact"/>
        <w:rPr>
          <w:sz w:val="20"/>
          <w:szCs w:val="20"/>
          <w:color w:val="auto"/>
        </w:rPr>
      </w:pPr>
    </w:p>
    <w:p>
      <w:pPr>
        <w:ind w:left="60"/>
        <w:spacing w:after="0"/>
        <w:tabs>
          <w:tab w:leader="none" w:pos="4620" w:val="left"/>
        </w:tabs>
        <w:rPr>
          <w:sz w:val="20"/>
          <w:szCs w:val="20"/>
          <w:color w:val="auto"/>
        </w:rPr>
      </w:pPr>
      <w:r>
        <w:rPr>
          <w:rFonts w:ascii="Times New Roman" w:cs="Times New Roman" w:eastAsia="Times New Roman" w:hAnsi="Times New Roman"/>
          <w:sz w:val="18"/>
          <w:szCs w:val="18"/>
          <w:color w:val="auto"/>
        </w:rPr>
        <w:t>July 21, 2022</w:t>
      </w:r>
      <w:r>
        <w:rPr>
          <w:sz w:val="20"/>
          <w:szCs w:val="20"/>
          <w:color w:val="auto"/>
        </w:rPr>
        <w:tab/>
      </w:r>
      <w:r>
        <w:rPr>
          <w:rFonts w:ascii="Times New Roman" w:cs="Times New Roman" w:eastAsia="Times New Roman" w:hAnsi="Times New Roman"/>
          <w:sz w:val="18"/>
          <w:szCs w:val="18"/>
          <w:color w:val="auto"/>
        </w:rPr>
        <w:t>By:  /s/ Lisa M. Vorakoun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Lisa M. Vorakoun, Vice President and</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Chief Accounting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John P. Albright, certify that:</w:t>
      </w:r>
    </w:p>
    <w:p>
      <w:pPr>
        <w:spacing w:after="0" w:line="185" w:lineRule="exact"/>
        <w:rPr>
          <w:sz w:val="20"/>
          <w:szCs w:val="20"/>
          <w:color w:val="auto"/>
        </w:rPr>
      </w:pPr>
    </w:p>
    <w:p>
      <w:pPr>
        <w:ind w:left="700" w:hanging="650"/>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Alpine Income Property Trust, Inc.;</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80" w:right="219" w:hanging="658"/>
        <w:spacing w:after="0" w:line="261" w:lineRule="auto"/>
        <w:tabs>
          <w:tab w:leader="none" w:pos="16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1680" w:right="319" w:hanging="658"/>
        <w:spacing w:after="0" w:line="266" w:lineRule="auto"/>
        <w:tabs>
          <w:tab w:leader="none" w:pos="16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80" w:right="359" w:hanging="658"/>
        <w:spacing w:after="0" w:line="266" w:lineRule="auto"/>
        <w:tabs>
          <w:tab w:leader="none" w:pos="16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680" w:right="579" w:hanging="658"/>
        <w:spacing w:after="0" w:line="282" w:lineRule="auto"/>
        <w:tabs>
          <w:tab w:leader="none" w:pos="16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July 21, 2022</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27171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John P. Albright</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9" w:name="page40"/>
    <w:bookmarkEnd w:id="3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Matthew M. Partridge, certify that:</w:t>
      </w:r>
    </w:p>
    <w:p>
      <w:pPr>
        <w:spacing w:after="0" w:line="185" w:lineRule="exact"/>
        <w:rPr>
          <w:sz w:val="20"/>
          <w:szCs w:val="20"/>
          <w:color w:val="auto"/>
        </w:rPr>
      </w:pPr>
    </w:p>
    <w:p>
      <w:pPr>
        <w:ind w:left="700" w:hanging="650"/>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Alpine Income Property Trust, Inc.;</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80" w:right="219" w:hanging="658"/>
        <w:spacing w:after="0" w:line="261" w:lineRule="auto"/>
        <w:tabs>
          <w:tab w:leader="none" w:pos="16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1680" w:right="319" w:hanging="658"/>
        <w:spacing w:after="0" w:line="266" w:lineRule="auto"/>
        <w:tabs>
          <w:tab w:leader="none" w:pos="16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80" w:right="359" w:hanging="658"/>
        <w:spacing w:after="0" w:line="266" w:lineRule="auto"/>
        <w:tabs>
          <w:tab w:leader="none" w:pos="16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680" w:right="579" w:hanging="658"/>
        <w:spacing w:after="0" w:line="282" w:lineRule="auto"/>
        <w:tabs>
          <w:tab w:leader="none" w:pos="16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July 21, 2022</w:t>
      </w:r>
    </w:p>
    <w:p>
      <w:pPr>
        <w:spacing w:after="0" w:line="198" w:lineRule="exact"/>
        <w:rPr>
          <w:sz w:val="20"/>
          <w:szCs w:val="20"/>
          <w:color w:val="auto"/>
        </w:rPr>
      </w:pPr>
    </w:p>
    <w:p>
      <w:pPr>
        <w:ind w:left="60"/>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7000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Matthew M. Partridge, Senior Vice President,</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0" w:name="page41"/>
    <w:bookmarkEnd w:id="4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35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Alpine Income Property Trust, Inc. (the “Company”) on Form 10-Q for the period ended June 30, 2022,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180" w:lineRule="exact"/>
        <w:rPr>
          <w:sz w:val="20"/>
          <w:szCs w:val="20"/>
          <w:color w:val="auto"/>
        </w:rPr>
      </w:pPr>
    </w:p>
    <w:p>
      <w:pPr>
        <w:ind w:left="1340" w:right="359" w:hanging="642"/>
        <w:spacing w:after="0" w:line="282" w:lineRule="auto"/>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2"/>
        <w:spacing w:after="0" w:line="282" w:lineRule="auto"/>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July 21, 2022</w:t>
      </w:r>
    </w:p>
    <w:p>
      <w:pPr>
        <w:spacing w:after="0" w:line="239"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17145</wp:posOffset>
            </wp:positionV>
            <wp:extent cx="26917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John P. Albright</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1" w:name="page42"/>
    <w:bookmarkEnd w:id="4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Alpine Income Property Trust, Inc. (the “Company”) on Form 10-Q for the period ended June 30, 2022, as filed with the Securities and Exchange Commission on the date hereof (the “Report”), I, Matthew M. Partridge, Senior Vice President, Chief Financial Officer, and Treasurer of the Company, certify, pursuant to 18 U.S.C. Section 1350, as adopted pursuant to Section 906 of the Sarbanes-Oxley Act of 2002, that:</w:t>
      </w:r>
    </w:p>
    <w:p>
      <w:pPr>
        <w:spacing w:after="0" w:line="180" w:lineRule="exact"/>
        <w:rPr>
          <w:sz w:val="20"/>
          <w:szCs w:val="20"/>
          <w:color w:val="auto"/>
        </w:rPr>
      </w:pPr>
    </w:p>
    <w:p>
      <w:pPr>
        <w:ind w:left="1340" w:right="359" w:hanging="642"/>
        <w:spacing w:after="0" w:line="282" w:lineRule="auto"/>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2"/>
        <w:spacing w:after="0" w:line="282" w:lineRule="auto"/>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July 21, 2022</w:t>
      </w:r>
    </w:p>
    <w:p>
      <w:pPr>
        <w:spacing w:after="0" w:line="239" w:lineRule="exact"/>
        <w:rPr>
          <w:sz w:val="20"/>
          <w:szCs w:val="20"/>
          <w:color w:val="auto"/>
        </w:rPr>
      </w:pPr>
    </w:p>
    <w:p>
      <w:pPr>
        <w:ind w:left="60"/>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17145</wp:posOffset>
            </wp:positionV>
            <wp:extent cx="2674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Matthew M. Partridge, Senior Vice President,</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55" Type="http://schemas.openxmlformats.org/officeDocument/2006/relationships/hyperlink" Target="https://www.sec.gov/Archives/edgar/data/0001786117/000155837019011294/ex-3d1.htm" TargetMode="External"/><Relationship Id="rId56" Type="http://schemas.openxmlformats.org/officeDocument/2006/relationships/hyperlink" Target="https://www.sec.gov/Archives/edgar/data/1786117/000155837021009093/tmb-20210721xex3d1.htm" TargetMode="External"/><Relationship Id="rId57" Type="http://schemas.openxmlformats.org/officeDocument/2006/relationships/hyperlink" Target="https://www.sec.gov/Archives/edgar/data/0001786117/000119312519277917/d793798dex41.htm" TargetMode="External"/><Relationship Id="rId58" Type="http://schemas.openxmlformats.org/officeDocument/2006/relationships/hyperlink" Target="https://www.sec.gov/Archives/edgar/data/1786117/000155837022005535/pine-20220414xex10d2.htm" TargetMode="External"/><Relationship Id="rId59" Type="http://schemas.openxmlformats.org/officeDocument/2006/relationships/hyperlink" Target="https://www.sec.gov/Archives/edgar/data/1786117/000155837022005535/pine-20220414xex10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2022-07-21T15:28:40Z</dcterms:created>
  <dcterms:modified xsi:type="dcterms:W3CDTF">2022-07-21T15:28:40Z</dcterms:modified>
</cp:coreProperties>
</file>