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pine-20260930x10q.htm"/>
        <w:bookmarkStart w:id="1" w:name="kspine2026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240"/>
        <w:ind w:left="0" w:right="0" w:hanging="0"/>
        <w:jc w:val="center"/>
        <w:rPr/>
      </w:pPr>
      <w:r>
        <w:rPr/>
        <w:t>​</w:t>
      </w:r>
    </w:p>
    <w:p>
      <w:pPr>
        <w:pStyle w:val="TextBody"/>
        <w:pBdr>
          <w:bottom w:val="single" w:sz="8"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ab5a9f75_569e_48ab_b43f_b3c31095e93d"/>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
        <w:ind w:left="0" w:right="0" w:hanging="0"/>
        <w:jc w:val="center"/>
        <w:rPr>
          <w:rFonts w:ascii="Times New Roman;Times;serif" w:hAnsi="Times New Roman;Times;serif"/>
          <w:b/>
          <w:sz w:val="32"/>
        </w:rPr>
      </w:pPr>
      <w:r>
        <w:rPr>
          <w:rFonts w:ascii="Times New Roman;Times;serif" w:hAnsi="Times New Roman;Times;serif"/>
          <w:b/>
          <w:sz w:val="32"/>
        </w:rPr>
        <w:t>FORM 10-Q</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September 30, 2026</w:t>
      </w:r>
    </w:p>
    <w:p>
      <w:pPr>
        <w:pStyle w:val="TextBody"/>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to</w:t>
      </w:r>
      <w:r>
        <w:rPr>
          <w:rFonts w:ascii="Times New Roman;Times;serif" w:hAnsi="Times New Roman;Times;serif"/>
          <w:sz w:val="18"/>
        </w:rPr>
        <w:t>                    </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b/>
          <w:sz w:val="18"/>
        </w:rPr>
        <w:t xml:space="preserve">Commission file number </w:t>
      </w:r>
      <w:r>
        <w:rPr>
          <w:rFonts w:ascii="Times New Roman;Times;serif" w:hAnsi="Times New Roman;Times;serif"/>
          <w:b/>
          <w:sz w:val="20"/>
        </w:rPr>
        <w:t>001-39143</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ALPINE INCOME PROPERTY TRUST, INC.</w:t>
      </w:r>
    </w:p>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NsCYovY_j0m2AVW956Obow_7_2"/>
      <w:bookmarkStart w:id="4" w:name="Tc_HKkXJgWVoU-hVSaFY5OIeg_7_0"/>
      <w:bookmarkStart w:id="5" w:name="Tc_a2GNS7-XXkuTfae0P1f9Qw_6_0"/>
      <w:bookmarkStart w:id="6" w:name="Tc_cd1RLi7MKUGuczCVf0neiQ_5_0"/>
      <w:bookmarkStart w:id="7" w:name="Tc_gqMqaPfAjEqpl0I3ZTC9_Q_3_2"/>
      <w:bookmarkStart w:id="8" w:name="Tc_-2nemIVpFUeB_EDgHyzpDA_3_0"/>
      <w:bookmarkStart w:id="9" w:name="Tc_luEle2BTO0SfEuJJPdW_UA_2_2"/>
      <w:bookmarkStart w:id="10" w:name="Tc_A37VfwvGmkWsrlyjWuAPqQ_2_0"/>
      <w:bookmarkStart w:id="11" w:name="_93973e68_4ee2_4c58_8185_07d6b4cd2256"/>
      <w:bookmarkStart w:id="12" w:name="Tc_NsCYovY_j0m2AVW956Obow_7_2"/>
      <w:bookmarkStart w:id="13" w:name="Tc_HKkXJgWVoU-hVSaFY5OIeg_7_0"/>
      <w:bookmarkStart w:id="14" w:name="Tc_a2GNS7-XXkuTfae0P1f9Qw_6_0"/>
      <w:bookmarkStart w:id="15" w:name="Tc_cd1RLi7MKUGuczCVf0neiQ_5_0"/>
      <w:bookmarkStart w:id="16" w:name="Tc_gqMqaPfAjEqpl0I3ZTC9_Q_3_2"/>
      <w:bookmarkStart w:id="17" w:name="Tc_-2nemIVpFUeB_EDgHyzpDA_3_0"/>
      <w:bookmarkStart w:id="18" w:name="Tc_luEle2BTO0SfEuJJPdW_UA_2_2"/>
      <w:bookmarkStart w:id="19" w:name="Tc_A37VfwvGmkWsrlyjWuAPqQ_2_0"/>
      <w:bookmarkStart w:id="20" w:name="_93973e68_4ee2_4c58_8185_07d6b4cd2256"/>
      <w:bookmarkEnd w:id="12"/>
      <w:bookmarkEnd w:id="13"/>
      <w:bookmarkEnd w:id="14"/>
      <w:bookmarkEnd w:id="15"/>
      <w:bookmarkEnd w:id="16"/>
      <w:bookmarkEnd w:id="17"/>
      <w:bookmarkEnd w:id="18"/>
      <w:bookmarkEnd w:id="19"/>
      <w:bookmarkEnd w:id="20"/>
    </w:p>
    <w:tbl>
      <w:tblPr>
        <w:tblW w:w="4983" w:type="dxa"/>
        <w:jc w:val="left"/>
        <w:tblInd w:w="0" w:type="dxa"/>
        <w:tblLayout w:type="fixed"/>
        <w:tblCellMar>
          <w:top w:w="0" w:type="dxa"/>
          <w:left w:w="0" w:type="dxa"/>
          <w:bottom w:w="0" w:type="dxa"/>
          <w:right w:w="0" w:type="dxa"/>
        </w:tblCellMar>
      </w:tblPr>
      <w:tblGrid>
        <w:gridCol w:w="3076"/>
        <w:gridCol w:w="346"/>
        <w:gridCol w:w="1561"/>
      </w:tblGrid>
      <w:tr>
        <w:trPr/>
        <w:tc>
          <w:tcPr>
            <w:tcW w:w="3076"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240"/>
              <w:ind w:left="0" w:right="0" w:hanging="0"/>
              <w:jc w:val="left"/>
              <w:rPr/>
            </w:pPr>
            <w:r>
              <w:rPr/>
              <w:t>​</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Maryland</w:t>
            </w:r>
          </w:p>
        </w:tc>
        <w:tc>
          <w:tcPr>
            <w:tcW w:w="346" w:type="dxa"/>
            <w:tcBorders/>
            <w:vAlign w:val="center"/>
          </w:tcPr>
          <w:p>
            <w:pPr>
              <w:pStyle w:val="TableContents"/>
              <w:bidi w:val="0"/>
              <w:spacing w:before="0" w:after="0"/>
              <w:ind w:left="0" w:right="0" w:hanging="0"/>
              <w:jc w:val="left"/>
              <w:rPr/>
            </w:pPr>
            <w:r>
              <w:rPr/>
              <w:t>  ​ ​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84-2769895</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tc>
        <w:tc>
          <w:tcPr>
            <w:tcW w:w="34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34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076"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240"/>
              <w:ind w:left="0" w:right="0" w:hanging="0"/>
              <w:jc w:val="center"/>
              <w:rPr/>
            </w:pPr>
            <w:r>
              <w:rPr/>
              <w:t>​</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369 N. New York Avenue, Suite 201</w:t>
            </w:r>
          </w:p>
        </w:tc>
        <w:tc>
          <w:tcPr>
            <w:tcW w:w="34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240"/>
              <w:ind w:left="0" w:right="0" w:hanging="0"/>
              <w:jc w:val="center"/>
              <w:rPr/>
            </w:pPr>
            <w:r>
              <w:rPr/>
              <w:t>​</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Winter Park, Florida</w:t>
            </w:r>
          </w:p>
        </w:tc>
        <w:tc>
          <w:tcPr>
            <w:tcW w:w="34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32789</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34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(407) 904-3324</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before="0" w:after="240"/>
        <w:ind w:left="0" w:right="0" w:hanging="0"/>
        <w:jc w:val="center"/>
        <w:rPr/>
      </w:pPr>
      <w:r>
        <w:rPr/>
        <w:t>​</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1" w:name="Tc_ddjKTqqYdEifoZdMPj2oYw_2_4"/>
      <w:bookmarkStart w:id="22" w:name="Tc_5KlvfvMj4UOH7ae-1_SYdQ_2_2"/>
      <w:bookmarkStart w:id="23" w:name="Tc_cb4cwrR5SUG8L2uJHJFHcg_2_0"/>
      <w:bookmarkStart w:id="24" w:name="_1536ceb9_0241_471b_a216_3fa5ec93ef25"/>
      <w:bookmarkStart w:id="25" w:name="Tc_ddjKTqqYdEifoZdMPj2oYw_2_4"/>
      <w:bookmarkStart w:id="26" w:name="Tc_5KlvfvMj4UOH7ae-1_SYdQ_2_2"/>
      <w:bookmarkStart w:id="27" w:name="Tc_cb4cwrR5SUG8L2uJHJFHcg_2_0"/>
      <w:bookmarkStart w:id="28" w:name="_1536ceb9_0241_471b_a216_3fa5ec93ef25"/>
      <w:bookmarkEnd w:id="25"/>
      <w:bookmarkEnd w:id="26"/>
      <w:bookmarkEnd w:id="27"/>
      <w:bookmarkEnd w:id="28"/>
    </w:p>
    <w:tbl>
      <w:tblPr>
        <w:tblW w:w="10205" w:type="dxa"/>
        <w:jc w:val="left"/>
        <w:tblInd w:w="0" w:type="dxa"/>
        <w:tblLayout w:type="fixed"/>
        <w:tblCellMar>
          <w:top w:w="0" w:type="dxa"/>
          <w:left w:w="0" w:type="dxa"/>
          <w:bottom w:w="0" w:type="dxa"/>
          <w:right w:w="0" w:type="dxa"/>
        </w:tblCellMar>
      </w:tblPr>
      <w:tblGrid>
        <w:gridCol w:w="4871"/>
        <w:gridCol w:w="346"/>
        <w:gridCol w:w="1123"/>
        <w:gridCol w:w="346"/>
        <w:gridCol w:w="3519"/>
      </w:tblGrid>
      <w:tr>
        <w:trPr/>
        <w:tc>
          <w:tcPr>
            <w:tcW w:w="48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519" w:type="dxa"/>
            <w:tcBorders/>
            <w:vAlign w:val="center"/>
          </w:tcPr>
          <w:p>
            <w:pPr>
              <w:pStyle w:val="TableContents"/>
              <w:bidi w:val="0"/>
              <w:spacing w:before="0" w:after="283"/>
              <w:ind w:left="0" w:right="0" w:hanging="0"/>
              <w:jc w:val="left"/>
              <w:rPr>
                <w:sz w:val="4"/>
                <w:szCs w:val="4"/>
              </w:rPr>
            </w:pPr>
            <w:r>
              <w:rPr>
                <w:sz w:val="4"/>
                <w:szCs w:val="4"/>
              </w:rPr>
            </w:r>
          </w:p>
        </w:tc>
      </w:tr>
      <w:tr>
        <w:trPr/>
        <w:tc>
          <w:tcPr>
            <w:tcW w:w="48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519" w:type="dxa"/>
            <w:tcBorders/>
            <w:vAlign w:val="center"/>
          </w:tcPr>
          <w:p>
            <w:pPr>
              <w:pStyle w:val="TableContents"/>
              <w:bidi w:val="0"/>
              <w:spacing w:before="0" w:after="283"/>
              <w:ind w:left="0" w:right="0" w:hanging="0"/>
              <w:jc w:val="left"/>
              <w:rPr>
                <w:sz w:val="4"/>
                <w:szCs w:val="4"/>
              </w:rPr>
            </w:pPr>
            <w:r>
              <w:rPr>
                <w:sz w:val="4"/>
                <w:szCs w:val="4"/>
              </w:rPr>
            </w:r>
          </w:p>
        </w:tc>
      </w:tr>
      <w:tr>
        <w:trPr/>
        <w:tc>
          <w:tcPr>
            <w:tcW w:w="4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vAlign w:val="center"/>
          </w:tcPr>
          <w:p>
            <w:pPr>
              <w:pStyle w:val="TableContents"/>
              <w:bidi w:val="0"/>
              <w:spacing w:before="0" w:after="0"/>
              <w:ind w:left="0" w:right="0" w:hanging="0"/>
              <w:jc w:val="center"/>
              <w:rPr/>
            </w:pPr>
            <w:r>
              <w:rPr/>
              <w:t>  ​ ​ ​</w:t>
            </w:r>
          </w:p>
        </w:tc>
        <w:tc>
          <w:tcPr>
            <w:tcW w:w="11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35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4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$0.01 PAR VALUE</w:t>
            </w:r>
          </w:p>
        </w:tc>
        <w:tc>
          <w:tcPr>
            <w:tcW w:w="346" w:type="dxa"/>
            <w:tcBorders/>
            <w:vAlign w:val="center"/>
          </w:tcPr>
          <w:p>
            <w:pPr>
              <w:pStyle w:val="TableContents"/>
              <w:bidi w:val="0"/>
              <w:spacing w:before="0" w:after="240"/>
              <w:ind w:left="0" w:right="0" w:hanging="0"/>
              <w:jc w:val="left"/>
              <w:rPr/>
            </w:pPr>
            <w:r>
              <w:rPr/>
              <w:t>​</w:t>
            </w:r>
          </w:p>
        </w:tc>
        <w:tc>
          <w:tcPr>
            <w:tcW w:w="1123"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PINE</w:t>
            </w:r>
          </w:p>
        </w:tc>
        <w:tc>
          <w:tcPr>
            <w:tcW w:w="346" w:type="dxa"/>
            <w:tcBorders/>
            <w:vAlign w:val="center"/>
          </w:tcPr>
          <w:p>
            <w:pPr>
              <w:pStyle w:val="TableContents"/>
              <w:bidi w:val="0"/>
              <w:spacing w:before="0" w:after="240"/>
              <w:ind w:left="0" w:right="0" w:hanging="0"/>
              <w:jc w:val="left"/>
              <w:rPr/>
            </w:pPr>
            <w:r>
              <w:rPr/>
              <w:t>​</w:t>
            </w:r>
          </w:p>
        </w:tc>
        <w:tc>
          <w:tcPr>
            <w:tcW w:w="351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r>
        <w:trPr/>
        <w:tc>
          <w:tcPr>
            <w:tcW w:w="4871"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240"/>
              <w:ind w:left="0" w:right="0" w:hanging="0"/>
              <w:jc w:val="left"/>
              <w:rPr/>
            </w:pPr>
            <w:r>
              <w:rPr/>
              <w:t>​</w:t>
            </w:r>
          </w:p>
        </w:tc>
        <w:tc>
          <w:tcPr>
            <w:tcW w:w="1123"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240"/>
              <w:ind w:left="0" w:right="0" w:hanging="0"/>
              <w:jc w:val="left"/>
              <w:rPr/>
            </w:pPr>
            <w:r>
              <w:rPr/>
              <w:t>​</w:t>
            </w:r>
          </w:p>
        </w:tc>
        <w:tc>
          <w:tcPr>
            <w:tcW w:w="3519" w:type="dxa"/>
            <w:tcBorders/>
            <w:vAlign w:val="center"/>
          </w:tcPr>
          <w:p>
            <w:pPr>
              <w:pStyle w:val="TableContents"/>
              <w:bidi w:val="0"/>
              <w:spacing w:before="0" w:after="240"/>
              <w:ind w:left="0" w:right="0" w:hanging="0"/>
              <w:jc w:val="center"/>
              <w:rPr/>
            </w:pPr>
            <w:r>
              <w:rPr/>
              <w:t>​</w:t>
            </w:r>
          </w:p>
        </w:tc>
      </w:tr>
      <w:tr>
        <w:trPr/>
        <w:tc>
          <w:tcPr>
            <w:tcW w:w="4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8.000% SERIES A CUMULATIVE REDEEMABLE PREFERRED STOCK, $0.01 PAR VALUE</w:t>
            </w:r>
          </w:p>
        </w:tc>
        <w:tc>
          <w:tcPr>
            <w:tcW w:w="346" w:type="dxa"/>
            <w:tcBorders/>
            <w:vAlign w:val="center"/>
          </w:tcPr>
          <w:p>
            <w:pPr>
              <w:pStyle w:val="TableContents"/>
              <w:bidi w:val="0"/>
              <w:spacing w:before="0" w:after="240"/>
              <w:ind w:left="0" w:right="0" w:hanging="0"/>
              <w:jc w:val="left"/>
              <w:rPr/>
            </w:pPr>
            <w:r>
              <w:rPr/>
              <w:t>​</w:t>
            </w:r>
          </w:p>
        </w:tc>
        <w:tc>
          <w:tcPr>
            <w:tcW w:w="1123" w:type="dxa"/>
            <w:tcBorders/>
            <w:vAlign w:val="center"/>
          </w:tcPr>
          <w:p>
            <w:pPr>
              <w:pStyle w:val="TableContents"/>
              <w:bidi w:val="0"/>
              <w:spacing w:before="0" w:after="24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PINE/PA</w:t>
            </w:r>
          </w:p>
        </w:tc>
        <w:tc>
          <w:tcPr>
            <w:tcW w:w="346" w:type="dxa"/>
            <w:tcBorders/>
            <w:vAlign w:val="center"/>
          </w:tcPr>
          <w:p>
            <w:pPr>
              <w:pStyle w:val="TableContents"/>
              <w:bidi w:val="0"/>
              <w:spacing w:before="0" w:after="240"/>
              <w:ind w:left="0" w:right="0" w:hanging="0"/>
              <w:jc w:val="left"/>
              <w:rPr/>
            </w:pPr>
            <w:r>
              <w:rPr/>
              <w:t>​</w:t>
            </w:r>
          </w:p>
        </w:tc>
        <w:tc>
          <w:tcPr>
            <w:tcW w:w="3519" w:type="dxa"/>
            <w:tcBorders/>
            <w:vAlign w:val="center"/>
          </w:tcPr>
          <w:p>
            <w:pPr>
              <w:pStyle w:val="TableContents"/>
              <w:bidi w:val="0"/>
              <w:spacing w:before="0" w:after="24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bl>
    <w:p>
      <w:pPr>
        <w:pStyle w:val="TextBody"/>
        <w:bidi w:val="0"/>
        <w:spacing w:before="0" w:after="0"/>
        <w:ind w:left="0" w:right="0" w:hanging="0"/>
        <w:jc w:val="left"/>
        <w:rPr/>
      </w:pPr>
      <w:r>
        <w:rPr/>
        <w:t>​</w:t>
      </w:r>
    </w:p>
    <w:p>
      <w:pPr>
        <w:pStyle w:val="TextBody"/>
        <w:bidi w:val="0"/>
        <w:spacing w:before="0" w:after="60"/>
        <w:ind w:left="0" w:right="0" w:firstLine="49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60"/>
        <w:ind w:left="0" w:right="0" w:firstLine="49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60"/>
        <w:ind w:left="0" w:right="0" w:firstLine="49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9" w:name="Tc_lmfuxNWCIECYzBWa1pctyg_6_3"/>
      <w:bookmarkStart w:id="30" w:name="Tc_rrFRzrvviU-CI-e-liS3lQ_4_3"/>
      <w:bookmarkStart w:id="31" w:name="Tc_3sKi-jJ3nk28tk7eeVCw2g_4_1"/>
      <w:bookmarkStart w:id="32" w:name="Tc_0dw9KiC0AESJZ5w9KgMXrA_2_4"/>
      <w:bookmarkStart w:id="33" w:name="Tc_e9WyZaEq0UGhNKwjj4rVIw_2_3"/>
      <w:bookmarkStart w:id="34" w:name="Tc_pzsu96qyjkKG_mhkLRe1Ig_2_1"/>
      <w:bookmarkStart w:id="35" w:name="Tc_KORr-5J5oE2gnwcIbUIhZg_2_0"/>
      <w:bookmarkStart w:id="36" w:name="_69ae665a_488f_4825_83e1_822e2ddc4339"/>
      <w:bookmarkStart w:id="37" w:name="Tc_lmfuxNWCIECYzBWa1pctyg_6_3"/>
      <w:bookmarkStart w:id="38" w:name="Tc_rrFRzrvviU-CI-e-liS3lQ_4_3"/>
      <w:bookmarkStart w:id="39" w:name="Tc_3sKi-jJ3nk28tk7eeVCw2g_4_1"/>
      <w:bookmarkStart w:id="40" w:name="Tc_0dw9KiC0AESJZ5w9KgMXrA_2_4"/>
      <w:bookmarkStart w:id="41" w:name="Tc_e9WyZaEq0UGhNKwjj4rVIw_2_3"/>
      <w:bookmarkStart w:id="42" w:name="Tc_pzsu96qyjkKG_mhkLRe1Ig_2_1"/>
      <w:bookmarkStart w:id="43" w:name="Tc_KORr-5J5oE2gnwcIbUIhZg_2_0"/>
      <w:bookmarkStart w:id="44" w:name="_69ae665a_488f_4825_83e1_822e2ddc4339"/>
      <w:bookmarkEnd w:id="37"/>
      <w:bookmarkEnd w:id="38"/>
      <w:bookmarkEnd w:id="39"/>
      <w:bookmarkEnd w:id="40"/>
      <w:bookmarkEnd w:id="41"/>
      <w:bookmarkEnd w:id="42"/>
      <w:bookmarkEnd w:id="43"/>
      <w:bookmarkEnd w:id="44"/>
    </w:p>
    <w:tbl>
      <w:tblPr>
        <w:tblW w:w="4808" w:type="dxa"/>
        <w:jc w:val="left"/>
        <w:tblInd w:w="0" w:type="dxa"/>
        <w:tblLayout w:type="fixed"/>
        <w:tblCellMar>
          <w:top w:w="0" w:type="dxa"/>
          <w:left w:w="0" w:type="dxa"/>
          <w:bottom w:w="0" w:type="dxa"/>
          <w:right w:w="0" w:type="dxa"/>
        </w:tblCellMar>
      </w:tblPr>
      <w:tblGrid>
        <w:gridCol w:w="1771"/>
        <w:gridCol w:w="436"/>
        <w:gridCol w:w="109"/>
        <w:gridCol w:w="2131"/>
        <w:gridCol w:w="361"/>
      </w:tblGrid>
      <w:tr>
        <w:trPr/>
        <w:tc>
          <w:tcPr>
            <w:tcW w:w="177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43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60"/>
        <w:ind w:left="0" w:right="0" w:firstLine="49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60"/>
        <w:ind w:left="0" w:right="0" w:firstLine="490"/>
        <w:jc w:val="left"/>
        <w:rPr>
          <w:rFonts w:ascii="Times New Roman;Times;serif" w:hAnsi="Times New Roman;Times;serif"/>
          <w:sz w:val="18"/>
        </w:rPr>
      </w:pPr>
      <w:r>
        <w:rPr>
          <w:rFonts w:ascii="Times New Roman;Times;serif" w:hAnsi="Times New Roman;Times;serif"/>
          <w:sz w:val="18"/>
        </w:rPr>
        <w:t>The number of shares of the registrant’s common stock outstanding on October 17, 2026 was 17,940,667.</w:t>
      </w:r>
    </w:p>
    <w:p>
      <w:pPr>
        <w:pStyle w:val="TextBody"/>
        <w:pBdr>
          <w:top w:val="single" w:sz="8" w:space="1" w:color="000000"/>
          <w:bottom w:val="single" w:sz="24" w:space="1" w:color="000000"/>
        </w:pBdr>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45" w:name="TOC"/>
      <w:bookmarkStart w:id="46" w:name="_7f15d803_7af4_4288_8137_cd781496b90f"/>
      <w:bookmarkEnd w:id="45"/>
      <w:bookmarkEnd w:id="46"/>
      <w:r>
        <w:rPr>
          <w:rFonts w:ascii="Times New Roman;Times;serif" w:hAnsi="Times New Roman;Times;serif"/>
          <w:sz w:val="20"/>
        </w:rPr>
        <w:t>INDEX</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88"/>
        <w:gridCol w:w="346"/>
        <w:gridCol w:w="571"/>
      </w:tblGrid>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w:t>
            </w:r>
          </w:p>
        </w:tc>
      </w:tr>
      <w:tr>
        <w:trPr/>
        <w:tc>
          <w:tcPr>
            <w:tcW w:w="9288" w:type="dxa"/>
            <w:tcBorders/>
            <w:vAlign w:val="center"/>
          </w:tcPr>
          <w:p>
            <w:pPr>
              <w:pStyle w:val="TableContents"/>
              <w:bidi w:val="0"/>
              <w:spacing w:before="0" w:after="0"/>
              <w:ind w:left="0" w:right="0" w:hanging="0"/>
              <w:jc w:val="left"/>
              <w:rPr/>
            </w:pPr>
            <w:hyperlink w:anchor="PARTIFINANCIALINFORMATION">
              <w:r>
                <w:rPr>
                  <w:rStyle w:val="InternetLink"/>
                  <w:rFonts w:ascii="Times New Roman;Times;serif" w:hAnsi="Times New Roman;Times;serif"/>
                  <w:b w:val="false"/>
                  <w:i w:val="false"/>
                  <w:caps w:val="false"/>
                  <w:smallCaps w:val="false"/>
                  <w:sz w:val="20"/>
                </w:rPr>
                <w:t>PART I—FINANCIAL INFORMATION</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1FINANCIALSTATEMENTS_291469">
              <w:r>
                <w:rPr>
                  <w:rStyle w:val="InternetLink"/>
                  <w:rFonts w:ascii="Times New Roman;Times;serif" w:hAnsi="Times New Roman;Times;serif"/>
                  <w:b w:val="false"/>
                  <w:i w:val="false"/>
                  <w:caps w:val="false"/>
                  <w:smallCaps w:val="false"/>
                  <w:sz w:val="20"/>
                </w:rPr>
                <w:t>Item 1.     Financial Statements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CONSOLIDATEDBALANCESHEETS">
              <w:r>
                <w:rPr>
                  <w:rStyle w:val="InternetLink"/>
                  <w:rFonts w:ascii="Times New Roman;Times;serif" w:hAnsi="Times New Roman;Times;serif"/>
                  <w:b w:val="false"/>
                  <w:i w:val="false"/>
                  <w:caps w:val="false"/>
                  <w:smallCaps w:val="false"/>
                  <w:sz w:val="20"/>
                </w:rPr>
                <w:t>Consolidated Balance Sheets – September 30, 2026 (Unaudited) and December 31, 2025</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CONSOLIDATEDSTATEMENTSOPERATIONS">
              <w:r>
                <w:rPr>
                  <w:rStyle w:val="InternetLink"/>
                  <w:rFonts w:ascii="Times New Roman;Times;serif" w:hAnsi="Times New Roman;Times;serif"/>
                  <w:b w:val="false"/>
                  <w:i w:val="false"/>
                  <w:caps w:val="false"/>
                  <w:smallCaps w:val="false"/>
                  <w:sz w:val="20"/>
                </w:rPr>
                <w:t>Consolidated Statements of Operations – Three and nine months ended September 30, 2026 and 2025 (Unaudited)</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CONSOLIDATEDSTATEMENTSOFCOMPINCOME">
              <w:r>
                <w:rPr>
                  <w:rStyle w:val="InternetLink"/>
                  <w:rFonts w:ascii="Times New Roman;Times;serif" w:hAnsi="Times New Roman;Times;serif"/>
                  <w:b w:val="false"/>
                  <w:i w:val="false"/>
                  <w:caps w:val="false"/>
                  <w:smallCaps w:val="false"/>
                  <w:sz w:val="20"/>
                </w:rPr>
                <w:t>Consolidated Statements of Comprehensive Income – Three and nine months ended September 30, 2026 and 2025 (Unaudited)</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Stockholders’ Equity – Three and nine months ended September 30, 2026 and 2025 (Unaudited)</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CONSOLIDATEDSTATEMENTSOFCASHFLOWS_91955">
              <w:r>
                <w:rPr>
                  <w:rStyle w:val="InternetLink"/>
                  <w:rFonts w:ascii="Times New Roman;Times;serif" w:hAnsi="Times New Roman;Times;serif"/>
                  <w:b w:val="false"/>
                  <w:i w:val="false"/>
                  <w:caps w:val="false"/>
                  <w:smallCaps w:val="false"/>
                  <w:sz w:val="20"/>
                </w:rPr>
                <w:t>Consolidated Statements of Cash Flows – Nine months ended September 30, 2026 and 2025 (Unaudited)</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NOTESTOCONSOLIDATEDFINANCIALSTATEMENTSUN">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2MANAGEMENTSDISCUSSIONANDANALYSIS">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3QUANTITATIVEANDQUALITATIVEDISC">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4CONTROLSANDPROCEDURES_93254">
              <w:r>
                <w:rPr>
                  <w:rStyle w:val="InternetLink"/>
                  <w:rFonts w:ascii="Times New Roman;Times;serif" w:hAnsi="Times New Roman;Times;serif"/>
                  <w:b w:val="false"/>
                  <w:i w:val="false"/>
                  <w:caps w:val="false"/>
                  <w:smallCaps w:val="false"/>
                  <w:sz w:val="20"/>
                </w:rPr>
                <w:t>Item 4.     Controls and Procedures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PARTIIOTHERINFORMATION_482394">
              <w:r>
                <w:rPr>
                  <w:rStyle w:val="InternetLink"/>
                  <w:rFonts w:ascii="Times New Roman;Times;serif" w:hAnsi="Times New Roman;Times;serif"/>
                  <w:b w:val="false"/>
                  <w:i w:val="false"/>
                  <w:caps w:val="false"/>
                  <w:smallCaps w:val="false"/>
                  <w:sz w:val="20"/>
                </w:rPr>
                <w:t>PART II—OTHER INFORMATION</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1LEGALPROCEEDINGS_782791">
              <w:r>
                <w:rPr>
                  <w:rStyle w:val="InternetLink"/>
                  <w:rFonts w:ascii="Times New Roman;Times;serif" w:hAnsi="Times New Roman;Times;serif"/>
                  <w:b w:val="false"/>
                  <w:i w:val="false"/>
                  <w:caps w:val="false"/>
                  <w:smallCaps w:val="false"/>
                  <w:sz w:val="20"/>
                </w:rPr>
                <w:t>Item 1.     Legal Proceedings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1ARISKFACTORS_792917">
              <w:r>
                <w:rPr>
                  <w:rStyle w:val="InternetLink"/>
                  <w:rFonts w:ascii="Times New Roman;Times;serif" w:hAnsi="Times New Roman;Times;serif"/>
                  <w:b w:val="false"/>
                  <w:i w:val="false"/>
                  <w:caps w:val="false"/>
                  <w:smallCaps w:val="false"/>
                  <w:sz w:val="20"/>
                </w:rPr>
                <w:t>Item 1A.  Risk Factors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3DEFAULTSUPONSENIORSECURITIES_376496">
              <w:r>
                <w:rPr>
                  <w:rStyle w:val="InternetLink"/>
                  <w:rFonts w:ascii="Times New Roman;Times;serif" w:hAnsi="Times New Roman;Times;serif"/>
                  <w:b w:val="false"/>
                  <w:i w:val="false"/>
                  <w:caps w:val="false"/>
                  <w:smallCaps w:val="false"/>
                  <w:sz w:val="20"/>
                </w:rPr>
                <w:t>Item 3.     Defaults Upon Senior Securities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4MINESAFETYDISCLOSURES_109581">
              <w:r>
                <w:rPr>
                  <w:rStyle w:val="InternetLink"/>
                  <w:rFonts w:ascii="Times New Roman;Times;serif" w:hAnsi="Times New Roman;Times;serif"/>
                  <w:b w:val="false"/>
                  <w:i w:val="false"/>
                  <w:caps w:val="false"/>
                  <w:smallCaps w:val="false"/>
                  <w:sz w:val="20"/>
                </w:rPr>
                <w:t>Item 4.     Mine Safety Disclosures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5OTHERINFORMATION_915711">
              <w:r>
                <w:rPr>
                  <w:rStyle w:val="InternetLink"/>
                  <w:rFonts w:ascii="Times New Roman;Times;serif" w:hAnsi="Times New Roman;Times;serif"/>
                  <w:b w:val="false"/>
                  <w:i w:val="false"/>
                  <w:caps w:val="false"/>
                  <w:smallCaps w:val="false"/>
                  <w:sz w:val="20"/>
                </w:rPr>
                <w:t>Item 5.     Other Information</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6EXHIBITS_110802">
              <w:r>
                <w:rPr>
                  <w:rStyle w:val="InternetLink"/>
                  <w:rFonts w:ascii="Times New Roman;Times;serif" w:hAnsi="Times New Roman;Times;serif"/>
                  <w:b w:val="false"/>
                  <w:i w:val="false"/>
                  <w:caps w:val="false"/>
                  <w:smallCaps w:val="false"/>
                  <w:sz w:val="20"/>
                </w:rPr>
                <w:t>Item 6.     Exhibits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Signatures_946901">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 w:name="PARTIFINANCIALINFORMATION"/>
      <w:bookmarkStart w:id="48" w:name="_08d941c8_8233_4a6c_a5f8_7264357844dd"/>
      <w:bookmarkEnd w:id="47"/>
      <w:bookmarkEnd w:id="48"/>
      <w:r>
        <w:rPr>
          <w:rFonts w:ascii="Times New Roman;Times;serif" w:hAnsi="Times New Roman;Times;serif"/>
          <w:b/>
          <w:sz w:val="20"/>
        </w:rPr>
        <w:t>PART I—FINANCIAL INFORMATION</w:t>
      </w:r>
    </w:p>
    <w:p>
      <w:pPr>
        <w:pStyle w:val="TextBody"/>
        <w:bidi w:val="0"/>
        <w:spacing w:before="0" w:after="0"/>
        <w:ind w:left="0" w:right="0" w:hanging="0"/>
        <w:jc w:val="center"/>
        <w:rPr>
          <w:rFonts w:ascii="Times New Roman;Times;serif" w:hAnsi="Times New Roman;Times;serif"/>
          <w:b/>
          <w:sz w:val="20"/>
        </w:rPr>
      </w:pPr>
      <w:bookmarkStart w:id="49" w:name="ITEM1FINANCIALSTATEMENTS_291469"/>
      <w:bookmarkEnd w:id="49"/>
      <w:r>
        <w:rPr>
          <w:rFonts w:ascii="Times New Roman;Times;serif" w:hAnsi="Times New Roman;Times;serif"/>
          <w:b/>
          <w:sz w:val="20"/>
        </w:rPr>
        <w:t>ITEM 1. FINANCIAL STATEMENTS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50" w:name="CONSOLIDATEDBALANCESHEETS"/>
      <w:bookmarkEnd w:id="50"/>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1" w:name="Tc_uLVd1JB-ak-6JquZezf2lg_36_4"/>
      <w:bookmarkStart w:id="52" w:name="Tc_jfblDACsAUKOut6lzXYF_Q_36_1"/>
      <w:bookmarkStart w:id="53" w:name="Tc_8TlufsY5IEKz17wL9Wmk2w_36_0"/>
      <w:bookmarkStart w:id="54" w:name="Tc_DEUiwAswo0mV9h39Lw-Kwg_35_0"/>
      <w:bookmarkStart w:id="55" w:name="Tc_gHRThwyVP0mWH_d7oLv-og_34_0"/>
      <w:bookmarkStart w:id="56" w:name="Tc_67bSBGQlEU-0wLJVRulBfQ_33_0"/>
      <w:bookmarkStart w:id="57" w:name="Tc_yZFtm7B39kO11pqETl4lXw_32_0"/>
      <w:bookmarkStart w:id="58" w:name="Tc_TxDMVl53zUu1jHpBVLmSWA_31_0"/>
      <w:bookmarkStart w:id="59" w:name="Tc_5LV4w3lIMkmPby7bq6PQeg_30_0"/>
      <w:bookmarkStart w:id="60" w:name="Tc_aDo6VScMykGVYYw1kwsW8g_29_0"/>
      <w:bookmarkStart w:id="61" w:name="Tc_9jSr9ACXhUyHSlsarS8yTw_28_0"/>
      <w:bookmarkStart w:id="62" w:name="Tc__z5TbWTeRU2zKDcZ99TSNA_27_0"/>
      <w:bookmarkStart w:id="63" w:name="Tc_hy0ZzucPhE67NnizbejvqA_26_0"/>
      <w:bookmarkStart w:id="64" w:name="Tc_OFrf5nrK8E-oREAPgeUjPQ_25_0"/>
      <w:bookmarkStart w:id="65" w:name="Tc_AvkscnrEqUqw16tyeD0hDQ_24_0"/>
      <w:bookmarkStart w:id="66" w:name="Tc_VXQqdIsvLkaS4ATSReFI6g_23_0"/>
      <w:bookmarkStart w:id="67" w:name="Tc__b-X5mP7YUGY9DYoeOj4EQ_22_0"/>
      <w:bookmarkStart w:id="68" w:name="Tc_p5FGwQdpxUyL8KnWxgvQ2Q_21_0"/>
      <w:bookmarkStart w:id="69" w:name="Tc_ldcrPYD960i1A0vQO2nlmg_20_4"/>
      <w:bookmarkStart w:id="70" w:name="Tc_RTkIB-c4mEmvSx7be73w2w_20_1"/>
      <w:bookmarkStart w:id="71" w:name="Tc_V7-WQ6RoBEWc4x84wrlKxw_20_0"/>
      <w:bookmarkStart w:id="72" w:name="Tc_Cbk2Tqxrz02IZa3ZJs17dQ_19_0"/>
      <w:bookmarkStart w:id="73" w:name="Tc_sZ2wLgLaJ0-WNUBX67j1tw_18_0"/>
      <w:bookmarkStart w:id="74" w:name="Tc_-Sodivz_HEiUr9m6utiBRw_17_4"/>
      <w:bookmarkStart w:id="75" w:name="Tc_CCZCVZOc5kalr9SJJe9oCA_17_1"/>
      <w:bookmarkStart w:id="76" w:name="Tc_CFR5sUqCNkaDdSZqgaUfGQ_17_0"/>
      <w:bookmarkStart w:id="77" w:name="Tc_lC0XcfNld0S0vqONXAoxeA_16_0"/>
      <w:bookmarkStart w:id="78" w:name="Tc_H_q51p2hH0C12scibZ3cpQ_15_0"/>
      <w:bookmarkStart w:id="79" w:name="Tc_G4H7-JMGm0qtubs4I5IyiQ_14_0"/>
      <w:bookmarkStart w:id="80" w:name="Tc_giL3R7j_00-D8qZtsWtj7Q_13_0"/>
      <w:bookmarkStart w:id="81" w:name="Tc_6j8DH-XAaEK2tjFe5Nmq3g_12_0"/>
      <w:bookmarkStart w:id="82" w:name="Tc_d_Agakr6h0WSH95cexljqA_11_0"/>
      <w:bookmarkStart w:id="83" w:name="Tc_iyQ7FqzzF0GHRlCtNFDJ9Q_10_0"/>
      <w:bookmarkStart w:id="84" w:name="Tc_EirUyX2z9UKv0irji0evSw_9_0"/>
      <w:bookmarkStart w:id="85" w:name="Tc_pJiD46QvVU2gP9cPStygAw_8_0"/>
      <w:bookmarkStart w:id="86" w:name="Tc_iFkFMM66Akiw11tPlvwGqA_7_0"/>
      <w:bookmarkStart w:id="87" w:name="Tc_12cglcXIS0eT3dPUTW7ekg_6_0"/>
      <w:bookmarkStart w:id="88" w:name="Tc_zfDKri64XkGxI5ALT2wLJg_5_4"/>
      <w:bookmarkStart w:id="89" w:name="Tc_NaZpN0GNbEmv1NqHLRBPiQ_5_1"/>
      <w:bookmarkStart w:id="90" w:name="Tc_JeGTecLY6UOrV9mjnS0LLg_5_0"/>
      <w:bookmarkStart w:id="91" w:name="Tc_8fS7FKmm8k-Qcm1nnmUb3Q_4_0"/>
      <w:bookmarkStart w:id="92" w:name="Tc_aOj6u_qLUkeMQNxE3MTrtw_3_0"/>
      <w:bookmarkStart w:id="93" w:name="Tc_Iu78rI3jv0yegZcYhUnNSA_2_4"/>
      <w:bookmarkStart w:id="94" w:name="Tc_m_QKsVhY1UmibMDy4v4Fuw_2_1"/>
      <w:bookmarkStart w:id="95" w:name="Tc_YAuN3nl-bESz9II8c-y6hg_1_1"/>
      <w:bookmarkStart w:id="96" w:name="_971efe10_ccec_48bd_b991_1a980d5198a1"/>
      <w:bookmarkStart w:id="97" w:name="Tc_uLVd1JB-ak-6JquZezf2lg_36_4"/>
      <w:bookmarkStart w:id="98" w:name="Tc_jfblDACsAUKOut6lzXYF_Q_36_1"/>
      <w:bookmarkStart w:id="99" w:name="Tc_8TlufsY5IEKz17wL9Wmk2w_36_0"/>
      <w:bookmarkStart w:id="100" w:name="Tc_DEUiwAswo0mV9h39Lw-Kwg_35_0"/>
      <w:bookmarkStart w:id="101" w:name="Tc_gHRThwyVP0mWH_d7oLv-og_34_0"/>
      <w:bookmarkStart w:id="102" w:name="Tc_67bSBGQlEU-0wLJVRulBfQ_33_0"/>
      <w:bookmarkStart w:id="103" w:name="Tc_yZFtm7B39kO11pqETl4lXw_32_0"/>
      <w:bookmarkStart w:id="104" w:name="Tc_TxDMVl53zUu1jHpBVLmSWA_31_0"/>
      <w:bookmarkStart w:id="105" w:name="Tc_5LV4w3lIMkmPby7bq6PQeg_30_0"/>
      <w:bookmarkStart w:id="106" w:name="Tc_aDo6VScMykGVYYw1kwsW8g_29_0"/>
      <w:bookmarkStart w:id="107" w:name="Tc_9jSr9ACXhUyHSlsarS8yTw_28_0"/>
      <w:bookmarkStart w:id="108" w:name="Tc__z5TbWTeRU2zKDcZ99TSNA_27_0"/>
      <w:bookmarkStart w:id="109" w:name="Tc_hy0ZzucPhE67NnizbejvqA_26_0"/>
      <w:bookmarkStart w:id="110" w:name="Tc_OFrf5nrK8E-oREAPgeUjPQ_25_0"/>
      <w:bookmarkStart w:id="111" w:name="Tc_AvkscnrEqUqw16tyeD0hDQ_24_0"/>
      <w:bookmarkStart w:id="112" w:name="Tc_VXQqdIsvLkaS4ATSReFI6g_23_0"/>
      <w:bookmarkStart w:id="113" w:name="Tc__b-X5mP7YUGY9DYoeOj4EQ_22_0"/>
      <w:bookmarkStart w:id="114" w:name="Tc_p5FGwQdpxUyL8KnWxgvQ2Q_21_0"/>
      <w:bookmarkStart w:id="115" w:name="Tc_ldcrPYD960i1A0vQO2nlmg_20_4"/>
      <w:bookmarkStart w:id="116" w:name="Tc_RTkIB-c4mEmvSx7be73w2w_20_1"/>
      <w:bookmarkStart w:id="117" w:name="Tc_V7-WQ6RoBEWc4x84wrlKxw_20_0"/>
      <w:bookmarkStart w:id="118" w:name="Tc_Cbk2Tqxrz02IZa3ZJs17dQ_19_0"/>
      <w:bookmarkStart w:id="119" w:name="Tc_sZ2wLgLaJ0-WNUBX67j1tw_18_0"/>
      <w:bookmarkStart w:id="120" w:name="Tc_-Sodivz_HEiUr9m6utiBRw_17_4"/>
      <w:bookmarkStart w:id="121" w:name="Tc_CCZCVZOc5kalr9SJJe9oCA_17_1"/>
      <w:bookmarkStart w:id="122" w:name="Tc_CFR5sUqCNkaDdSZqgaUfGQ_17_0"/>
      <w:bookmarkStart w:id="123" w:name="Tc_lC0XcfNld0S0vqONXAoxeA_16_0"/>
      <w:bookmarkStart w:id="124" w:name="Tc_H_q51p2hH0C12scibZ3cpQ_15_0"/>
      <w:bookmarkStart w:id="125" w:name="Tc_G4H7-JMGm0qtubs4I5IyiQ_14_0"/>
      <w:bookmarkStart w:id="126" w:name="Tc_giL3R7j_00-D8qZtsWtj7Q_13_0"/>
      <w:bookmarkStart w:id="127" w:name="Tc_6j8DH-XAaEK2tjFe5Nmq3g_12_0"/>
      <w:bookmarkStart w:id="128" w:name="Tc_d_Agakr6h0WSH95cexljqA_11_0"/>
      <w:bookmarkStart w:id="129" w:name="Tc_iyQ7FqzzF0GHRlCtNFDJ9Q_10_0"/>
      <w:bookmarkStart w:id="130" w:name="Tc_EirUyX2z9UKv0irji0evSw_9_0"/>
      <w:bookmarkStart w:id="131" w:name="Tc_pJiD46QvVU2gP9cPStygAw_8_0"/>
      <w:bookmarkStart w:id="132" w:name="Tc_iFkFMM66Akiw11tPlvwGqA_7_0"/>
      <w:bookmarkStart w:id="133" w:name="Tc_12cglcXIS0eT3dPUTW7ekg_6_0"/>
      <w:bookmarkStart w:id="134" w:name="Tc_zfDKri64XkGxI5ALT2wLJg_5_4"/>
      <w:bookmarkStart w:id="135" w:name="Tc_NaZpN0GNbEmv1NqHLRBPiQ_5_1"/>
      <w:bookmarkStart w:id="136" w:name="Tc_JeGTecLY6UOrV9mjnS0LLg_5_0"/>
      <w:bookmarkStart w:id="137" w:name="Tc_8fS7FKmm8k-Qcm1nnmUb3Q_4_0"/>
      <w:bookmarkStart w:id="138" w:name="Tc_aOj6u_qLUkeMQNxE3MTrtw_3_0"/>
      <w:bookmarkStart w:id="139" w:name="Tc_Iu78rI3jv0yegZcYhUnNSA_2_4"/>
      <w:bookmarkStart w:id="140" w:name="Tc_m_QKsVhY1UmibMDy4v4Fuw_2_1"/>
      <w:bookmarkStart w:id="141" w:name="Tc_YAuN3nl-bESz9II8c-y6hg_1_1"/>
      <w:bookmarkStart w:id="142" w:name="_971efe10_ccec_48bd_b991_1a980d5198a1"/>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tbl>
      <w:tblPr>
        <w:tblW w:w="10205" w:type="dxa"/>
        <w:jc w:val="left"/>
        <w:tblInd w:w="0" w:type="dxa"/>
        <w:tblLayout w:type="fixed"/>
        <w:tblCellMar>
          <w:top w:w="0" w:type="dxa"/>
          <w:left w:w="0" w:type="dxa"/>
          <w:bottom w:w="0" w:type="dxa"/>
          <w:right w:w="0" w:type="dxa"/>
        </w:tblCellMar>
      </w:tblPr>
      <w:tblGrid>
        <w:gridCol w:w="7030"/>
        <w:gridCol w:w="299"/>
        <w:gridCol w:w="1114"/>
        <w:gridCol w:w="346"/>
        <w:gridCol w:w="268"/>
        <w:gridCol w:w="1148"/>
      </w:tblGrid>
      <w:tr>
        <w:trPr/>
        <w:tc>
          <w:tcPr>
            <w:tcW w:w="7030"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89865" cy="175260"/>
                      <wp:effectExtent l="0" t="0" r="0" b="0"/>
                      <wp:wrapNone/>
                      <wp:docPr id="1" name="Frame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707390" cy="175260"/>
                      <wp:effectExtent l="0" t="0" r="0" b="0"/>
                      <wp:wrapNone/>
                      <wp:docPr id="2" name="Frame2"/>
                      <a:graphic xmlns:a="http://schemas.openxmlformats.org/drawingml/2006/main">
                        <a:graphicData uri="http://schemas.microsoft.com/office/word/2010/wordprocessingShape">
                          <wps:wsp>
                            <wps:cNvSpPr txBox="1"/>
                            <wps:spPr>
                              <a:xfrm>
                                <a:off x="0" y="0"/>
                                <a:ext cx="707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3" name="Frame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0180" cy="175260"/>
                      <wp:effectExtent l="0" t="0" r="0" b="0"/>
                      <wp:wrapNone/>
                      <wp:docPr id="4" name="Frame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28980" cy="175260"/>
                      <wp:effectExtent l="0" t="0" r="0" b="0"/>
                      <wp:wrapNone/>
                      <wp:docPr id="5" name="Frame5"/>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30" w:type="dxa"/>
            <w:tcBorders/>
            <w:vAlign w:val="center"/>
          </w:tcPr>
          <w:p>
            <w:pPr>
              <w:pStyle w:val="TableContents"/>
              <w:bidi w:val="0"/>
              <w:spacing w:before="0" w:after="1"/>
              <w:ind w:left="0" w:right="0" w:hanging="0"/>
              <w:jc w:val="left"/>
              <w:rPr/>
            </w:pPr>
            <w:r>
              <w:rPr/>
              <w:t>​</w:t>
            </w:r>
          </w:p>
        </w:tc>
        <w:tc>
          <w:tcPr>
            <w:tcW w:w="31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7030" w:type="dxa"/>
            <w:tcBorders/>
            <w:vAlign w:val="center"/>
          </w:tcPr>
          <w:p>
            <w:pPr>
              <w:pStyle w:val="TableContents"/>
              <w:bidi w:val="0"/>
              <w:spacing w:before="0" w:after="1"/>
              <w:ind w:left="0" w:right="0" w:hanging="0"/>
              <w:jc w:val="left"/>
              <w:rPr/>
            </w:pPr>
            <w:r>
              <w:rPr/>
              <w:t>​</w:t>
            </w:r>
          </w:p>
        </w:tc>
        <w:tc>
          <w:tcPr>
            <w:tcW w:w="14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346" w:type="dxa"/>
            <w:tcBorders/>
            <w:vAlign w:val="center"/>
          </w:tcPr>
          <w:p>
            <w:pPr>
              <w:pStyle w:val="TableContents"/>
              <w:bidi w:val="0"/>
              <w:spacing w:before="0" w:after="1"/>
              <w:ind w:left="0" w:right="0" w:hanging="0"/>
              <w:jc w:val="center"/>
              <w:rPr/>
            </w:pPr>
            <w:r>
              <w:rPr/>
              <w:t>  ​ ​ ​</w:t>
            </w:r>
          </w:p>
        </w:tc>
        <w:tc>
          <w:tcPr>
            <w:tcW w:w="14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7030"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13" w:type="dxa"/>
            <w:gridSpan w:val="2"/>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16" w:type="dxa"/>
            <w:gridSpan w:val="2"/>
            <w:tcBorders/>
            <w:shd w:fill="CCEEFF" w:val="clear"/>
            <w:vAlign w:val="center"/>
          </w:tcPr>
          <w:p>
            <w:pPr>
              <w:pStyle w:val="TableContents"/>
              <w:bidi w:val="0"/>
              <w:spacing w:before="0" w:after="1"/>
              <w:ind w:left="0" w:right="0" w:hanging="0"/>
              <w:jc w:val="center"/>
              <w:rPr/>
            </w:pPr>
            <w:r>
              <w:rPr/>
              <w:t>​</w:t>
            </w:r>
          </w:p>
        </w:tc>
      </w:tr>
      <w:tr>
        <w:trPr/>
        <w:tc>
          <w:tcPr>
            <w:tcW w:w="7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299" w:type="dxa"/>
            <w:tcBorders/>
            <w:vAlign w:val="center"/>
          </w:tcPr>
          <w:p>
            <w:pPr>
              <w:pStyle w:val="TableContents"/>
              <w:bidi w:val="0"/>
              <w:spacing w:before="0" w:after="1"/>
              <w:ind w:left="0" w:right="0" w:hanging="0"/>
              <w:jc w:val="left"/>
              <w:rPr/>
            </w:pPr>
            <w:r>
              <w:rPr/>
              <w:t>​</w:t>
            </w:r>
          </w:p>
        </w:tc>
        <w:tc>
          <w:tcPr>
            <w:tcW w:w="111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48" w:type="dxa"/>
            <w:tcBorders/>
            <w:vAlign w:val="center"/>
          </w:tcPr>
          <w:p>
            <w:pPr>
              <w:pStyle w:val="TableContents"/>
              <w:bidi w:val="0"/>
              <w:spacing w:before="0" w:after="1"/>
              <w:ind w:left="0" w:right="0" w:hanging="0"/>
              <w:jc w:val="right"/>
              <w:rPr/>
            </w:pPr>
            <w:r>
              <w:rPr/>
              <w:t>​</w:t>
            </w:r>
          </w:p>
        </w:tc>
      </w:tr>
      <w:tr>
        <w:trPr/>
        <w:tc>
          <w:tcPr>
            <w:tcW w:w="7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175,167</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151,628</w:t>
            </w:r>
          </w:p>
        </w:tc>
      </w:tr>
      <w:tr>
        <w:trPr/>
        <w:tc>
          <w:tcPr>
            <w:tcW w:w="7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373,114</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344,138</w:t>
            </w:r>
          </w:p>
        </w:tc>
      </w:tr>
      <w:tr>
        <w:trPr/>
        <w:tc>
          <w:tcPr>
            <w:tcW w:w="7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299" w:type="dxa"/>
            <w:tcBorders/>
            <w:shd w:fill="CCEEFF" w:val="clear"/>
            <w:vAlign w:val="center"/>
          </w:tcPr>
          <w:p>
            <w:pPr>
              <w:pStyle w:val="TableContents"/>
              <w:bidi w:val="0"/>
              <w:spacing w:before="0" w:after="1"/>
              <w:ind w:left="0" w:right="0" w:hanging="0"/>
              <w:jc w:val="left"/>
              <w:rPr/>
            </w:pPr>
            <w:r>
              <w:rPr/>
              <w:t>​</w:t>
            </w:r>
          </w:p>
        </w:tc>
        <w:tc>
          <w:tcPr>
            <w:tcW w:w="11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548,281</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495,766</w:t>
            </w:r>
          </w:p>
        </w:tc>
      </w:tr>
      <w:tr>
        <w:trPr/>
        <w:tc>
          <w:tcPr>
            <w:tcW w:w="7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(66,967)</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(54,446)</w:t>
            </w:r>
          </w:p>
        </w:tc>
      </w:tr>
      <w:tr>
        <w:trPr/>
        <w:tc>
          <w:tcPr>
            <w:tcW w:w="7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299" w:type="dxa"/>
            <w:tcBorders/>
            <w:shd w:fill="CCEEFF" w:val="clear"/>
            <w:vAlign w:val="center"/>
          </w:tcPr>
          <w:p>
            <w:pPr>
              <w:pStyle w:val="TableContents"/>
              <w:bidi w:val="0"/>
              <w:spacing w:before="0" w:after="1"/>
              <w:ind w:left="0" w:right="0" w:hanging="0"/>
              <w:jc w:val="left"/>
              <w:rPr/>
            </w:pPr>
            <w:r>
              <w:rPr/>
              <w:t>​</w:t>
            </w:r>
          </w:p>
        </w:tc>
        <w:tc>
          <w:tcPr>
            <w:tcW w:w="11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481,314</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441,320</w:t>
            </w:r>
          </w:p>
        </w:tc>
      </w:tr>
      <w:tr>
        <w:trPr/>
        <w:tc>
          <w:tcPr>
            <w:tcW w:w="7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299" w:type="dxa"/>
            <w:tcBorders/>
            <w:vAlign w:val="center"/>
          </w:tcPr>
          <w:p>
            <w:pPr>
              <w:pStyle w:val="TableContents"/>
              <w:bidi w:val="0"/>
              <w:spacing w:before="0" w:after="1"/>
              <w:ind w:left="0" w:right="0" w:hanging="0"/>
              <w:jc w:val="left"/>
              <w:rPr/>
            </w:pPr>
            <w:r>
              <w:rPr/>
              <w:t>​</w:t>
            </w:r>
          </w:p>
        </w:tc>
        <w:tc>
          <w:tcPr>
            <w:tcW w:w="11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8,077</w:t>
            </w:r>
          </w:p>
        </w:tc>
      </w:tr>
      <w:tr>
        <w:trPr/>
        <w:tc>
          <w:tcPr>
            <w:tcW w:w="7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299" w:type="dxa"/>
            <w:tcBorders/>
            <w:shd w:fill="CCEEFF" w:val="clear"/>
            <w:vAlign w:val="center"/>
          </w:tcPr>
          <w:p>
            <w:pPr>
              <w:pStyle w:val="TableContents"/>
              <w:bidi w:val="0"/>
              <w:spacing w:before="0" w:after="1"/>
              <w:ind w:left="0" w:right="0" w:hanging="0"/>
              <w:jc w:val="left"/>
              <w:rPr/>
            </w:pPr>
            <w:r>
              <w:rPr/>
              <w:t>​</w:t>
            </w:r>
          </w:p>
        </w:tc>
        <w:tc>
          <w:tcPr>
            <w:tcW w:w="11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231,421</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167,553</w:t>
            </w:r>
          </w:p>
        </w:tc>
      </w:tr>
      <w:tr>
        <w:trPr/>
        <w:tc>
          <w:tcPr>
            <w:tcW w:w="7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299" w:type="dxa"/>
            <w:tcBorders/>
            <w:vAlign w:val="center"/>
          </w:tcPr>
          <w:p>
            <w:pPr>
              <w:pStyle w:val="TableContents"/>
              <w:bidi w:val="0"/>
              <w:spacing w:before="0" w:after="1"/>
              <w:ind w:left="0" w:right="0" w:hanging="0"/>
              <w:jc w:val="left"/>
              <w:rPr/>
            </w:pPr>
            <w:r>
              <w:rPr/>
              <w:t>​</w:t>
            </w:r>
          </w:p>
        </w:tc>
        <w:tc>
          <w:tcPr>
            <w:tcW w:w="11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11,722</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4,589</w:t>
            </w:r>
          </w:p>
        </w:tc>
      </w:tr>
      <w:tr>
        <w:trPr/>
        <w:tc>
          <w:tcPr>
            <w:tcW w:w="7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299" w:type="dxa"/>
            <w:tcBorders/>
            <w:shd w:fill="CCEEFF" w:val="clear"/>
            <w:vAlign w:val="center"/>
          </w:tcPr>
          <w:p>
            <w:pPr>
              <w:pStyle w:val="TableContents"/>
              <w:bidi w:val="0"/>
              <w:spacing w:before="0" w:after="1"/>
              <w:ind w:left="0" w:right="0" w:hanging="0"/>
              <w:jc w:val="left"/>
              <w:rPr/>
            </w:pPr>
            <w:r>
              <w:rPr/>
              <w:t>​</w:t>
            </w:r>
          </w:p>
        </w:tc>
        <w:tc>
          <w:tcPr>
            <w:tcW w:w="11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19,139</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34,410</w:t>
            </w:r>
          </w:p>
        </w:tc>
      </w:tr>
      <w:tr>
        <w:trPr/>
        <w:tc>
          <w:tcPr>
            <w:tcW w:w="7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299" w:type="dxa"/>
            <w:tcBorders/>
            <w:vAlign w:val="center"/>
          </w:tcPr>
          <w:p>
            <w:pPr>
              <w:pStyle w:val="TableContents"/>
              <w:bidi w:val="0"/>
              <w:spacing w:before="0" w:after="1"/>
              <w:ind w:left="0" w:right="0" w:hanging="0"/>
              <w:jc w:val="left"/>
              <w:rPr/>
            </w:pPr>
            <w:r>
              <w:rPr/>
              <w:t>​</w:t>
            </w:r>
          </w:p>
        </w:tc>
        <w:tc>
          <w:tcPr>
            <w:tcW w:w="11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47,888</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48,925</w:t>
            </w:r>
          </w:p>
        </w:tc>
      </w:tr>
      <w:tr>
        <w:trPr/>
        <w:tc>
          <w:tcPr>
            <w:tcW w:w="7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299" w:type="dxa"/>
            <w:tcBorders/>
            <w:shd w:fill="CCEEFF" w:val="clear"/>
            <w:vAlign w:val="center"/>
          </w:tcPr>
          <w:p>
            <w:pPr>
              <w:pStyle w:val="TableContents"/>
              <w:bidi w:val="0"/>
              <w:spacing w:before="0" w:after="1"/>
              <w:ind w:left="0" w:right="0" w:hanging="0"/>
              <w:jc w:val="left"/>
              <w:rPr/>
            </w:pPr>
            <w:r>
              <w:rPr/>
              <w:t>​</w:t>
            </w:r>
          </w:p>
        </w:tc>
        <w:tc>
          <w:tcPr>
            <w:tcW w:w="11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2,597</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2,092</w:t>
            </w:r>
          </w:p>
        </w:tc>
      </w:tr>
      <w:tr>
        <w:trPr/>
        <w:tc>
          <w:tcPr>
            <w:tcW w:w="7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26,059</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8,908</w:t>
            </w:r>
          </w:p>
        </w:tc>
      </w:tr>
      <w:tr>
        <w:trPr/>
        <w:tc>
          <w:tcPr>
            <w:tcW w:w="7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821,106</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715,874</w:t>
            </w:r>
          </w:p>
        </w:tc>
      </w:tr>
      <w:tr>
        <w:trPr/>
        <w:tc>
          <w:tcPr>
            <w:tcW w:w="7030"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299" w:type="dxa"/>
            <w:tcBorders/>
            <w:vAlign w:val="center"/>
          </w:tcPr>
          <w:p>
            <w:pPr>
              <w:pStyle w:val="TableContents"/>
              <w:bidi w:val="0"/>
              <w:spacing w:before="0" w:after="1"/>
              <w:ind w:left="0" w:right="0" w:hanging="0"/>
              <w:jc w:val="left"/>
              <w:rPr/>
            </w:pPr>
            <w:r>
              <w:rPr/>
              <w:t>​</w:t>
            </w:r>
          </w:p>
        </w:tc>
        <w:tc>
          <w:tcPr>
            <w:tcW w:w="111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48" w:type="dxa"/>
            <w:tcBorders/>
            <w:vAlign w:val="center"/>
          </w:tcPr>
          <w:p>
            <w:pPr>
              <w:pStyle w:val="TableContents"/>
              <w:bidi w:val="0"/>
              <w:spacing w:before="0" w:after="1"/>
              <w:ind w:left="0" w:right="0" w:hanging="0"/>
              <w:jc w:val="right"/>
              <w:rPr/>
            </w:pPr>
            <w:r>
              <w:rPr/>
              <w:t>​</w:t>
            </w:r>
          </w:p>
        </w:tc>
      </w:tr>
      <w:tr>
        <w:trPr/>
        <w:tc>
          <w:tcPr>
            <w:tcW w:w="7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299" w:type="dxa"/>
            <w:tcBorders/>
            <w:shd w:fill="CCEEFF" w:val="clear"/>
            <w:vAlign w:val="center"/>
          </w:tcPr>
          <w:p>
            <w:pPr>
              <w:pStyle w:val="TableContents"/>
              <w:bidi w:val="0"/>
              <w:spacing w:before="0" w:after="1"/>
              <w:ind w:left="0" w:right="0" w:hanging="0"/>
              <w:jc w:val="left"/>
              <w:rPr/>
            </w:pPr>
            <w:r>
              <w:rPr/>
              <w:t>​</w:t>
            </w:r>
          </w:p>
        </w:tc>
        <w:tc>
          <w:tcPr>
            <w:tcW w:w="111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pPr>
            <w:r>
              <w:rPr/>
              <w:t>​</w:t>
            </w:r>
          </w:p>
        </w:tc>
      </w:tr>
      <w:tr>
        <w:trPr/>
        <w:tc>
          <w:tcPr>
            <w:tcW w:w="7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16,647</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7,877</w:t>
            </w:r>
          </w:p>
        </w:tc>
      </w:tr>
      <w:tr>
        <w:trPr/>
        <w:tc>
          <w:tcPr>
            <w:tcW w:w="7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Rent and Deferred Revenue</w:t>
            </w:r>
          </w:p>
        </w:tc>
        <w:tc>
          <w:tcPr>
            <w:tcW w:w="299" w:type="dxa"/>
            <w:tcBorders/>
            <w:shd w:fill="CCEEFF" w:val="clear"/>
            <w:vAlign w:val="center"/>
          </w:tcPr>
          <w:p>
            <w:pPr>
              <w:pStyle w:val="TableContents"/>
              <w:bidi w:val="0"/>
              <w:spacing w:before="0" w:after="1"/>
              <w:ind w:left="0" w:right="0" w:hanging="0"/>
              <w:jc w:val="left"/>
              <w:rPr/>
            </w:pPr>
            <w:r>
              <w:rPr/>
              <w:t>​</w:t>
            </w:r>
          </w:p>
        </w:tc>
        <w:tc>
          <w:tcPr>
            <w:tcW w:w="11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14,286</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14,031</w:t>
            </w:r>
          </w:p>
        </w:tc>
      </w:tr>
      <w:tr>
        <w:trPr/>
        <w:tc>
          <w:tcPr>
            <w:tcW w:w="7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299" w:type="dxa"/>
            <w:tcBorders/>
            <w:vAlign w:val="center"/>
          </w:tcPr>
          <w:p>
            <w:pPr>
              <w:pStyle w:val="TableContents"/>
              <w:bidi w:val="0"/>
              <w:spacing w:before="0" w:after="1"/>
              <w:ind w:left="0" w:right="0" w:hanging="0"/>
              <w:jc w:val="left"/>
              <w:rPr/>
            </w:pPr>
            <w:r>
              <w:rPr/>
              <w:t>​</w:t>
            </w:r>
          </w:p>
        </w:tc>
        <w:tc>
          <w:tcPr>
            <w:tcW w:w="11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6,120</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4,971</w:t>
            </w:r>
          </w:p>
        </w:tc>
      </w:tr>
      <w:tr>
        <w:trPr/>
        <w:tc>
          <w:tcPr>
            <w:tcW w:w="7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Obligation Under Participation Agreement</w:t>
            </w:r>
          </w:p>
        </w:tc>
        <w:tc>
          <w:tcPr>
            <w:tcW w:w="299" w:type="dxa"/>
            <w:tcBorders/>
            <w:shd w:fill="CCEEFF" w:val="clear"/>
            <w:vAlign w:val="center"/>
          </w:tcPr>
          <w:p>
            <w:pPr>
              <w:pStyle w:val="TableContents"/>
              <w:bidi w:val="0"/>
              <w:spacing w:before="0" w:after="1"/>
              <w:ind w:left="0" w:right="0" w:hanging="0"/>
              <w:jc w:val="left"/>
              <w:rPr/>
            </w:pPr>
            <w:r>
              <w:rPr/>
              <w:t>​</w:t>
            </w:r>
          </w:p>
        </w:tc>
        <w:tc>
          <w:tcPr>
            <w:tcW w:w="11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18,519</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7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Debt—Net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396,676</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377,739</w:t>
            </w:r>
          </w:p>
        </w:tc>
      </w:tr>
      <w:tr>
        <w:trPr/>
        <w:tc>
          <w:tcPr>
            <w:tcW w:w="7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452,248</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414,618</w:t>
            </w:r>
          </w:p>
        </w:tc>
      </w:tr>
      <w:tr>
        <w:trPr/>
        <w:tc>
          <w:tcPr>
            <w:tcW w:w="7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Contingencies—See Note 20</w:t>
            </w:r>
          </w:p>
        </w:tc>
        <w:tc>
          <w:tcPr>
            <w:tcW w:w="299" w:type="dxa"/>
            <w:tcBorders/>
            <w:vAlign w:val="center"/>
          </w:tcPr>
          <w:p>
            <w:pPr>
              <w:pStyle w:val="TableContents"/>
              <w:bidi w:val="0"/>
              <w:spacing w:before="0" w:after="1"/>
              <w:ind w:left="0" w:right="0" w:hanging="0"/>
              <w:jc w:val="left"/>
              <w:rPr/>
            </w:pPr>
            <w:r>
              <w:rPr/>
              <w:t>​</w:t>
            </w:r>
          </w:p>
        </w:tc>
        <w:tc>
          <w:tcPr>
            <w:tcW w:w="111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48" w:type="dxa"/>
            <w:tcBorders/>
            <w:vAlign w:val="center"/>
          </w:tcPr>
          <w:p>
            <w:pPr>
              <w:pStyle w:val="TableContents"/>
              <w:bidi w:val="0"/>
              <w:spacing w:before="0" w:after="1"/>
              <w:ind w:left="0" w:right="0" w:hanging="0"/>
              <w:jc w:val="right"/>
              <w:rPr/>
            </w:pPr>
            <w:r>
              <w:rPr/>
              <w:t>​</w:t>
            </w:r>
          </w:p>
        </w:tc>
      </w:tr>
      <w:tr>
        <w:trPr/>
        <w:tc>
          <w:tcPr>
            <w:tcW w:w="7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w:t>
            </w:r>
          </w:p>
        </w:tc>
        <w:tc>
          <w:tcPr>
            <w:tcW w:w="299" w:type="dxa"/>
            <w:tcBorders/>
            <w:shd w:fill="CCEEFF" w:val="clear"/>
            <w:vAlign w:val="center"/>
          </w:tcPr>
          <w:p>
            <w:pPr>
              <w:pStyle w:val="TableContents"/>
              <w:bidi w:val="0"/>
              <w:spacing w:before="0" w:after="1"/>
              <w:ind w:left="0" w:right="0" w:hanging="0"/>
              <w:jc w:val="left"/>
              <w:rPr/>
            </w:pPr>
            <w:r>
              <w:rPr/>
              <w:t>​</w:t>
            </w:r>
          </w:p>
        </w:tc>
        <w:tc>
          <w:tcPr>
            <w:tcW w:w="111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pPr>
            <w:r>
              <w:rPr/>
              <w:t>​</w:t>
            </w:r>
          </w:p>
        </w:tc>
      </w:tr>
      <w:tr>
        <w:trPr/>
        <w:tc>
          <w:tcPr>
            <w:tcW w:w="7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100 million shares authorized, $0.01 par value per share, 8.00% Series A Cumulative Redeemable Preferred Stock, $25.00 Per Share Liquidation Preference, 2,489,747 shares issued and outstanding as of September 30, 2026 and 2,083,328 shares issued and outstanding as of December 31, 2025</w:t>
            </w:r>
          </w:p>
        </w:tc>
        <w:tc>
          <w:tcPr>
            <w:tcW w:w="299" w:type="dxa"/>
            <w:tcBorders/>
            <w:vAlign w:val="center"/>
          </w:tcPr>
          <w:p>
            <w:pPr>
              <w:pStyle w:val="TableContents"/>
              <w:bidi w:val="0"/>
              <w:spacing w:before="0" w:after="1"/>
              <w:ind w:left="0" w:right="0" w:hanging="0"/>
              <w:jc w:val="left"/>
              <w:rPr/>
            </w:pPr>
            <w:r>
              <w:rPr/>
              <w:t>​</w:t>
            </w:r>
          </w:p>
        </w:tc>
        <w:tc>
          <w:tcPr>
            <w:tcW w:w="11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$0.01 par value per share, 500 million shares authorized, 17,935,407 shares issued and outstanding as of September 30, 2026 and 14,783,419 shares issued and outstanding as of December 31, 2025</w:t>
            </w:r>
          </w:p>
        </w:tc>
        <w:tc>
          <w:tcPr>
            <w:tcW w:w="299" w:type="dxa"/>
            <w:tcBorders/>
            <w:shd w:fill="CCEEFF" w:val="clear"/>
            <w:vAlign w:val="center"/>
          </w:tcPr>
          <w:p>
            <w:pPr>
              <w:pStyle w:val="TableContents"/>
              <w:bidi w:val="0"/>
              <w:spacing w:before="0" w:after="1"/>
              <w:ind w:left="0" w:right="0" w:hanging="0"/>
              <w:jc w:val="left"/>
              <w:rPr/>
            </w:pPr>
            <w:r>
              <w:rPr/>
              <w:t>​</w:t>
            </w:r>
          </w:p>
        </w:tc>
        <w:tc>
          <w:tcPr>
            <w:tcW w:w="11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7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299" w:type="dxa"/>
            <w:tcBorders/>
            <w:vAlign w:val="center"/>
          </w:tcPr>
          <w:p>
            <w:pPr>
              <w:pStyle w:val="TableContents"/>
              <w:bidi w:val="0"/>
              <w:spacing w:before="0" w:after="1"/>
              <w:ind w:left="0" w:right="0" w:hanging="0"/>
              <w:jc w:val="left"/>
              <w:rPr/>
            </w:pPr>
            <w:r>
              <w:rPr/>
              <w:t>​</w:t>
            </w:r>
          </w:p>
        </w:tc>
        <w:tc>
          <w:tcPr>
            <w:tcW w:w="11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383,408</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313,690</w:t>
            </w:r>
          </w:p>
        </w:tc>
      </w:tr>
      <w:tr>
        <w:trPr/>
        <w:tc>
          <w:tcPr>
            <w:tcW w:w="7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in Excess of Net Income</w:t>
            </w:r>
          </w:p>
        </w:tc>
        <w:tc>
          <w:tcPr>
            <w:tcW w:w="299" w:type="dxa"/>
            <w:tcBorders/>
            <w:shd w:fill="CCEEFF" w:val="clear"/>
            <w:vAlign w:val="center"/>
          </w:tcPr>
          <w:p>
            <w:pPr>
              <w:pStyle w:val="TableContents"/>
              <w:bidi w:val="0"/>
              <w:spacing w:before="0" w:after="1"/>
              <w:ind w:left="0" w:right="0" w:hanging="0"/>
              <w:jc w:val="left"/>
              <w:rPr/>
            </w:pPr>
            <w:r>
              <w:rPr/>
              <w:t>​</w:t>
            </w:r>
          </w:p>
        </w:tc>
        <w:tc>
          <w:tcPr>
            <w:tcW w:w="11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(43,689)</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(35,276)</w:t>
            </w:r>
          </w:p>
        </w:tc>
      </w:tr>
      <w:tr>
        <w:trPr/>
        <w:tc>
          <w:tcPr>
            <w:tcW w:w="7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7,452</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w:t>
            </w:r>
          </w:p>
        </w:tc>
      </w:tr>
      <w:tr>
        <w:trPr/>
        <w:tc>
          <w:tcPr>
            <w:tcW w:w="7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299" w:type="dxa"/>
            <w:tcBorders/>
            <w:shd w:fill="CCEEFF" w:val="clear"/>
            <w:vAlign w:val="center"/>
          </w:tcPr>
          <w:p>
            <w:pPr>
              <w:pStyle w:val="TableContents"/>
              <w:bidi w:val="0"/>
              <w:spacing w:before="0" w:after="1"/>
              <w:ind w:left="0" w:right="0" w:hanging="0"/>
              <w:jc w:val="left"/>
              <w:rPr/>
            </w:pPr>
            <w:r>
              <w:rPr/>
              <w:t>​</w:t>
            </w:r>
          </w:p>
        </w:tc>
        <w:tc>
          <w:tcPr>
            <w:tcW w:w="11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347,375</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279,876</w:t>
            </w:r>
          </w:p>
        </w:tc>
      </w:tr>
      <w:tr>
        <w:trPr/>
        <w:tc>
          <w:tcPr>
            <w:tcW w:w="7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21,483</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21,380</w:t>
            </w:r>
          </w:p>
        </w:tc>
      </w:tr>
      <w:tr>
        <w:trPr/>
        <w:tc>
          <w:tcPr>
            <w:tcW w:w="70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368,858</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301,256</w:t>
            </w:r>
          </w:p>
        </w:tc>
      </w:tr>
      <w:tr>
        <w:trPr/>
        <w:tc>
          <w:tcPr>
            <w:tcW w:w="70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2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821,106</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715,874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accompanying notes are an integral part of these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143" w:name="_b0a3ab94_58f6_4cb9_9100_47f2d7e256ce"/>
      <w:bookmarkEnd w:id="143"/>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bookmarkStart w:id="144" w:name="CONSOLIDATEDSTATEMENTSOPERATIONS"/>
      <w:bookmarkEnd w:id="144"/>
      <w:r>
        <w:rPr>
          <w:rFonts w:ascii="Times New Roman;Times;serif" w:hAnsi="Times New Roman;Times;serif"/>
          <w:sz w:val="20"/>
        </w:rPr>
        <w:t>CONSOLIDATED 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 except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5" w:name="Tc_s4hw7GT8C0G1HsYBZu6Yng_31_0"/>
      <w:bookmarkStart w:id="146" w:name="Tc_L-XgjHAJjkqaNGu3hr7kbQ_30_0"/>
      <w:bookmarkStart w:id="147" w:name="Tc_cLWsEFrFVEKqrNOrId04OA_29_0"/>
      <w:bookmarkStart w:id="148" w:name="Tc_akOvIVRAHkq1Mt2bczJOjg_27_11"/>
      <w:bookmarkStart w:id="149" w:name="Tc_q14KFnnR40Ko0ufPKbMe-Q_27_8"/>
      <w:bookmarkStart w:id="150" w:name="Tc_B2kslpMeNkmDYdgUTWQMXg_27_5"/>
      <w:bookmarkStart w:id="151" w:name="Tc_O3GLngeZRkuXQGyl_mhgxw_27_2"/>
      <w:bookmarkStart w:id="152" w:name="Tc_0VMkXa4I7Uuh7tQs5bu3eg_27_0"/>
      <w:bookmarkStart w:id="153" w:name="Tc_dG8m7REKa0qutZ8wE2Onvg_26_11"/>
      <w:bookmarkStart w:id="154" w:name="Tc_xFz2NqUvcUqfVX0GHIHgrw_26_8"/>
      <w:bookmarkStart w:id="155" w:name="Tc_2HClxJ25qU-EBJhw1Fj8wQ_26_5"/>
      <w:bookmarkStart w:id="156" w:name="Tc_fYVm3OjGhUmwc2cfUFk43Q_26_2"/>
      <w:bookmarkStart w:id="157" w:name="Tc_1IDcp1vyqEmwwMrh3nKwng_26_0"/>
      <w:bookmarkStart w:id="158" w:name="Tc_3OgMNgzzoUKINKT3WpNzZA_25_0"/>
      <w:bookmarkStart w:id="159" w:name="Tc_FHdZ8X3tzU6UIgTc2ZHpBg_24_0"/>
      <w:bookmarkStart w:id="160" w:name="Tc_ZRhy5o60cEK7RfpcqzfLJQ_22_11"/>
      <w:bookmarkStart w:id="161" w:name="Tc_mlYacBUL8k-VG8Wm-G80QA_22_8"/>
      <w:bookmarkStart w:id="162" w:name="Tc_GBhuhFaDNUeFhAAO-1UfPQ_22_5"/>
      <w:bookmarkStart w:id="163" w:name="Tc_7jTuNp-lMkeJF4EZ9Kfpmg_22_2"/>
      <w:bookmarkStart w:id="164" w:name="Tc_YzYlJT3yUEKGybu1rWt5ww_22_0"/>
      <w:bookmarkStart w:id="165" w:name="Tc_vr5lsyXV6Ueoc_Yz6VTPwQ_21_12"/>
      <w:bookmarkStart w:id="166" w:name="Tc_C0l7zCUsaUS0GUX-xwYQmw_21_6"/>
      <w:bookmarkStart w:id="167" w:name="Tc_GKPudD47V0q2sMUs7M2lcQ_21_0"/>
      <w:bookmarkStart w:id="168" w:name="Tc_uRPgnrI3JEqoPTkhm6HyIw_20_0"/>
      <w:bookmarkStart w:id="169" w:name="Tc_srRFs8pf6U-x_rMdy2bXKg_19_0"/>
      <w:bookmarkStart w:id="170" w:name="Tc_5RZy6UhSNkqZ-MMIKqvswQ_18_0"/>
      <w:bookmarkStart w:id="171" w:name="Tc_z6tE3-IiAkaPIMHSsKOy3A_17_0"/>
      <w:bookmarkStart w:id="172" w:name="Tc_oJd6IWVkn0OyCLRv4OFPeQ_16_0"/>
      <w:bookmarkStart w:id="173" w:name="Tc_IVuxb7cNa0ikkIW9gvWS_w_15_0"/>
      <w:bookmarkStart w:id="174" w:name="Tc_6Oa7ypkvzk6FHgZWZwfgkw_14_0"/>
      <w:bookmarkStart w:id="175" w:name="Tc_4Nqc7AoZm0qvvT2gXjRe3Q_13_0"/>
      <w:bookmarkStart w:id="176" w:name="Tc_SGgMZmJ9bkyE6EO_Oh3TIg_12_0"/>
      <w:bookmarkStart w:id="177" w:name="Tc_bJr8H-CpC0q2VPHRHQpC3g_11_0"/>
      <w:bookmarkStart w:id="178" w:name="Tc_GIQe6PGouES_lGys0Oy_0w_10_0"/>
      <w:bookmarkStart w:id="179" w:name="Tc_ousyI6Koz0SKZqm3ihwmxQ_9_0"/>
      <w:bookmarkStart w:id="180" w:name="Tc_Yz7xU3wItU23OAIKGYQ8ow_8_0"/>
      <w:bookmarkStart w:id="181" w:name="Tc_4U1TnSntx0KorwzeA3HkNw_7_0"/>
      <w:bookmarkStart w:id="182" w:name="Tc_Ej2Hq_Bg2U660E42AFO6ZA_6_0"/>
      <w:bookmarkStart w:id="183" w:name="Tc_k1NpTPaahEWwKs5lbeLV7Q_5_0"/>
      <w:bookmarkStart w:id="184" w:name="Tc_oBb7G62No0ewhebHJ5Ywrg_4_11"/>
      <w:bookmarkStart w:id="185" w:name="Tc_PFifNpXuhEmUR5neGc1Qng_4_8"/>
      <w:bookmarkStart w:id="186" w:name="Tc_zgHFED_VvEuxkegCCdd94w_4_5"/>
      <w:bookmarkStart w:id="187" w:name="Tc_fPj9sZmbrk2cZRm9HQpzuw_4_2"/>
      <w:bookmarkStart w:id="188" w:name="Tc_1bDWUhW2WkKRF6BTHIyYUw_4_0"/>
      <w:bookmarkStart w:id="189" w:name="Tc_3iDyQD-xh0eG7cafm8DhMA_3_0"/>
      <w:bookmarkStart w:id="190" w:name="Tc_rLR9RmAm4EWPk3tQW6w8kw_2_11"/>
      <w:bookmarkStart w:id="191" w:name="Tc_A9QktNFj802YRlTyx8GuJw_2_8"/>
      <w:bookmarkStart w:id="192" w:name="Tc_D0ULyEklXk-PXNkEgI6ppg_2_5"/>
      <w:bookmarkStart w:id="193" w:name="Tc_WvdxSQueG0ufeNWmAKt-7Q_2_2"/>
      <w:bookmarkStart w:id="194" w:name="Tc_QTbCTIEx2kGrIx8x_ljsdA_1_8"/>
      <w:bookmarkStart w:id="195" w:name="Tc_mYTx0YYlR0Oh4YTAlD_isA_1_2"/>
      <w:bookmarkStart w:id="196" w:name="_28da37b6_eced_4282_8387_5058a00681d4"/>
      <w:bookmarkStart w:id="197" w:name="Tc_s4hw7GT8C0G1HsYBZu6Yng_31_0"/>
      <w:bookmarkStart w:id="198" w:name="Tc_L-XgjHAJjkqaNGu3hr7kbQ_30_0"/>
      <w:bookmarkStart w:id="199" w:name="Tc_cLWsEFrFVEKqrNOrId04OA_29_0"/>
      <w:bookmarkStart w:id="200" w:name="Tc_akOvIVRAHkq1Mt2bczJOjg_27_11"/>
      <w:bookmarkStart w:id="201" w:name="Tc_q14KFnnR40Ko0ufPKbMe-Q_27_8"/>
      <w:bookmarkStart w:id="202" w:name="Tc_B2kslpMeNkmDYdgUTWQMXg_27_5"/>
      <w:bookmarkStart w:id="203" w:name="Tc_O3GLngeZRkuXQGyl_mhgxw_27_2"/>
      <w:bookmarkStart w:id="204" w:name="Tc_0VMkXa4I7Uuh7tQs5bu3eg_27_0"/>
      <w:bookmarkStart w:id="205" w:name="Tc_dG8m7REKa0qutZ8wE2Onvg_26_11"/>
      <w:bookmarkStart w:id="206" w:name="Tc_xFz2NqUvcUqfVX0GHIHgrw_26_8"/>
      <w:bookmarkStart w:id="207" w:name="Tc_2HClxJ25qU-EBJhw1Fj8wQ_26_5"/>
      <w:bookmarkStart w:id="208" w:name="Tc_fYVm3OjGhUmwc2cfUFk43Q_26_2"/>
      <w:bookmarkStart w:id="209" w:name="Tc_1IDcp1vyqEmwwMrh3nKwng_26_0"/>
      <w:bookmarkStart w:id="210" w:name="Tc_3OgMNgzzoUKINKT3WpNzZA_25_0"/>
      <w:bookmarkStart w:id="211" w:name="Tc_FHdZ8X3tzU6UIgTc2ZHpBg_24_0"/>
      <w:bookmarkStart w:id="212" w:name="Tc_ZRhy5o60cEK7RfpcqzfLJQ_22_11"/>
      <w:bookmarkStart w:id="213" w:name="Tc_mlYacBUL8k-VG8Wm-G80QA_22_8"/>
      <w:bookmarkStart w:id="214" w:name="Tc_GBhuhFaDNUeFhAAO-1UfPQ_22_5"/>
      <w:bookmarkStart w:id="215" w:name="Tc_7jTuNp-lMkeJF4EZ9Kfpmg_22_2"/>
      <w:bookmarkStart w:id="216" w:name="Tc_YzYlJT3yUEKGybu1rWt5ww_22_0"/>
      <w:bookmarkStart w:id="217" w:name="Tc_vr5lsyXV6Ueoc_Yz6VTPwQ_21_12"/>
      <w:bookmarkStart w:id="218" w:name="Tc_C0l7zCUsaUS0GUX-xwYQmw_21_6"/>
      <w:bookmarkStart w:id="219" w:name="Tc_GKPudD47V0q2sMUs7M2lcQ_21_0"/>
      <w:bookmarkStart w:id="220" w:name="Tc_uRPgnrI3JEqoPTkhm6HyIw_20_0"/>
      <w:bookmarkStart w:id="221" w:name="Tc_srRFs8pf6U-x_rMdy2bXKg_19_0"/>
      <w:bookmarkStart w:id="222" w:name="Tc_5RZy6UhSNkqZ-MMIKqvswQ_18_0"/>
      <w:bookmarkStart w:id="223" w:name="Tc_z6tE3-IiAkaPIMHSsKOy3A_17_0"/>
      <w:bookmarkStart w:id="224" w:name="Tc_oJd6IWVkn0OyCLRv4OFPeQ_16_0"/>
      <w:bookmarkStart w:id="225" w:name="Tc_IVuxb7cNa0ikkIW9gvWS_w_15_0"/>
      <w:bookmarkStart w:id="226" w:name="Tc_6Oa7ypkvzk6FHgZWZwfgkw_14_0"/>
      <w:bookmarkStart w:id="227" w:name="Tc_4Nqc7AoZm0qvvT2gXjRe3Q_13_0"/>
      <w:bookmarkStart w:id="228" w:name="Tc_SGgMZmJ9bkyE6EO_Oh3TIg_12_0"/>
      <w:bookmarkStart w:id="229" w:name="Tc_bJr8H-CpC0q2VPHRHQpC3g_11_0"/>
      <w:bookmarkStart w:id="230" w:name="Tc_GIQe6PGouES_lGys0Oy_0w_10_0"/>
      <w:bookmarkStart w:id="231" w:name="Tc_ousyI6Koz0SKZqm3ihwmxQ_9_0"/>
      <w:bookmarkStart w:id="232" w:name="Tc_Yz7xU3wItU23OAIKGYQ8ow_8_0"/>
      <w:bookmarkStart w:id="233" w:name="Tc_4U1TnSntx0KorwzeA3HkNw_7_0"/>
      <w:bookmarkStart w:id="234" w:name="Tc_Ej2Hq_Bg2U660E42AFO6ZA_6_0"/>
      <w:bookmarkStart w:id="235" w:name="Tc_k1NpTPaahEWwKs5lbeLV7Q_5_0"/>
      <w:bookmarkStart w:id="236" w:name="Tc_oBb7G62No0ewhebHJ5Ywrg_4_11"/>
      <w:bookmarkStart w:id="237" w:name="Tc_PFifNpXuhEmUR5neGc1Qng_4_8"/>
      <w:bookmarkStart w:id="238" w:name="Tc_zgHFED_VvEuxkegCCdd94w_4_5"/>
      <w:bookmarkStart w:id="239" w:name="Tc_fPj9sZmbrk2cZRm9HQpzuw_4_2"/>
      <w:bookmarkStart w:id="240" w:name="Tc_1bDWUhW2WkKRF6BTHIyYUw_4_0"/>
      <w:bookmarkStart w:id="241" w:name="Tc_3iDyQD-xh0eG7cafm8DhMA_3_0"/>
      <w:bookmarkStart w:id="242" w:name="Tc_rLR9RmAm4EWPk3tQW6w8kw_2_11"/>
      <w:bookmarkStart w:id="243" w:name="Tc_A9QktNFj802YRlTyx8GuJw_2_8"/>
      <w:bookmarkStart w:id="244" w:name="Tc_D0ULyEklXk-PXNkEgI6ppg_2_5"/>
      <w:bookmarkStart w:id="245" w:name="Tc_WvdxSQueG0ufeNWmAKt-7Q_2_2"/>
      <w:bookmarkStart w:id="246" w:name="Tc_QTbCTIEx2kGrIx8x_ljsdA_1_8"/>
      <w:bookmarkStart w:id="247" w:name="Tc_mYTx0YYlR0Oh4YTAlD_isA_1_2"/>
      <w:bookmarkStart w:id="248" w:name="_28da37b6_eced_4282_8387_5058a00681d4"/>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tbl>
      <w:tblPr>
        <w:tblW w:w="10205" w:type="dxa"/>
        <w:jc w:val="left"/>
        <w:tblInd w:w="0" w:type="dxa"/>
        <w:tblLayout w:type="fixed"/>
        <w:tblCellMar>
          <w:top w:w="0" w:type="dxa"/>
          <w:left w:w="0" w:type="dxa"/>
          <w:bottom w:w="0" w:type="dxa"/>
          <w:right w:w="0" w:type="dxa"/>
        </w:tblCellMar>
      </w:tblPr>
      <w:tblGrid>
        <w:gridCol w:w="3557"/>
        <w:gridCol w:w="109"/>
        <w:gridCol w:w="259"/>
        <w:gridCol w:w="1281"/>
        <w:gridCol w:w="109"/>
        <w:gridCol w:w="259"/>
        <w:gridCol w:w="1281"/>
        <w:gridCol w:w="109"/>
        <w:gridCol w:w="259"/>
        <w:gridCol w:w="1281"/>
        <w:gridCol w:w="109"/>
        <w:gridCol w:w="247"/>
        <w:gridCol w:w="1345"/>
      </w:tblGrid>
      <w:tr>
        <w:trPr/>
        <w:tc>
          <w:tcPr>
            <w:tcW w:w="35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6"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64465" cy="175260"/>
                      <wp:effectExtent l="0" t="0" r="0" b="0"/>
                      <wp:wrapNone/>
                      <wp:docPr id="7" name="Frame7"/>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813435" cy="175260"/>
                      <wp:effectExtent l="0" t="0" r="0" b="0"/>
                      <wp:wrapNone/>
                      <wp:docPr id="8" name="Frame8"/>
                      <a:graphic xmlns:a="http://schemas.openxmlformats.org/drawingml/2006/main">
                        <a:graphicData uri="http://schemas.microsoft.com/office/word/2010/wordprocessingShape">
                          <wps:wsp>
                            <wps:cNvSpPr txBox="1"/>
                            <wps:spPr>
                              <a:xfrm>
                                <a:off x="0" y="0"/>
                                <a:ext cx="813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64465" cy="175260"/>
                      <wp:effectExtent l="0" t="0" r="0" b="0"/>
                      <wp:wrapNone/>
                      <wp:docPr id="10" name="Frame10"/>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813435" cy="175260"/>
                      <wp:effectExtent l="0" t="0" r="0" b="0"/>
                      <wp:wrapNone/>
                      <wp:docPr id="11" name="Frame11"/>
                      <a:graphic xmlns:a="http://schemas.openxmlformats.org/drawingml/2006/main">
                        <a:graphicData uri="http://schemas.microsoft.com/office/word/2010/wordprocessingShape">
                          <wps:wsp>
                            <wps:cNvSpPr txBox="1"/>
                            <wps:spPr>
                              <a:xfrm>
                                <a:off x="0" y="0"/>
                                <a:ext cx="813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64465" cy="175260"/>
                      <wp:effectExtent l="0" t="0" r="0" b="0"/>
                      <wp:wrapNone/>
                      <wp:docPr id="13" name="Frame13"/>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813435" cy="175260"/>
                      <wp:effectExtent l="0" t="0" r="0" b="0"/>
                      <wp:wrapNone/>
                      <wp:docPr id="14" name="Frame14"/>
                      <a:graphic xmlns:a="http://schemas.openxmlformats.org/drawingml/2006/main">
                        <a:graphicData uri="http://schemas.microsoft.com/office/word/2010/wordprocessingShape">
                          <wps:wsp>
                            <wps:cNvSpPr txBox="1"/>
                            <wps:spPr>
                              <a:xfrm>
                                <a:off x="0" y="0"/>
                                <a:ext cx="813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56845" cy="175260"/>
                      <wp:effectExtent l="0" t="0" r="0" b="0"/>
                      <wp:wrapNone/>
                      <wp:docPr id="16" name="Frame1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854075" cy="175260"/>
                      <wp:effectExtent l="0" t="0" r="0" b="0"/>
                      <wp:wrapNone/>
                      <wp:docPr id="17" name="Frame17"/>
                      <a:graphic xmlns:a="http://schemas.openxmlformats.org/drawingml/2006/main">
                        <a:graphicData uri="http://schemas.microsoft.com/office/word/2010/wordprocessingShape">
                          <wps:wsp>
                            <wps:cNvSpPr txBox="1"/>
                            <wps:spPr>
                              <a:xfrm>
                                <a:off x="0" y="0"/>
                                <a:ext cx="854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7" w:type="dxa"/>
            <w:tcBorders/>
            <w:vAlign w:val="center"/>
          </w:tcPr>
          <w:p>
            <w:pPr>
              <w:pStyle w:val="TableContents"/>
              <w:bidi w:val="0"/>
              <w:spacing w:before="0" w:after="1"/>
              <w:ind w:left="0" w:right="0" w:hanging="0"/>
              <w:jc w:val="left"/>
              <w:rPr>
                <w:color w:val="FF0000"/>
              </w:rPr>
            </w:pPr>
            <w:r>
              <w:rPr>
                <w:color w:val="FF0000"/>
              </w:rPr>
              <w:t>​</w:t>
            </w:r>
          </w:p>
        </w:tc>
        <w:tc>
          <w:tcPr>
            <w:tcW w:w="109" w:type="dxa"/>
            <w:tcBorders/>
            <w:vAlign w:val="center"/>
          </w:tcPr>
          <w:p>
            <w:pPr>
              <w:pStyle w:val="TableContents"/>
              <w:bidi w:val="0"/>
              <w:spacing w:before="0" w:after="1"/>
              <w:ind w:left="0" w:right="0" w:hanging="0"/>
              <w:jc w:val="left"/>
              <w:rPr/>
            </w:pPr>
            <w:r>
              <w:rPr/>
              <w:t>​</w:t>
            </w:r>
          </w:p>
        </w:tc>
        <w:tc>
          <w:tcPr>
            <w:tcW w:w="318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1"/>
              <w:ind w:left="0" w:right="0" w:hanging="0"/>
              <w:jc w:val="left"/>
              <w:rPr/>
            </w:pPr>
            <w:r>
              <w:rPr/>
              <w:t>​</w:t>
            </w:r>
          </w:p>
        </w:tc>
        <w:tc>
          <w:tcPr>
            <w:tcW w:w="324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5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5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1"/>
              <w:ind w:left="0" w:right="0" w:hanging="0"/>
              <w:jc w:val="center"/>
              <w:rPr/>
            </w:pPr>
            <w:r>
              <w:rPr/>
              <w:t>​</w:t>
            </w:r>
          </w:p>
        </w:tc>
        <w:tc>
          <w:tcPr>
            <w:tcW w:w="15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1"/>
              <w:ind w:left="0" w:right="0" w:hanging="0"/>
              <w:jc w:val="center"/>
              <w:rPr/>
            </w:pPr>
            <w:r>
              <w:rPr/>
              <w:t>​</w:t>
            </w:r>
          </w:p>
        </w:tc>
        <w:tc>
          <w:tcPr>
            <w:tcW w:w="15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1"/>
              <w:ind w:left="0" w:right="0" w:hanging="0"/>
              <w:jc w:val="center"/>
              <w:rPr/>
            </w:pPr>
            <w:r>
              <w:rPr/>
              <w:t>​</w:t>
            </w:r>
          </w:p>
        </w:tc>
        <w:tc>
          <w:tcPr>
            <w:tcW w:w="15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r>
      <w:tr>
        <w:trPr/>
        <w:tc>
          <w:tcPr>
            <w:tcW w:w="3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center"/>
              <w:rPr/>
            </w:pPr>
            <w:r>
              <w:rPr/>
              <w:t>​</w:t>
            </w:r>
          </w:p>
        </w:tc>
        <w:tc>
          <w:tcPr>
            <w:tcW w:w="128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center"/>
              <w:rPr/>
            </w:pPr>
            <w:r>
              <w:rPr/>
              <w:t>​</w:t>
            </w:r>
          </w:p>
        </w:tc>
        <w:tc>
          <w:tcPr>
            <w:tcW w:w="128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center"/>
              <w:rPr/>
            </w:pPr>
            <w:r>
              <w:rPr/>
              <w:t>​</w:t>
            </w:r>
          </w:p>
        </w:tc>
        <w:tc>
          <w:tcPr>
            <w:tcW w:w="128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center"/>
              <w:rPr/>
            </w:pPr>
            <w:r>
              <w:rPr/>
              <w:t>​</w:t>
            </w:r>
          </w:p>
        </w:tc>
        <w:tc>
          <w:tcPr>
            <w:tcW w:w="1345" w:type="dxa"/>
            <w:tcBorders/>
            <w:shd w:fill="CCEEFF" w:val="clear"/>
            <w:vAlign w:val="center"/>
          </w:tcPr>
          <w:p>
            <w:pPr>
              <w:pStyle w:val="TableContents"/>
              <w:bidi w:val="0"/>
              <w:spacing w:before="0" w:after="1"/>
              <w:ind w:left="0" w:right="0" w:hanging="0"/>
              <w:jc w:val="center"/>
              <w:rPr/>
            </w:pPr>
            <w:r>
              <w:rPr/>
              <w:t>​</w:t>
            </w:r>
          </w:p>
        </w:tc>
      </w:tr>
      <w:tr>
        <w:trPr/>
        <w:tc>
          <w:tcPr>
            <w:tcW w:w="3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12,812</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12,122</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38,051</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35,970</w:t>
            </w:r>
          </w:p>
        </w:tc>
      </w:tr>
      <w:tr>
        <w:trPr/>
        <w:tc>
          <w:tcPr>
            <w:tcW w:w="3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7,611</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2,320</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20,700</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7,358</w:t>
            </w:r>
          </w:p>
        </w:tc>
      </w:tr>
      <w:tr>
        <w:trPr/>
        <w:tc>
          <w:tcPr>
            <w:tcW w:w="3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109"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3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20,460</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14,563</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58,868</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43,632</w:t>
            </w:r>
          </w:p>
        </w:tc>
      </w:tr>
      <w:tr>
        <w:trPr/>
        <w:tc>
          <w:tcPr>
            <w:tcW w:w="3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345" w:type="dxa"/>
            <w:tcBorders/>
            <w:vAlign w:val="center"/>
          </w:tcPr>
          <w:p>
            <w:pPr>
              <w:pStyle w:val="TableContents"/>
              <w:bidi w:val="0"/>
              <w:spacing w:before="0" w:after="1"/>
              <w:ind w:left="0" w:right="0" w:hanging="0"/>
              <w:jc w:val="right"/>
              <w:rPr/>
            </w:pPr>
            <w:r>
              <w:rPr/>
              <w:t>​</w:t>
            </w:r>
          </w:p>
        </w:tc>
      </w:tr>
      <w:tr>
        <w:trPr/>
        <w:tc>
          <w:tcPr>
            <w:tcW w:w="3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2,095</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6,482</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6,030</w:t>
            </w:r>
          </w:p>
        </w:tc>
      </w:tr>
      <w:tr>
        <w:trPr/>
        <w:tc>
          <w:tcPr>
            <w:tcW w:w="3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2,009</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1,695</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5,896</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3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5,108</w:t>
            </w:r>
          </w:p>
        </w:tc>
      </w:tr>
      <w:tr>
        <w:trPr/>
        <w:tc>
          <w:tcPr>
            <w:tcW w:w="3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1,915</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6,749</w:t>
            </w:r>
          </w:p>
        </w:tc>
      </w:tr>
      <w:tr>
        <w:trPr/>
        <w:tc>
          <w:tcPr>
            <w:tcW w:w="3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6,881</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6,597</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20,901</w:t>
            </w:r>
          </w:p>
        </w:tc>
        <w:tc>
          <w:tcPr>
            <w:tcW w:w="109"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20,609</w:t>
            </w:r>
          </w:p>
        </w:tc>
      </w:tr>
      <w:tr>
        <w:trPr/>
        <w:tc>
          <w:tcPr>
            <w:tcW w:w="3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10,909</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12,098</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34,088</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38,496</w:t>
            </w:r>
          </w:p>
        </w:tc>
      </w:tr>
      <w:tr>
        <w:trPr/>
        <w:tc>
          <w:tcPr>
            <w:tcW w:w="3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Disposition of Assets</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109"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w:t>
            </w:r>
          </w:p>
        </w:tc>
      </w:tr>
      <w:tr>
        <w:trPr/>
        <w:tc>
          <w:tcPr>
            <w:tcW w:w="3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9,823</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2,419</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25,149</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7,179</w:t>
            </w:r>
          </w:p>
        </w:tc>
      </w:tr>
      <w:tr>
        <w:trPr/>
        <w:tc>
          <w:tcPr>
            <w:tcW w:w="3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3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3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(4,828)</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(3,910)</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(13,760)</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(11,822)</w:t>
            </w:r>
          </w:p>
        </w:tc>
      </w:tr>
      <w:tr>
        <w:trPr/>
        <w:tc>
          <w:tcPr>
            <w:tcW w:w="3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5,012</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(1,423)</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11,861</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3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(4,483)</w:t>
            </w:r>
          </w:p>
        </w:tc>
      </w:tr>
      <w:tr>
        <w:trPr/>
        <w:tc>
          <w:tcPr>
            <w:tcW w:w="3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Net Loss (Income) Attributable to Noncontrolling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r>
      <w:tr>
        <w:trPr/>
        <w:tc>
          <w:tcPr>
            <w:tcW w:w="3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Alpine Income Property Trust, Inc.</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4,688</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11,064</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3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(4,130)</w:t>
            </w:r>
          </w:p>
        </w:tc>
      </w:tr>
      <w:tr>
        <w:trPr/>
        <w:tc>
          <w:tcPr>
            <w:tcW w:w="3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Distributions to Preferred Stockholders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(3,554)</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3,443</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7,510</w:t>
            </w:r>
          </w:p>
        </w:tc>
        <w:tc>
          <w:tcPr>
            <w:tcW w:w="109"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4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(4,130)</w:t>
            </w:r>
          </w:p>
        </w:tc>
      </w:tr>
      <w:tr>
        <w:trPr/>
        <w:tc>
          <w:tcPr>
            <w:tcW w:w="355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5" w:type="dxa"/>
            <w:tcBorders/>
            <w:shd w:fill="CCEEFF" w:val="clear"/>
            <w:vAlign w:val="center"/>
          </w:tcPr>
          <w:p>
            <w:pPr>
              <w:pStyle w:val="TableContents"/>
              <w:bidi w:val="0"/>
              <w:spacing w:before="0" w:after="1"/>
              <w:ind w:left="0" w:right="0" w:hanging="0"/>
              <w:jc w:val="right"/>
              <w:rPr/>
            </w:pPr>
            <w:r>
              <w:rPr/>
              <w:t>​</w:t>
            </w:r>
          </w:p>
        </w:tc>
      </w:tr>
      <w:tr>
        <w:trPr/>
        <w:tc>
          <w:tcPr>
            <w:tcW w:w="355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345" w:type="dxa"/>
            <w:tcBorders/>
            <w:vAlign w:val="center"/>
          </w:tcPr>
          <w:p>
            <w:pPr>
              <w:pStyle w:val="TableContents"/>
              <w:bidi w:val="0"/>
              <w:spacing w:before="0" w:after="1"/>
              <w:ind w:left="0" w:right="0" w:hanging="0"/>
              <w:jc w:val="right"/>
              <w:rPr/>
            </w:pPr>
            <w:r>
              <w:rPr/>
              <w:t>​</w:t>
            </w:r>
          </w:p>
        </w:tc>
      </w:tr>
      <w:tr>
        <w:trPr/>
        <w:tc>
          <w:tcPr>
            <w:tcW w:w="3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5" w:type="dxa"/>
            <w:tcBorders/>
            <w:shd w:fill="CCEEFF" w:val="clear"/>
            <w:vAlign w:val="center"/>
          </w:tcPr>
          <w:p>
            <w:pPr>
              <w:pStyle w:val="TableContents"/>
              <w:bidi w:val="0"/>
              <w:spacing w:before="0" w:after="1"/>
              <w:ind w:left="0" w:right="0" w:hanging="0"/>
              <w:jc w:val="right"/>
              <w:rPr/>
            </w:pPr>
            <w:r>
              <w:rPr/>
              <w:t>​</w:t>
            </w:r>
          </w:p>
        </w:tc>
      </w:tr>
      <w:tr>
        <w:trPr/>
        <w:tc>
          <w:tcPr>
            <w:tcW w:w="3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0.19</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0.45</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r>
      <w:tr>
        <w:trPr/>
        <w:tc>
          <w:tcPr>
            <w:tcW w:w="3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0.42</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r>
      <w:tr>
        <w:trPr/>
        <w:tc>
          <w:tcPr>
            <w:tcW w:w="35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345" w:type="dxa"/>
            <w:tcBorders/>
            <w:vAlign w:val="center"/>
          </w:tcPr>
          <w:p>
            <w:pPr>
              <w:pStyle w:val="TableContents"/>
              <w:bidi w:val="0"/>
              <w:spacing w:before="0" w:after="1"/>
              <w:ind w:left="0" w:right="0" w:hanging="0"/>
              <w:jc w:val="left"/>
              <w:rPr/>
            </w:pPr>
            <w:r>
              <w:rPr/>
              <w:t>​</w:t>
            </w:r>
          </w:p>
        </w:tc>
      </w:tr>
      <w:tr>
        <w:trPr/>
        <w:tc>
          <w:tcPr>
            <w:tcW w:w="3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5" w:type="dxa"/>
            <w:tcBorders/>
            <w:shd w:fill="CCEEFF" w:val="clear"/>
            <w:vAlign w:val="center"/>
          </w:tcPr>
          <w:p>
            <w:pPr>
              <w:pStyle w:val="TableContents"/>
              <w:bidi w:val="0"/>
              <w:spacing w:before="0" w:after="1"/>
              <w:ind w:left="0" w:right="0" w:hanging="0"/>
              <w:jc w:val="right"/>
              <w:rPr/>
            </w:pPr>
            <w:r>
              <w:rPr/>
              <w:t>​</w:t>
            </w:r>
          </w:p>
        </w:tc>
      </w:tr>
      <w:tr>
        <w:trPr/>
        <w:tc>
          <w:tcPr>
            <w:tcW w:w="3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17,694,160</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14,158,190</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16,776,481</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3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14,328,245</w:t>
            </w:r>
          </w:p>
        </w:tc>
      </w:tr>
      <w:tr>
        <w:trPr/>
        <w:tc>
          <w:tcPr>
            <w:tcW w:w="3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18,918,014</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15,382,044</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18,000,335</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5"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15,552,099</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249" w:name="_fb36c612_f4e1_4896_8279_d58856361f5b"/>
      <w:bookmarkEnd w:id="249"/>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bookmarkStart w:id="250" w:name="CONSOLIDATEDSTATEMENTSOFCOMPINCOME"/>
      <w:bookmarkEnd w:id="250"/>
      <w:r>
        <w:rPr>
          <w:rFonts w:ascii="Times New Roman;Times;serif" w:hAnsi="Times New Roman;Times;serif"/>
          <w:sz w:val="20"/>
        </w:rPr>
        <w:t>CONSOLIDATED STATEMENTS OF COMPREHENSIVE INCOME (LOSS)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51" w:name="Tc_hY1h0bZH9ESb5Pjhr0b8SQ_12_11"/>
      <w:bookmarkStart w:id="252" w:name="Tc_l6WAWGLngECKL0zpK4l7ug_12_8"/>
      <w:bookmarkStart w:id="253" w:name="Tc_T1mVHrXftE6bIqOPFGlAZw_12_5"/>
      <w:bookmarkStart w:id="254" w:name="Tc_v0r3pCx9q067d64d62kxaw_12_2"/>
      <w:bookmarkStart w:id="255" w:name="Tc_ARKlD3yL1kK-6qU535twNA_12_0"/>
      <w:bookmarkStart w:id="256" w:name="Tc_aCfRiPgKJUem8Oy8d557jg_11_0"/>
      <w:bookmarkStart w:id="257" w:name="Tc_BokIUrBoEUWvVstPnGz-ag_10_0"/>
      <w:bookmarkStart w:id="258" w:name="Tc_TWYGQKpdNEWb5F1_wUHVGg_9_0"/>
      <w:bookmarkStart w:id="259" w:name="Tc_F31xmXVS20yK9z_9TpKXnA_8_0"/>
      <w:bookmarkStart w:id="260" w:name="Tc_9OMISPhR-ku3w7A3dCPnQA_7_11"/>
      <w:bookmarkStart w:id="261" w:name="Tc_jrcIjKv7CU6j8ad538oe8w_7_8"/>
      <w:bookmarkStart w:id="262" w:name="Tc_XB7S6KCnB0WSZ0frQK3mtw_7_5"/>
      <w:bookmarkStart w:id="263" w:name="Tc_isYDhcLU6E2gYXIZufvmxA_7_2"/>
      <w:bookmarkStart w:id="264" w:name="Tc_7Bf4URxPekOlaRo74S1S1Q_7_0"/>
      <w:bookmarkStart w:id="265" w:name="Tc_XlTnx3vAkUmoVNRDxPt45Q_6_0"/>
      <w:bookmarkStart w:id="266" w:name="Tc_Rp25U_v4MU-ZzmwUOV_61w_5_0"/>
      <w:bookmarkStart w:id="267" w:name="Tc_aJGP8koUykagLsM7HWpBiA_4_0"/>
      <w:bookmarkStart w:id="268" w:name="Tc_YdnaVGXSJUKxT3X9KdypCQ_3_11"/>
      <w:bookmarkStart w:id="269" w:name="Tc_3AOx5e2Y0EiNqQ3NbdViGg_3_8"/>
      <w:bookmarkStart w:id="270" w:name="Tc_kNAsmooLYk2HnVj5GI6GFg_3_5"/>
      <w:bookmarkStart w:id="271" w:name="Tc_7LiQLUjOnk6d5QuDl1qrsA_3_2"/>
      <w:bookmarkStart w:id="272" w:name="Tc_kDVFviG3C0SycExa8WxmIA_3_0"/>
      <w:bookmarkStart w:id="273" w:name="Tc_yvNuSxX0f0urYv7-dJOQmg_2_11"/>
      <w:bookmarkStart w:id="274" w:name="Tc_FSGM42OHa0u2SevhPCvNlA_2_8"/>
      <w:bookmarkStart w:id="275" w:name="Tc_94newpm4H0WZ8_S8OzaDqw_2_5"/>
      <w:bookmarkStart w:id="276" w:name="Tc_iYI6Kil0Y0q36Ol5kSOgcQ_2_2"/>
      <w:bookmarkStart w:id="277" w:name="Tc_OGwxbWi9A0addq6N6W_iCg_1_8"/>
      <w:bookmarkStart w:id="278" w:name="Tc_fKsFnvalcUW_SxfOZb__iA_1_2"/>
      <w:bookmarkStart w:id="279" w:name="_132e16af_15fe_499f_a972_ea154f753c26"/>
      <w:bookmarkStart w:id="280" w:name="Tc_hY1h0bZH9ESb5Pjhr0b8SQ_12_11"/>
      <w:bookmarkStart w:id="281" w:name="Tc_l6WAWGLngECKL0zpK4l7ug_12_8"/>
      <w:bookmarkStart w:id="282" w:name="Tc_T1mVHrXftE6bIqOPFGlAZw_12_5"/>
      <w:bookmarkStart w:id="283" w:name="Tc_v0r3pCx9q067d64d62kxaw_12_2"/>
      <w:bookmarkStart w:id="284" w:name="Tc_ARKlD3yL1kK-6qU535twNA_12_0"/>
      <w:bookmarkStart w:id="285" w:name="Tc_aCfRiPgKJUem8Oy8d557jg_11_0"/>
      <w:bookmarkStart w:id="286" w:name="Tc_BokIUrBoEUWvVstPnGz-ag_10_0"/>
      <w:bookmarkStart w:id="287" w:name="Tc_TWYGQKpdNEWb5F1_wUHVGg_9_0"/>
      <w:bookmarkStart w:id="288" w:name="Tc_F31xmXVS20yK9z_9TpKXnA_8_0"/>
      <w:bookmarkStart w:id="289" w:name="Tc_9OMISPhR-ku3w7A3dCPnQA_7_11"/>
      <w:bookmarkStart w:id="290" w:name="Tc_jrcIjKv7CU6j8ad538oe8w_7_8"/>
      <w:bookmarkStart w:id="291" w:name="Tc_XB7S6KCnB0WSZ0frQK3mtw_7_5"/>
      <w:bookmarkStart w:id="292" w:name="Tc_isYDhcLU6E2gYXIZufvmxA_7_2"/>
      <w:bookmarkStart w:id="293" w:name="Tc_7Bf4URxPekOlaRo74S1S1Q_7_0"/>
      <w:bookmarkStart w:id="294" w:name="Tc_XlTnx3vAkUmoVNRDxPt45Q_6_0"/>
      <w:bookmarkStart w:id="295" w:name="Tc_Rp25U_v4MU-ZzmwUOV_61w_5_0"/>
      <w:bookmarkStart w:id="296" w:name="Tc_aJGP8koUykagLsM7HWpBiA_4_0"/>
      <w:bookmarkStart w:id="297" w:name="Tc_YdnaVGXSJUKxT3X9KdypCQ_3_11"/>
      <w:bookmarkStart w:id="298" w:name="Tc_3AOx5e2Y0EiNqQ3NbdViGg_3_8"/>
      <w:bookmarkStart w:id="299" w:name="Tc_kNAsmooLYk2HnVj5GI6GFg_3_5"/>
      <w:bookmarkStart w:id="300" w:name="Tc_7LiQLUjOnk6d5QuDl1qrsA_3_2"/>
      <w:bookmarkStart w:id="301" w:name="Tc_kDVFviG3C0SycExa8WxmIA_3_0"/>
      <w:bookmarkStart w:id="302" w:name="Tc_yvNuSxX0f0urYv7-dJOQmg_2_11"/>
      <w:bookmarkStart w:id="303" w:name="Tc_FSGM42OHa0u2SevhPCvNlA_2_8"/>
      <w:bookmarkStart w:id="304" w:name="Tc_94newpm4H0WZ8_S8OzaDqw_2_5"/>
      <w:bookmarkStart w:id="305" w:name="Tc_iYI6Kil0Y0q36Ol5kSOgcQ_2_2"/>
      <w:bookmarkStart w:id="306" w:name="Tc_OGwxbWi9A0addq6N6W_iCg_1_8"/>
      <w:bookmarkStart w:id="307" w:name="Tc_fKsFnvalcUW_SxfOZb__iA_1_2"/>
      <w:bookmarkStart w:id="308" w:name="_132e16af_15fe_499f_a972_ea154f753c26"/>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tbl>
      <w:tblPr>
        <w:tblW w:w="10205" w:type="dxa"/>
        <w:jc w:val="left"/>
        <w:tblInd w:w="0" w:type="dxa"/>
        <w:tblLayout w:type="fixed"/>
        <w:tblCellMar>
          <w:top w:w="0" w:type="dxa"/>
          <w:left w:w="0" w:type="dxa"/>
          <w:bottom w:w="0" w:type="dxa"/>
          <w:right w:w="0" w:type="dxa"/>
        </w:tblCellMar>
      </w:tblPr>
      <w:tblGrid>
        <w:gridCol w:w="3340"/>
        <w:gridCol w:w="109"/>
        <w:gridCol w:w="398"/>
        <w:gridCol w:w="1079"/>
        <w:gridCol w:w="346"/>
        <w:gridCol w:w="369"/>
        <w:gridCol w:w="1107"/>
        <w:gridCol w:w="109"/>
        <w:gridCol w:w="350"/>
        <w:gridCol w:w="1126"/>
        <w:gridCol w:w="346"/>
        <w:gridCol w:w="361"/>
        <w:gridCol w:w="1165"/>
      </w:tblGrid>
      <w:tr>
        <w:trPr/>
        <w:tc>
          <w:tcPr>
            <w:tcW w:w="334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8"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52730" cy="175260"/>
                      <wp:effectExtent l="0" t="0" r="0" b="0"/>
                      <wp:wrapNone/>
                      <wp:docPr id="19" name="Frame19"/>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85165" cy="175260"/>
                      <wp:effectExtent l="0" t="0" r="0" b="0"/>
                      <wp:wrapNone/>
                      <wp:docPr id="20" name="Frame20"/>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34315" cy="175260"/>
                      <wp:effectExtent l="0" t="0" r="0" b="0"/>
                      <wp:wrapNone/>
                      <wp:docPr id="22" name="Frame22"/>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02945" cy="175260"/>
                      <wp:effectExtent l="0" t="0" r="0" b="0"/>
                      <wp:wrapNone/>
                      <wp:docPr id="23" name="Frame23"/>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4"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22250" cy="175260"/>
                      <wp:effectExtent l="0" t="0" r="0" b="0"/>
                      <wp:wrapNone/>
                      <wp:docPr id="25" name="Frame25"/>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715010" cy="175260"/>
                      <wp:effectExtent l="0" t="0" r="0" b="0"/>
                      <wp:wrapNone/>
                      <wp:docPr id="26" name="Frame2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29235" cy="175260"/>
                      <wp:effectExtent l="0" t="0" r="0" b="0"/>
                      <wp:wrapNone/>
                      <wp:docPr id="28" name="Frame2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39775" cy="175260"/>
                      <wp:effectExtent l="0" t="0" r="0" b="0"/>
                      <wp:wrapNone/>
                      <wp:docPr id="29" name="Frame29"/>
                      <a:graphic xmlns:a="http://schemas.openxmlformats.org/drawingml/2006/main">
                        <a:graphicData uri="http://schemas.microsoft.com/office/word/2010/wordprocessingShape">
                          <wps:wsp>
                            <wps:cNvSpPr txBox="1"/>
                            <wps:spPr>
                              <a:xfrm>
                                <a:off x="0" y="0"/>
                                <a:ext cx="739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0" w:type="dxa"/>
            <w:tcBorders/>
            <w:vAlign w:val="center"/>
          </w:tcPr>
          <w:p>
            <w:pPr>
              <w:pStyle w:val="TableContents"/>
              <w:bidi w:val="0"/>
              <w:spacing w:before="0" w:after="1"/>
              <w:ind w:left="0" w:right="0" w:hanging="0"/>
              <w:jc w:val="left"/>
              <w:rPr>
                <w:color w:val="0000FF"/>
              </w:rPr>
            </w:pPr>
            <w:r>
              <w:rPr>
                <w:color w:val="0000FF"/>
              </w:rPr>
              <w:t>​</w:t>
            </w:r>
          </w:p>
        </w:tc>
        <w:tc>
          <w:tcPr>
            <w:tcW w:w="109" w:type="dxa"/>
            <w:tcBorders/>
            <w:vAlign w:val="center"/>
          </w:tcPr>
          <w:p>
            <w:pPr>
              <w:pStyle w:val="TableContents"/>
              <w:bidi w:val="0"/>
              <w:spacing w:before="0" w:after="1"/>
              <w:ind w:left="0" w:right="0" w:hanging="0"/>
              <w:jc w:val="left"/>
              <w:rPr/>
            </w:pPr>
            <w:r>
              <w:rPr/>
              <w:t>​</w:t>
            </w:r>
          </w:p>
        </w:tc>
        <w:tc>
          <w:tcPr>
            <w:tcW w:w="32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1"/>
              <w:ind w:left="0" w:right="0" w:hanging="0"/>
              <w:jc w:val="center"/>
              <w:rPr/>
            </w:pPr>
            <w:r>
              <w:rPr/>
              <w:t>​</w:t>
            </w:r>
          </w:p>
        </w:tc>
        <w:tc>
          <w:tcPr>
            <w:tcW w:w="33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34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4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346" w:type="dxa"/>
            <w:tcBorders/>
            <w:vAlign w:val="center"/>
          </w:tcPr>
          <w:p>
            <w:pPr>
              <w:pStyle w:val="TableContents"/>
              <w:bidi w:val="0"/>
              <w:spacing w:before="0" w:after="1"/>
              <w:ind w:left="0" w:right="0" w:hanging="0"/>
              <w:jc w:val="center"/>
              <w:rPr/>
            </w:pPr>
            <w:r>
              <w:rPr/>
              <w:t>  ​ ​ ​</w:t>
            </w:r>
          </w:p>
        </w:tc>
        <w:tc>
          <w:tcPr>
            <w:tcW w:w="14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1"/>
              <w:ind w:left="0" w:right="0" w:hanging="0"/>
              <w:jc w:val="left"/>
              <w:rPr/>
            </w:pPr>
            <w:r>
              <w:rPr/>
              <w:t>​</w:t>
            </w:r>
          </w:p>
        </w:tc>
        <w:tc>
          <w:tcPr>
            <w:tcW w:w="14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September 30, 2026</w:t>
            </w:r>
          </w:p>
        </w:tc>
        <w:tc>
          <w:tcPr>
            <w:tcW w:w="346" w:type="dxa"/>
            <w:tcBorders/>
            <w:vAlign w:val="center"/>
          </w:tcPr>
          <w:p>
            <w:pPr>
              <w:pStyle w:val="TableContents"/>
              <w:bidi w:val="0"/>
              <w:spacing w:before="0" w:after="1"/>
              <w:ind w:left="0" w:right="0" w:hanging="0"/>
              <w:jc w:val="center"/>
              <w:rPr/>
            </w:pPr>
            <w:r>
              <w:rPr/>
              <w:t>  ​ ​ ​</w:t>
            </w:r>
          </w:p>
        </w:tc>
        <w:tc>
          <w:tcPr>
            <w:tcW w:w="15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September 30, 2025</w:t>
            </w:r>
          </w:p>
        </w:tc>
      </w:tr>
      <w:tr>
        <w:trPr/>
        <w:tc>
          <w:tcPr>
            <w:tcW w:w="33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5,012</w:t>
            </w:r>
          </w:p>
        </w:tc>
        <w:tc>
          <w:tcPr>
            <w:tcW w:w="346" w:type="dxa"/>
            <w:tcBorders/>
            <w:shd w:fill="CCEEFF" w:val="clear"/>
            <w:vAlign w:val="center"/>
          </w:tcPr>
          <w:p>
            <w:pPr>
              <w:pStyle w:val="TableContents"/>
              <w:bidi w:val="0"/>
              <w:spacing w:before="0" w:after="1"/>
              <w:ind w:left="0" w:right="0" w:hanging="0"/>
              <w:jc w:val="left"/>
              <w:rPr/>
            </w:pPr>
            <w:r>
              <w:rPr/>
              <w:t>​</w:t>
            </w:r>
          </w:p>
        </w:tc>
        <w:tc>
          <w:tcPr>
            <w:tcW w:w="3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(1,423)</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11,861</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(4,483)</w:t>
            </w:r>
          </w:p>
        </w:tc>
      </w:tr>
      <w:tr>
        <w:trPr/>
        <w:tc>
          <w:tcPr>
            <w:tcW w:w="33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pPr>
            <w:r>
              <w:rPr/>
              <w:t>​</w:t>
            </w:r>
          </w:p>
        </w:tc>
        <w:tc>
          <w:tcPr>
            <w:tcW w:w="110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165" w:type="dxa"/>
            <w:tcBorders/>
            <w:vAlign w:val="center"/>
          </w:tcPr>
          <w:p>
            <w:pPr>
              <w:pStyle w:val="TableContents"/>
              <w:bidi w:val="0"/>
              <w:spacing w:before="0" w:after="1"/>
              <w:ind w:left="0" w:right="0" w:hanging="0"/>
              <w:jc w:val="right"/>
              <w:rPr/>
            </w:pPr>
            <w:r>
              <w:rPr/>
              <w:t>​</w:t>
            </w:r>
          </w:p>
        </w:tc>
      </w:tr>
      <w:tr>
        <w:trPr/>
        <w:tc>
          <w:tcPr>
            <w:tcW w:w="33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 Hedging Derivative - Interest Rate Swaps</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4,601</w:t>
            </w:r>
          </w:p>
        </w:tc>
        <w:tc>
          <w:tcPr>
            <w:tcW w:w="346" w:type="dxa"/>
            <w:tcBorders/>
            <w:shd w:fill="CCEEFF" w:val="clear"/>
            <w:vAlign w:val="center"/>
          </w:tcPr>
          <w:p>
            <w:pPr>
              <w:pStyle w:val="TableContents"/>
              <w:bidi w:val="0"/>
              <w:spacing w:before="0" w:after="1"/>
              <w:ind w:left="0" w:right="0" w:hanging="0"/>
              <w:jc w:val="left"/>
              <w:rPr/>
            </w:pPr>
            <w:r>
              <w:rPr/>
              <w:t>​</w:t>
            </w:r>
          </w:p>
        </w:tc>
        <w:tc>
          <w:tcPr>
            <w:tcW w:w="3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6,591</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(4,860)</w:t>
            </w:r>
          </w:p>
        </w:tc>
      </w:tr>
      <w:tr>
        <w:trPr/>
        <w:tc>
          <w:tcPr>
            <w:tcW w:w="33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109" w:type="dxa"/>
            <w:tcBorders/>
            <w:vAlign w:val="center"/>
          </w:tcPr>
          <w:p>
            <w:pPr>
              <w:pStyle w:val="TableContents"/>
              <w:bidi w:val="0"/>
              <w:spacing w:before="0" w:after="1"/>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4,601</w:t>
            </w:r>
          </w:p>
        </w:tc>
        <w:tc>
          <w:tcPr>
            <w:tcW w:w="346" w:type="dxa"/>
            <w:tcBorders/>
            <w:vAlign w:val="center"/>
          </w:tcPr>
          <w:p>
            <w:pPr>
              <w:pStyle w:val="TableContents"/>
              <w:bidi w:val="0"/>
              <w:spacing w:before="0" w:after="1"/>
              <w:ind w:left="0" w:right="0" w:hanging="0"/>
              <w:jc w:val="left"/>
              <w:rPr/>
            </w:pPr>
            <w:r>
              <w:rPr/>
              <w:t>​</w:t>
            </w:r>
          </w:p>
        </w:tc>
        <w:tc>
          <w:tcPr>
            <w:tcW w:w="36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w:t>
            </w:r>
          </w:p>
        </w:tc>
        <w:tc>
          <w:tcPr>
            <w:tcW w:w="109"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6,591</w:t>
            </w:r>
          </w:p>
        </w:tc>
        <w:tc>
          <w:tcPr>
            <w:tcW w:w="346" w:type="dxa"/>
            <w:tcBorders/>
            <w:vAlign w:val="center"/>
          </w:tcPr>
          <w:p>
            <w:pPr>
              <w:pStyle w:val="TableContents"/>
              <w:bidi w:val="0"/>
              <w:spacing w:before="0"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(4,860)</w:t>
            </w:r>
          </w:p>
        </w:tc>
      </w:tr>
      <w:tr>
        <w:trPr/>
        <w:tc>
          <w:tcPr>
            <w:tcW w:w="33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9,613</w:t>
            </w:r>
          </w:p>
        </w:tc>
        <w:tc>
          <w:tcPr>
            <w:tcW w:w="346" w:type="dxa"/>
            <w:tcBorders/>
            <w:shd w:fill="CCEEFF" w:val="clear"/>
            <w:vAlign w:val="center"/>
          </w:tcPr>
          <w:p>
            <w:pPr>
              <w:pStyle w:val="TableContents"/>
              <w:bidi w:val="0"/>
              <w:spacing w:before="0" w:after="1"/>
              <w:ind w:left="0" w:right="0" w:hanging="0"/>
              <w:jc w:val="left"/>
              <w:rPr/>
            </w:pPr>
            <w:r>
              <w:rPr/>
              <w:t>​</w:t>
            </w:r>
          </w:p>
        </w:tc>
        <w:tc>
          <w:tcPr>
            <w:tcW w:w="3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(2,580)</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18,452</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(9,343)</w:t>
            </w:r>
          </w:p>
        </w:tc>
      </w:tr>
      <w:tr>
        <w:trPr/>
        <w:tc>
          <w:tcPr>
            <w:tcW w:w="33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Comprehensive Loss (Income) Attributable to Noncontrolling Interest</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pPr>
            <w:r>
              <w:rPr/>
              <w:t>​</w:t>
            </w:r>
          </w:p>
        </w:tc>
        <w:tc>
          <w:tcPr>
            <w:tcW w:w="110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165" w:type="dxa"/>
            <w:tcBorders/>
            <w:vAlign w:val="center"/>
          </w:tcPr>
          <w:p>
            <w:pPr>
              <w:pStyle w:val="TableContents"/>
              <w:bidi w:val="0"/>
              <w:spacing w:before="0" w:after="1"/>
              <w:ind w:left="0" w:right="0" w:hanging="0"/>
              <w:jc w:val="left"/>
              <w:rPr/>
            </w:pPr>
            <w:r>
              <w:rPr/>
              <w:t>​</w:t>
            </w:r>
          </w:p>
        </w:tc>
      </w:tr>
      <w:tr>
        <w:trPr/>
        <w:tc>
          <w:tcPr>
            <w:tcW w:w="33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(Income) Attributable to Noncontrolling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(324)</w:t>
            </w:r>
          </w:p>
        </w:tc>
        <w:tc>
          <w:tcPr>
            <w:tcW w:w="346" w:type="dxa"/>
            <w:tcBorders/>
            <w:shd w:fill="CCEEFF" w:val="clear"/>
            <w:vAlign w:val="center"/>
          </w:tcPr>
          <w:p>
            <w:pPr>
              <w:pStyle w:val="TableContents"/>
              <w:bidi w:val="0"/>
              <w:spacing w:before="0" w:after="1"/>
              <w:ind w:left="0" w:right="0" w:hanging="0"/>
              <w:jc w:val="left"/>
              <w:rPr/>
            </w:pPr>
            <w:r>
              <w:rPr/>
              <w:t>​</w:t>
            </w:r>
          </w:p>
        </w:tc>
        <w:tc>
          <w:tcPr>
            <w:tcW w:w="369" w:type="dxa"/>
            <w:tcBorders/>
            <w:shd w:fill="CCEEFF" w:val="clear"/>
            <w:vAlign w:val="center"/>
          </w:tcPr>
          <w:p>
            <w:pPr>
              <w:pStyle w:val="TableContents"/>
              <w:bidi w:val="0"/>
              <w:spacing w:before="0" w:after="1"/>
              <w:ind w:left="0" w:right="0" w:hanging="0"/>
              <w:jc w:val="left"/>
              <w:rPr/>
            </w:pPr>
            <w:r>
              <w:rPr/>
              <w:t>​</w:t>
            </w:r>
          </w:p>
        </w:tc>
        <w:tc>
          <w:tcPr>
            <w:tcW w:w="110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113</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(797)</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165"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353</w:t>
            </w:r>
          </w:p>
        </w:tc>
      </w:tr>
      <w:tr>
        <w:trPr/>
        <w:tc>
          <w:tcPr>
            <w:tcW w:w="33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(Income) Attributable to Noncontrolling Interest</w:t>
            </w:r>
          </w:p>
        </w:tc>
        <w:tc>
          <w:tcPr>
            <w:tcW w:w="109" w:type="dxa"/>
            <w:tcBorders/>
            <w:vAlign w:val="center"/>
          </w:tcPr>
          <w:p>
            <w:pPr>
              <w:pStyle w:val="TableContents"/>
              <w:bidi w:val="0"/>
              <w:spacing w:before="0" w:after="1"/>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46" w:type="dxa"/>
            <w:tcBorders/>
            <w:vAlign w:val="center"/>
          </w:tcPr>
          <w:p>
            <w:pPr>
              <w:pStyle w:val="TableContents"/>
              <w:bidi w:val="0"/>
              <w:spacing w:before="0" w:after="1"/>
              <w:ind w:left="0" w:right="0" w:hanging="0"/>
              <w:jc w:val="left"/>
              <w:rPr/>
            </w:pPr>
            <w:r>
              <w:rPr/>
              <w:t>​</w:t>
            </w:r>
          </w:p>
        </w:tc>
        <w:tc>
          <w:tcPr>
            <w:tcW w:w="36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92</w:t>
            </w:r>
          </w:p>
        </w:tc>
        <w:tc>
          <w:tcPr>
            <w:tcW w:w="109"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w:t>
            </w:r>
          </w:p>
        </w:tc>
        <w:tc>
          <w:tcPr>
            <w:tcW w:w="346" w:type="dxa"/>
            <w:tcBorders/>
            <w:vAlign w:val="center"/>
          </w:tcPr>
          <w:p>
            <w:pPr>
              <w:pStyle w:val="TableContents"/>
              <w:bidi w:val="0"/>
              <w:spacing w:before="0"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381</w:t>
            </w:r>
          </w:p>
        </w:tc>
      </w:tr>
      <w:tr>
        <w:trPr/>
        <w:tc>
          <w:tcPr>
            <w:tcW w:w="33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 (Income) Attributable to Noncontrolling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(621)</w:t>
            </w:r>
          </w:p>
        </w:tc>
        <w:tc>
          <w:tcPr>
            <w:tcW w:w="346" w:type="dxa"/>
            <w:tcBorders/>
            <w:shd w:fill="CCEEFF" w:val="clear"/>
            <w:vAlign w:val="center"/>
          </w:tcPr>
          <w:p>
            <w:pPr>
              <w:pStyle w:val="TableContents"/>
              <w:bidi w:val="0"/>
              <w:spacing w:before="0" w:after="1"/>
              <w:ind w:left="0" w:right="0" w:hanging="0"/>
              <w:jc w:val="left"/>
              <w:rPr/>
            </w:pPr>
            <w:r>
              <w:rPr/>
              <w:t>​</w:t>
            </w:r>
          </w:p>
        </w:tc>
        <w:tc>
          <w:tcPr>
            <w:tcW w:w="3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205</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(1,229)</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734</w:t>
            </w:r>
          </w:p>
        </w:tc>
      </w:tr>
      <w:tr>
        <w:trPr/>
        <w:tc>
          <w:tcPr>
            <w:tcW w:w="33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Alpine Income Property Trust, Inc.</w:t>
            </w:r>
          </w:p>
        </w:tc>
        <w:tc>
          <w:tcPr>
            <w:tcW w:w="109" w:type="dxa"/>
            <w:tcBorders/>
            <w:vAlign w:val="center"/>
          </w:tcPr>
          <w:p>
            <w:pPr>
              <w:pStyle w:val="TableContents"/>
              <w:bidi w:val="0"/>
              <w:spacing w:before="0" w:after="1"/>
              <w:ind w:left="0" w:right="0" w:hanging="0"/>
              <w:jc w:val="left"/>
              <w:rPr/>
            </w:pPr>
            <w:r>
              <w:rPr/>
              <w:t>​</w:t>
            </w:r>
          </w:p>
        </w:tc>
        <w:tc>
          <w:tcPr>
            <w:tcW w:w="3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8,992</w:t>
            </w:r>
          </w:p>
        </w:tc>
        <w:tc>
          <w:tcPr>
            <w:tcW w:w="346" w:type="dxa"/>
            <w:tcBorders/>
            <w:vAlign w:val="center"/>
          </w:tcPr>
          <w:p>
            <w:pPr>
              <w:pStyle w:val="TableContents"/>
              <w:bidi w:val="0"/>
              <w:spacing w:before="0" w:after="1"/>
              <w:ind w:left="0" w:right="0" w:hanging="0"/>
              <w:jc w:val="left"/>
              <w:rPr/>
            </w:pPr>
            <w:r>
              <w:rPr/>
              <w:t>​</w:t>
            </w:r>
          </w:p>
        </w:tc>
        <w:tc>
          <w:tcPr>
            <w:tcW w:w="36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(2,375)</w:t>
            </w:r>
          </w:p>
        </w:tc>
        <w:tc>
          <w:tcPr>
            <w:tcW w:w="109" w:type="dxa"/>
            <w:tcBorders/>
            <w:vAlign w:val="center"/>
          </w:tcPr>
          <w:p>
            <w:pPr>
              <w:pStyle w:val="TableContents"/>
              <w:bidi w:val="0"/>
              <w:spacing w:before="0" w:after="1"/>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17,223</w:t>
            </w:r>
          </w:p>
        </w:tc>
        <w:tc>
          <w:tcPr>
            <w:tcW w:w="346" w:type="dxa"/>
            <w:tcBorders/>
            <w:vAlign w:val="center"/>
          </w:tcPr>
          <w:p>
            <w:pPr>
              <w:pStyle w:val="TableContents"/>
              <w:bidi w:val="0"/>
              <w:spacing w:before="0" w:after="1"/>
              <w:ind w:left="0" w:right="0" w:hanging="0"/>
              <w:jc w:val="left"/>
              <w:rPr/>
            </w:pPr>
            <w:r>
              <w:rPr/>
              <w:t>​</w:t>
            </w:r>
          </w:p>
        </w:tc>
        <w:tc>
          <w:tcPr>
            <w:tcW w:w="3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(8,609)</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19"/>
        </w:rPr>
      </w:pPr>
      <w:bookmarkStart w:id="309" w:name="_c10ca8fd_e5ec_4dea_88e0_f29adaaa643e"/>
      <w:bookmarkEnd w:id="309"/>
      <w:r>
        <w:rPr>
          <w:rFonts w:ascii="Times New Roman;Times;serif" w:hAnsi="Times New Roman;Times;serif"/>
          <w:sz w:val="19"/>
        </w:rPr>
        <w:t>ALPINE INCOME PROPERTY TRUST, INC.</w:t>
      </w:r>
    </w:p>
    <w:p>
      <w:pPr>
        <w:pStyle w:val="TextBody"/>
        <w:bidi w:val="0"/>
        <w:spacing w:before="0" w:after="0"/>
        <w:ind w:left="0" w:right="0" w:hanging="0"/>
        <w:jc w:val="center"/>
        <w:rPr>
          <w:rFonts w:ascii="Times New Roman;Times;serif" w:hAnsi="Times New Roman;Times;serif"/>
          <w:sz w:val="19"/>
        </w:rPr>
      </w:pPr>
      <w:bookmarkStart w:id="310" w:name="CONSOLIDATEDSTATEMENTSOFSHAREHOLDERSEQUI"/>
      <w:bookmarkStart w:id="311" w:name="CONSOLIDATEDSTATEMENTSOFOPERATIONS_7649"/>
      <w:bookmarkEnd w:id="310"/>
      <w:bookmarkEnd w:id="311"/>
      <w:r>
        <w:rPr>
          <w:rFonts w:ascii="Times New Roman;Times;serif" w:hAnsi="Times New Roman;Times;serif"/>
          <w:sz w:val="19"/>
        </w:rPr>
        <w:t>CONSOLIDATED STATEMENTS OF STOCKHOLDERS’ EQUITY</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 in thousands, except per share data)</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September 30, 2026:</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12" w:name="Tc_C_JTPN3CAUio4GThCGkkuA_9_23"/>
      <w:bookmarkStart w:id="313" w:name="Tc_sVrveKI2ZkepSJkt0KcjeA_9_20"/>
      <w:bookmarkStart w:id="314" w:name="Tc_M_5RPId39Umurzo2L8llWA_9_17"/>
      <w:bookmarkStart w:id="315" w:name="Tc_y9Zo21F1IkicaF_YW15Mpg_9_14"/>
      <w:bookmarkStart w:id="316" w:name="Tc_d14I_x09gUCs0B46Z0A_Xw_9_11"/>
      <w:bookmarkStart w:id="317" w:name="Tc_zi-WVdMTbE2x1YiElQpjIQ_9_8"/>
      <w:bookmarkStart w:id="318" w:name="Tc_ivvE3yek0kKyTAAufnKP3A_9_5"/>
      <w:bookmarkStart w:id="319" w:name="Tc_3Pyx0-evUE6AbsQbFyf9GA_9_2"/>
      <w:bookmarkStart w:id="320" w:name="Tc_CBG3TT1DEU27X5CtmClYcg_9_0"/>
      <w:bookmarkStart w:id="321" w:name="Tc_LQhZ5aQCGk21pCc3vUEwyw_8_12"/>
      <w:bookmarkStart w:id="322" w:name="Tc_7fkCQ23LgEi_dyXEBcNE8g_8_9"/>
      <w:bookmarkStart w:id="323" w:name="Tc_o8fRLWblJkeNXzy5svZaOg_8_6"/>
      <w:bookmarkStart w:id="324" w:name="Tc_rA70LeoTeU2PX1aEG2ib5Q_8_3"/>
      <w:bookmarkStart w:id="325" w:name="Tc_tuMfYWBVV06MntCEJU6z5Q_8_0"/>
      <w:bookmarkStart w:id="326" w:name="Tc_KcJHe0z5Bku9xfPpiQp_xA_7_15"/>
      <w:bookmarkStart w:id="327" w:name="Tc__1H2LU8FxUaTvodzkCHXuQ_7_9"/>
      <w:bookmarkStart w:id="328" w:name="Tc_e_l_hVBMpE2-5W4BKyvFGA_7_6"/>
      <w:bookmarkStart w:id="329" w:name="Tc_5pS5Tb9Cf0u2upiE0MR3Eg_7_3"/>
      <w:bookmarkStart w:id="330" w:name="Tc_-GGAD-07REKCt-wSh1GoAw_7_0"/>
      <w:bookmarkStart w:id="331" w:name="Tc_pNPY8ep5uUSPMVjTI-JWrg_6_21"/>
      <w:bookmarkStart w:id="332" w:name="Tc_Bh5uentp2kavF6toBI9xpw_6_15"/>
      <w:bookmarkStart w:id="333" w:name="Tc_VR4AzLySJEuR1obbyyTIpw_6_9"/>
      <w:bookmarkStart w:id="334" w:name="Tc_ruaq_BmCpk6froapjGC7Uw_6_6"/>
      <w:bookmarkStart w:id="335" w:name="Tc_4czx19Qf7kiS7mn4C2R4JA_6_3"/>
      <w:bookmarkStart w:id="336" w:name="Tc_j-Y6nonzz0iCgc2SvFy9dQ_6_0"/>
      <w:bookmarkStart w:id="337" w:name="Tc_gwk_Zr5_MEatjhsL7YSDkg_5_21"/>
      <w:bookmarkStart w:id="338" w:name="Tc_ORSO_4Fs4ECp_UN47tMCHQ_5_15"/>
      <w:bookmarkStart w:id="339" w:name="Tc_9Mak9jCOGkuxfYxYv81gow_5_12"/>
      <w:bookmarkStart w:id="340" w:name="Tc_dr2aXNdiYkmcnxmsKmvVLw_5_0"/>
      <w:bookmarkStart w:id="341" w:name="Tc_dMU3TM2oTESnsVY8oY2nLQ_4_21"/>
      <w:bookmarkStart w:id="342" w:name="Tc_qysNOYT8YkGRe6Q5T5FUwg_4_15"/>
      <w:bookmarkStart w:id="343" w:name="Tc_f_USGATwTESxa46JAzeJ9A_4_12"/>
      <w:bookmarkStart w:id="344" w:name="Tc_oFQsIdu_FUqWAZmwiNO-XQ_4_6"/>
      <w:bookmarkStart w:id="345" w:name="Tc_ROuR8KuWiU-oSs8Kl2kpBg_4_3"/>
      <w:bookmarkStart w:id="346" w:name="Tc_4RPrxTI3LUW0F-VaGZ2WzA_4_0"/>
      <w:bookmarkStart w:id="347" w:name="Tc_u9ypkpQ6YkaF_wrOJsqDxQ_3_15"/>
      <w:bookmarkStart w:id="348" w:name="Tc_oCrsWx_Rc0aM4ExMekBJbA_3_9"/>
      <w:bookmarkStart w:id="349" w:name="Tc_LLV41t8CRkacumPyCW07IA_3_6"/>
      <w:bookmarkStart w:id="350" w:name="Tc_iLqoyMBgmE62-RWYCRgXtA_3_3"/>
      <w:bookmarkStart w:id="351" w:name="Tc_iVXya4rOaU-JK_UgYYztkw_3_0"/>
      <w:bookmarkStart w:id="352" w:name="Tc_Yer3E2QaFUyl9ImdlmmnyQ_2_23"/>
      <w:bookmarkStart w:id="353" w:name="Tc_F725x96uyESN-GgPpecyDA_2_20"/>
      <w:bookmarkStart w:id="354" w:name="Tc_8loi5KwiX0KrHeAf3MI1HA_2_17"/>
      <w:bookmarkStart w:id="355" w:name="Tc_adRQ2PCTUkyEN8pHdEYxVQ_2_14"/>
      <w:bookmarkStart w:id="356" w:name="Tc_gDaRUQ_0NEiCCwTT0XAC8A_2_11"/>
      <w:bookmarkStart w:id="357" w:name="Tc_Rfs0IrSE3ke4FolH9vkTPA_2_8"/>
      <w:bookmarkStart w:id="358" w:name="Tc_DpoW-zw1gkuVIHnYrqFaKg_2_5"/>
      <w:bookmarkStart w:id="359" w:name="Tc_NxLP92_r1kSq_no3QQOizw_2_2"/>
      <w:bookmarkStart w:id="360" w:name="Tc_R54T9458Q0-sRtexHACy7Q_2_0"/>
      <w:bookmarkStart w:id="361" w:name="Tc_rieL8l_XX0eZefhl9sU0rA_1_23"/>
      <w:bookmarkStart w:id="362" w:name="Tc_k9hrpSGEDk2rWMWT8YWiLA_1_20"/>
      <w:bookmarkStart w:id="363" w:name="Tc_TIPRU79wOE2FQAD3HRCSeQ_1_17"/>
      <w:bookmarkStart w:id="364" w:name="Tc_pxGPsDk_YUWiXTfxskmOUQ_1_14"/>
      <w:bookmarkStart w:id="365" w:name="Tc_ZOU_8u6ggUu6UYKvMXQYhw_1_11"/>
      <w:bookmarkStart w:id="366" w:name="Tc_M7vMsBk_E0-TFutDrdZEig_1_8"/>
      <w:bookmarkStart w:id="367" w:name="Tc_lrNbHVOO-EqV0vuLRwXlQw_1_5"/>
      <w:bookmarkStart w:id="368" w:name="Tc_0driqRVhj0e8SjmXV3qw5A_1_2"/>
      <w:bookmarkStart w:id="369" w:name="_fad1320e_d93d_4b51_b3df_b37b4a471fac"/>
      <w:bookmarkStart w:id="370" w:name="Tc_C_JTPN3CAUio4GThCGkkuA_9_23"/>
      <w:bookmarkStart w:id="371" w:name="Tc_sVrveKI2ZkepSJkt0KcjeA_9_20"/>
      <w:bookmarkStart w:id="372" w:name="Tc_M_5RPId39Umurzo2L8llWA_9_17"/>
      <w:bookmarkStart w:id="373" w:name="Tc_y9Zo21F1IkicaF_YW15Mpg_9_14"/>
      <w:bookmarkStart w:id="374" w:name="Tc_d14I_x09gUCs0B46Z0A_Xw_9_11"/>
      <w:bookmarkStart w:id="375" w:name="Tc_zi-WVdMTbE2x1YiElQpjIQ_9_8"/>
      <w:bookmarkStart w:id="376" w:name="Tc_ivvE3yek0kKyTAAufnKP3A_9_5"/>
      <w:bookmarkStart w:id="377" w:name="Tc_3Pyx0-evUE6AbsQbFyf9GA_9_2"/>
      <w:bookmarkStart w:id="378" w:name="Tc_CBG3TT1DEU27X5CtmClYcg_9_0"/>
      <w:bookmarkStart w:id="379" w:name="Tc_LQhZ5aQCGk21pCc3vUEwyw_8_12"/>
      <w:bookmarkStart w:id="380" w:name="Tc_7fkCQ23LgEi_dyXEBcNE8g_8_9"/>
      <w:bookmarkStart w:id="381" w:name="Tc_o8fRLWblJkeNXzy5svZaOg_8_6"/>
      <w:bookmarkStart w:id="382" w:name="Tc_rA70LeoTeU2PX1aEG2ib5Q_8_3"/>
      <w:bookmarkStart w:id="383" w:name="Tc_tuMfYWBVV06MntCEJU6z5Q_8_0"/>
      <w:bookmarkStart w:id="384" w:name="Tc_KcJHe0z5Bku9xfPpiQp_xA_7_15"/>
      <w:bookmarkStart w:id="385" w:name="Tc__1H2LU8FxUaTvodzkCHXuQ_7_9"/>
      <w:bookmarkStart w:id="386" w:name="Tc_e_l_hVBMpE2-5W4BKyvFGA_7_6"/>
      <w:bookmarkStart w:id="387" w:name="Tc_5pS5Tb9Cf0u2upiE0MR3Eg_7_3"/>
      <w:bookmarkStart w:id="388" w:name="Tc_-GGAD-07REKCt-wSh1GoAw_7_0"/>
      <w:bookmarkStart w:id="389" w:name="Tc_pNPY8ep5uUSPMVjTI-JWrg_6_21"/>
      <w:bookmarkStart w:id="390" w:name="Tc_Bh5uentp2kavF6toBI9xpw_6_15"/>
      <w:bookmarkStart w:id="391" w:name="Tc_VR4AzLySJEuR1obbyyTIpw_6_9"/>
      <w:bookmarkStart w:id="392" w:name="Tc_ruaq_BmCpk6froapjGC7Uw_6_6"/>
      <w:bookmarkStart w:id="393" w:name="Tc_4czx19Qf7kiS7mn4C2R4JA_6_3"/>
      <w:bookmarkStart w:id="394" w:name="Tc_j-Y6nonzz0iCgc2SvFy9dQ_6_0"/>
      <w:bookmarkStart w:id="395" w:name="Tc_gwk_Zr5_MEatjhsL7YSDkg_5_21"/>
      <w:bookmarkStart w:id="396" w:name="Tc_ORSO_4Fs4ECp_UN47tMCHQ_5_15"/>
      <w:bookmarkStart w:id="397" w:name="Tc_9Mak9jCOGkuxfYxYv81gow_5_12"/>
      <w:bookmarkStart w:id="398" w:name="Tc_dr2aXNdiYkmcnxmsKmvVLw_5_0"/>
      <w:bookmarkStart w:id="399" w:name="Tc_dMU3TM2oTESnsVY8oY2nLQ_4_21"/>
      <w:bookmarkStart w:id="400" w:name="Tc_qysNOYT8YkGRe6Q5T5FUwg_4_15"/>
      <w:bookmarkStart w:id="401" w:name="Tc_f_USGATwTESxa46JAzeJ9A_4_12"/>
      <w:bookmarkStart w:id="402" w:name="Tc_oFQsIdu_FUqWAZmwiNO-XQ_4_6"/>
      <w:bookmarkStart w:id="403" w:name="Tc_ROuR8KuWiU-oSs8Kl2kpBg_4_3"/>
      <w:bookmarkStart w:id="404" w:name="Tc_4RPrxTI3LUW0F-VaGZ2WzA_4_0"/>
      <w:bookmarkStart w:id="405" w:name="Tc_u9ypkpQ6YkaF_wrOJsqDxQ_3_15"/>
      <w:bookmarkStart w:id="406" w:name="Tc_oCrsWx_Rc0aM4ExMekBJbA_3_9"/>
      <w:bookmarkStart w:id="407" w:name="Tc_LLV41t8CRkacumPyCW07IA_3_6"/>
      <w:bookmarkStart w:id="408" w:name="Tc_iLqoyMBgmE62-RWYCRgXtA_3_3"/>
      <w:bookmarkStart w:id="409" w:name="Tc_iVXya4rOaU-JK_UgYYztkw_3_0"/>
      <w:bookmarkStart w:id="410" w:name="Tc_Yer3E2QaFUyl9ImdlmmnyQ_2_23"/>
      <w:bookmarkStart w:id="411" w:name="Tc_F725x96uyESN-GgPpecyDA_2_20"/>
      <w:bookmarkStart w:id="412" w:name="Tc_8loi5KwiX0KrHeAf3MI1HA_2_17"/>
      <w:bookmarkStart w:id="413" w:name="Tc_adRQ2PCTUkyEN8pHdEYxVQ_2_14"/>
      <w:bookmarkStart w:id="414" w:name="Tc_gDaRUQ_0NEiCCwTT0XAC8A_2_11"/>
      <w:bookmarkStart w:id="415" w:name="Tc_Rfs0IrSE3ke4FolH9vkTPA_2_8"/>
      <w:bookmarkStart w:id="416" w:name="Tc_DpoW-zw1gkuVIHnYrqFaKg_2_5"/>
      <w:bookmarkStart w:id="417" w:name="Tc_NxLP92_r1kSq_no3QQOizw_2_2"/>
      <w:bookmarkStart w:id="418" w:name="Tc_R54T9458Q0-sRtexHACy7Q_2_0"/>
      <w:bookmarkStart w:id="419" w:name="Tc_rieL8l_XX0eZefhl9sU0rA_1_23"/>
      <w:bookmarkStart w:id="420" w:name="Tc_k9hrpSGEDk2rWMWT8YWiLA_1_20"/>
      <w:bookmarkStart w:id="421" w:name="Tc_TIPRU79wOE2FQAD3HRCSeQ_1_17"/>
      <w:bookmarkStart w:id="422" w:name="Tc_pxGPsDk_YUWiXTfxskmOUQ_1_14"/>
      <w:bookmarkStart w:id="423" w:name="Tc_ZOU_8u6ggUu6UYKvMXQYhw_1_11"/>
      <w:bookmarkStart w:id="424" w:name="Tc_M7vMsBk_E0-TFutDrdZEig_1_8"/>
      <w:bookmarkStart w:id="425" w:name="Tc_lrNbHVOO-EqV0vuLRwXlQw_1_5"/>
      <w:bookmarkStart w:id="426" w:name="Tc_0driqRVhj0e8SjmXV3qw5A_1_2"/>
      <w:bookmarkStart w:id="427" w:name="_fad1320e_d93d_4b51_b3df_b37b4a471fac"/>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tbl>
      <w:tblPr>
        <w:tblW w:w="11598" w:type="dxa"/>
        <w:jc w:val="left"/>
        <w:tblInd w:w="0" w:type="dxa"/>
        <w:tblLayout w:type="fixed"/>
        <w:tblCellMar>
          <w:top w:w="0" w:type="dxa"/>
          <w:left w:w="0" w:type="dxa"/>
          <w:bottom w:w="0" w:type="dxa"/>
          <w:right w:w="0" w:type="dxa"/>
        </w:tblCellMar>
      </w:tblPr>
      <w:tblGrid>
        <w:gridCol w:w="1231"/>
        <w:gridCol w:w="109"/>
        <w:gridCol w:w="298"/>
        <w:gridCol w:w="528"/>
        <w:gridCol w:w="346"/>
        <w:gridCol w:w="283"/>
        <w:gridCol w:w="543"/>
        <w:gridCol w:w="286"/>
        <w:gridCol w:w="205"/>
        <w:gridCol w:w="726"/>
        <w:gridCol w:w="286"/>
        <w:gridCol w:w="196"/>
        <w:gridCol w:w="690"/>
        <w:gridCol w:w="286"/>
        <w:gridCol w:w="362"/>
        <w:gridCol w:w="944"/>
        <w:gridCol w:w="286"/>
        <w:gridCol w:w="255"/>
        <w:gridCol w:w="901"/>
        <w:gridCol w:w="286"/>
        <w:gridCol w:w="310"/>
        <w:gridCol w:w="951"/>
        <w:gridCol w:w="286"/>
        <w:gridCol w:w="196"/>
        <w:gridCol w:w="808"/>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81685" cy="175260"/>
                      <wp:effectExtent l="0" t="0" r="0" b="0"/>
                      <wp:wrapNone/>
                      <wp:docPr id="30" name="Frame3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89230" cy="175260"/>
                      <wp:effectExtent l="0" t="0" r="0" b="0"/>
                      <wp:wrapNone/>
                      <wp:docPr id="32" name="Frame32"/>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35280" cy="175260"/>
                      <wp:effectExtent l="0" t="0" r="0" b="0"/>
                      <wp:wrapNone/>
                      <wp:docPr id="33" name="Frame33"/>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79705" cy="175260"/>
                      <wp:effectExtent l="0" t="0" r="0" b="0"/>
                      <wp:wrapNone/>
                      <wp:docPr id="35" name="Frame35"/>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44805" cy="175260"/>
                      <wp:effectExtent l="0" t="0" r="0" b="0"/>
                      <wp:wrapNone/>
                      <wp:docPr id="36" name="Frame36"/>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81610" cy="175260"/>
                      <wp:effectExtent l="0" t="0" r="0" b="0"/>
                      <wp:wrapNone/>
                      <wp:docPr id="37" name="Frame3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0175" cy="175260"/>
                      <wp:effectExtent l="0" t="0" r="0" b="0"/>
                      <wp:wrapNone/>
                      <wp:docPr id="38" name="Frame38"/>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61010" cy="175260"/>
                      <wp:effectExtent l="0" t="0" r="0" b="0"/>
                      <wp:wrapNone/>
                      <wp:docPr id="39" name="Frame39"/>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81610" cy="175260"/>
                      <wp:effectExtent l="0" t="0" r="0" b="0"/>
                      <wp:wrapNone/>
                      <wp:docPr id="40" name="Frame4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4460" cy="175260"/>
                      <wp:effectExtent l="0" t="0" r="0" b="0"/>
                      <wp:wrapNone/>
                      <wp:docPr id="41" name="Frame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38150" cy="175260"/>
                      <wp:effectExtent l="0" t="0" r="0" b="0"/>
                      <wp:wrapNone/>
                      <wp:docPr id="42" name="Frame42"/>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81610" cy="175260"/>
                      <wp:effectExtent l="0" t="0" r="0" b="0"/>
                      <wp:wrapNone/>
                      <wp:docPr id="43" name="Frame4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29870" cy="175260"/>
                      <wp:effectExtent l="0" t="0" r="0" b="0"/>
                      <wp:wrapNone/>
                      <wp:docPr id="44" name="Frame44"/>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99440" cy="175260"/>
                      <wp:effectExtent l="0" t="0" r="0" b="0"/>
                      <wp:wrapNone/>
                      <wp:docPr id="45" name="Frame45"/>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81610" cy="175260"/>
                      <wp:effectExtent l="0" t="0" r="0" b="0"/>
                      <wp:wrapNone/>
                      <wp:docPr id="46" name="Frame4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61925" cy="175260"/>
                      <wp:effectExtent l="0" t="0" r="0" b="0"/>
                      <wp:wrapNone/>
                      <wp:docPr id="47" name="Frame47"/>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72135" cy="175260"/>
                      <wp:effectExtent l="0" t="0" r="0" b="0"/>
                      <wp:wrapNone/>
                      <wp:docPr id="48" name="Frame4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81610" cy="175260"/>
                      <wp:effectExtent l="0" t="0" r="0" b="0"/>
                      <wp:wrapNone/>
                      <wp:docPr id="49" name="Frame4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96850" cy="175260"/>
                      <wp:effectExtent l="0" t="0" r="0" b="0"/>
                      <wp:wrapNone/>
                      <wp:docPr id="50" name="Frame5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03885" cy="175260"/>
                      <wp:effectExtent l="0" t="0" r="0" b="0"/>
                      <wp:wrapNone/>
                      <wp:docPr id="51" name="Frame51"/>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1610" cy="175260"/>
                      <wp:effectExtent l="0" t="0" r="0" b="0"/>
                      <wp:wrapNone/>
                      <wp:docPr id="52" name="Frame5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4460" cy="175260"/>
                      <wp:effectExtent l="0" t="0" r="0" b="0"/>
                      <wp:wrapNone/>
                      <wp:docPr id="53"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13080" cy="175260"/>
                      <wp:effectExtent l="0" t="0" r="0" b="0"/>
                      <wp:wrapNone/>
                      <wp:docPr id="54" name="Frame54"/>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Preferred Stock at Par</w:t>
            </w:r>
          </w:p>
        </w:tc>
        <w:tc>
          <w:tcPr>
            <w:tcW w:w="346" w:type="dxa"/>
            <w:tcBorders/>
            <w:vAlign w:val="center"/>
          </w:tcPr>
          <w:p>
            <w:pPr>
              <w:pStyle w:val="TableContents"/>
              <w:bidi w:val="0"/>
              <w:spacing w:before="0" w:after="0"/>
              <w:ind w:left="0" w:right="0" w:hanging="0"/>
              <w:jc w:val="center"/>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 at Par</w:t>
            </w:r>
          </w:p>
        </w:tc>
        <w:tc>
          <w:tcPr>
            <w:tcW w:w="286" w:type="dxa"/>
            <w:tcBorders/>
            <w:vAlign w:val="center"/>
          </w:tcPr>
          <w:p>
            <w:pPr>
              <w:pStyle w:val="TableContents"/>
              <w:bidi w:val="0"/>
              <w:spacing w:before="0" w:after="0"/>
              <w:ind w:left="0" w:right="0" w:hanging="0"/>
              <w:jc w:val="center"/>
              <w:rPr/>
            </w:pPr>
            <w:r>
              <w:rPr/>
              <w:t>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Additional Paid-in Capital</w:t>
            </w:r>
          </w:p>
        </w:tc>
        <w:tc>
          <w:tcPr>
            <w:tcW w:w="286" w:type="dxa"/>
            <w:tcBorders/>
            <w:vAlign w:val="center"/>
          </w:tcPr>
          <w:p>
            <w:pPr>
              <w:pStyle w:val="TableContents"/>
              <w:bidi w:val="0"/>
              <w:spacing w:before="0" w:after="0"/>
              <w:ind w:left="0" w:right="0" w:hanging="0"/>
              <w:jc w:val="center"/>
              <w:rPr/>
            </w:pPr>
            <w:r>
              <w:rPr/>
              <w:t>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Dividends in Excess of Net Income</w:t>
            </w:r>
          </w:p>
        </w:tc>
        <w:tc>
          <w:tcPr>
            <w:tcW w:w="286" w:type="dxa"/>
            <w:tcBorders/>
            <w:vAlign w:val="center"/>
          </w:tcPr>
          <w:p>
            <w:pPr>
              <w:pStyle w:val="TableContents"/>
              <w:bidi w:val="0"/>
              <w:spacing w:before="0" w:after="0"/>
              <w:ind w:left="0" w:right="0" w:hanging="0"/>
              <w:jc w:val="center"/>
              <w:rPr/>
            </w:pPr>
            <w:r>
              <w:rPr/>
              <w:t>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w:t>
            </w:r>
          </w:p>
        </w:tc>
        <w:tc>
          <w:tcPr>
            <w:tcW w:w="286" w:type="dxa"/>
            <w:tcBorders/>
            <w:vAlign w:val="center"/>
          </w:tcPr>
          <w:p>
            <w:pPr>
              <w:pStyle w:val="TableContents"/>
              <w:bidi w:val="0"/>
              <w:spacing w:before="0" w:after="0"/>
              <w:ind w:left="0" w:right="0" w:hanging="0"/>
              <w:jc w:val="center"/>
              <w:rPr/>
            </w:pPr>
            <w:r>
              <w:rPr/>
              <w:t>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c>
          <w:tcPr>
            <w:tcW w:w="286" w:type="dxa"/>
            <w:tcBorders/>
            <w:vAlign w:val="center"/>
          </w:tcPr>
          <w:p>
            <w:pPr>
              <w:pStyle w:val="TableContents"/>
              <w:bidi w:val="0"/>
              <w:spacing w:before="0" w:after="0"/>
              <w:ind w:left="0" w:right="0" w:hanging="0"/>
              <w:jc w:val="center"/>
              <w:rPr/>
            </w:pPr>
            <w:r>
              <w:rPr/>
              <w:t>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Noncontrolling Interest</w:t>
            </w:r>
          </w:p>
        </w:tc>
        <w:tc>
          <w:tcPr>
            <w:tcW w:w="286" w:type="dxa"/>
            <w:tcBorders/>
            <w:vAlign w:val="center"/>
          </w:tcPr>
          <w:p>
            <w:pPr>
              <w:pStyle w:val="TableContents"/>
              <w:bidi w:val="0"/>
              <w:spacing w:before="0" w:after="0"/>
              <w:ind w:left="0" w:right="0" w:hanging="0"/>
              <w:jc w:val="center"/>
              <w:rPr/>
            </w:pPr>
            <w:r>
              <w:rPr/>
              <w:t>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Equity</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July 1, 2026</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28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375,337</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(41,394)</w:t>
            </w:r>
          </w:p>
        </w:tc>
        <w:tc>
          <w:tcPr>
            <w:tcW w:w="286" w:type="dxa"/>
            <w:tcBorders/>
            <w:shd w:fill="CCEEFF" w:val="clear"/>
            <w:vAlign w:val="center"/>
          </w:tcPr>
          <w:p>
            <w:pPr>
              <w:pStyle w:val="TableContents"/>
              <w:bidi w:val="0"/>
              <w:spacing w:before="0" w:after="0"/>
              <w:ind w:left="0" w:right="0" w:hanging="0"/>
              <w:jc w:val="righ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3,148</w:t>
            </w:r>
          </w:p>
        </w:tc>
        <w:tc>
          <w:tcPr>
            <w:tcW w:w="28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337,291</w:t>
            </w:r>
          </w:p>
        </w:tc>
        <w:tc>
          <w:tcPr>
            <w:tcW w:w="28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21,252</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358,543</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4,688</w:t>
            </w:r>
          </w:p>
        </w:tc>
        <w:tc>
          <w:tcPr>
            <w:tcW w:w="28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4,688</w:t>
            </w:r>
          </w:p>
        </w:tc>
        <w:tc>
          <w:tcPr>
            <w:tcW w:w="2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5,012</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Issuances to Directors</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28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28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7,976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7,980</w:t>
            </w:r>
          </w:p>
        </w:tc>
        <w:tc>
          <w:tcPr>
            <w:tcW w:w="2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7,980</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Dividends ($0.500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(1,245)</w:t>
            </w:r>
          </w:p>
        </w:tc>
        <w:tc>
          <w:tcPr>
            <w:tcW w:w="286" w:type="dxa"/>
            <w:tcBorders/>
            <w:shd w:fill="CCEEFF" w:val="clear"/>
            <w:vAlign w:val="center"/>
          </w:tcPr>
          <w:p>
            <w:pPr>
              <w:pStyle w:val="TableContents"/>
              <w:bidi w:val="0"/>
              <w:spacing w:before="0" w:after="0"/>
              <w:ind w:left="0" w:right="0" w:hanging="0"/>
              <w:jc w:val="righ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(1,245)</w:t>
            </w:r>
          </w:p>
        </w:tc>
        <w:tc>
          <w:tcPr>
            <w:tcW w:w="28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(1,245)</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 ($0.320 per share)</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(5,738)</w:t>
            </w:r>
          </w:p>
        </w:tc>
        <w:tc>
          <w:tcPr>
            <w:tcW w:w="28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(5,738)</w:t>
            </w:r>
          </w:p>
        </w:tc>
        <w:tc>
          <w:tcPr>
            <w:tcW w:w="2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(6,128)</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4,304</w:t>
            </w:r>
          </w:p>
        </w:tc>
        <w:tc>
          <w:tcPr>
            <w:tcW w:w="28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4,304</w:t>
            </w:r>
          </w:p>
        </w:tc>
        <w:tc>
          <w:tcPr>
            <w:tcW w:w="28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4,601</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September 30, 2026</w:t>
            </w:r>
          </w:p>
        </w:tc>
        <w:tc>
          <w:tcPr>
            <w:tcW w:w="109"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46" w:type="dxa"/>
            <w:tcBorders/>
            <w:vAlign w:val="center"/>
          </w:tcPr>
          <w:p>
            <w:pPr>
              <w:pStyle w:val="TableContents"/>
              <w:bidi w:val="0"/>
              <w:spacing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w:t>
            </w:r>
          </w:p>
        </w:tc>
        <w:tc>
          <w:tcPr>
            <w:tcW w:w="286" w:type="dxa"/>
            <w:tcBorders/>
            <w:vAlign w:val="center"/>
          </w:tcPr>
          <w:p>
            <w:pPr>
              <w:pStyle w:val="TableContents"/>
              <w:bidi w:val="0"/>
              <w:spacing w:before="0" w:after="0"/>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383,408</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(43,689)</w:t>
            </w:r>
          </w:p>
        </w:tc>
        <w:tc>
          <w:tcPr>
            <w:tcW w:w="286" w:type="dxa"/>
            <w:tcBorders/>
            <w:vAlign w:val="center"/>
          </w:tcPr>
          <w:p>
            <w:pPr>
              <w:pStyle w:val="TableContents"/>
              <w:bidi w:val="0"/>
              <w:spacing w:before="0" w:after="0"/>
              <w:ind w:left="0" w:right="0" w:hanging="0"/>
              <w:jc w:val="right"/>
              <w:rPr/>
            </w:pPr>
            <w:r>
              <w:rPr/>
              <w:t>​</w:t>
            </w:r>
          </w:p>
        </w:tc>
        <w:tc>
          <w:tcPr>
            <w:tcW w:w="3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7,452</w:t>
            </w:r>
          </w:p>
        </w:tc>
        <w:tc>
          <w:tcPr>
            <w:tcW w:w="28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347,375</w:t>
            </w:r>
          </w:p>
        </w:tc>
        <w:tc>
          <w:tcPr>
            <w:tcW w:w="28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21,483</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18"/>
              </w:rPr>
            </w:pPr>
            <w:r>
              <w:rPr>
                <w:rFonts w:ascii="Times New Roman;Times;serif" w:hAnsi="Times New Roman;Times;serif"/>
                <w:sz w:val="18"/>
              </w:rPr>
              <w:t>368,858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September 30, 2025:</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28" w:name="Tc_Rbpoz1t8BEOCHZ8mndGn0g_7_23"/>
      <w:bookmarkStart w:id="429" w:name="Tc_AyvbfMRV_0GZgzX4vINzDQ_7_20"/>
      <w:bookmarkStart w:id="430" w:name="Tc_lRvlZ_gAu0eyiWm9Q1Ujpg_7_17"/>
      <w:bookmarkStart w:id="431" w:name="Tc_2oFjxe3bbEuUBrAI4DZA-A_7_14"/>
      <w:bookmarkStart w:id="432" w:name="Tc_3FV6gsQr5U6x_NXYubaylQ_7_11"/>
      <w:bookmarkStart w:id="433" w:name="Tc_M3OVTO_DbkOF5jus1mZQhQ_7_8"/>
      <w:bookmarkStart w:id="434" w:name="Tc_reN6Gvj68UKX_QOazNT43Q_7_5"/>
      <w:bookmarkStart w:id="435" w:name="Tc_Ov3lQ3KRtEyMzRLHgxt4Og_7_3"/>
      <w:bookmarkStart w:id="436" w:name="Tc_IMASy2Z3VUOvgDOEMFxrWg_7_2"/>
      <w:bookmarkStart w:id="437" w:name="Tc_camLZRn66Eyidk7ejh7L4w_7_0"/>
      <w:bookmarkStart w:id="438" w:name="Tc_sxJW0COw-UCTNwdtJc6SMw_6_12"/>
      <w:bookmarkStart w:id="439" w:name="Tc_eY0-I854ZEG_0QAFMBbBPg_6_9"/>
      <w:bookmarkStart w:id="440" w:name="Tc_a58s3_cpNk6C_Z-Qv31mvA_6_6"/>
      <w:bookmarkStart w:id="441" w:name="Tc_3XvbSfYdLEymAtaWMvmVjg_6_3"/>
      <w:bookmarkStart w:id="442" w:name="Tc_zViiV9jO-0eTZD6yI3-GJw_6_0"/>
      <w:bookmarkStart w:id="443" w:name="Tc_3Fkrk5_gOECJutoNomQeBA_5_15"/>
      <w:bookmarkStart w:id="444" w:name="Tc_txjGHN-BI0iuk68YnxR2ZA_5_9"/>
      <w:bookmarkStart w:id="445" w:name="Tc_u572Q9gczUm2c_g4dV_ZBA_5_6"/>
      <w:bookmarkStart w:id="446" w:name="Tc_RnCmv_DanUKIlTVZOiuolg_5_3"/>
      <w:bookmarkStart w:id="447" w:name="Tc_b76oKwsjK0KoSZ5H7ISF8w_5_0"/>
      <w:bookmarkStart w:id="448" w:name="Tc_--o19vuI6kG7UcUITxqZrw_4_21"/>
      <w:bookmarkStart w:id="449" w:name="Tc_lJMSxx5d7k28MnWQ7hTcQA_4_15"/>
      <w:bookmarkStart w:id="450" w:name="Tc_SaYzD7LLR06eSrhcglPlFw_4_12"/>
      <w:bookmarkStart w:id="451" w:name="Tc_-1uFGVf11k6-AL_mCmmbcw_4_6"/>
      <w:bookmarkStart w:id="452" w:name="Tc_2SnnSZ_MEU-vtYDYIpJ5WQ_4_3"/>
      <w:bookmarkStart w:id="453" w:name="Tc_CnTANzfb6EC34flZ4z_kWA_4_0"/>
      <w:bookmarkStart w:id="454" w:name="Tc_A72d7Sy9X029RR83xzFqig_3_15"/>
      <w:bookmarkStart w:id="455" w:name="Tc_EntYSanS80qTdqfZJ6wGRA_3_9"/>
      <w:bookmarkStart w:id="456" w:name="Tc_9588hXgcaE2M1OJLiD-5HA_3_6"/>
      <w:bookmarkStart w:id="457" w:name="Tc_JuI1AS6eaESBwL4BECDi3A_3_3"/>
      <w:bookmarkStart w:id="458" w:name="Tc_FBXU2z-KTk-j4kroST5Vmw_3_0"/>
      <w:bookmarkStart w:id="459" w:name="Tc_mYCR0gMf20euB2sPch6wjw_2_23"/>
      <w:bookmarkStart w:id="460" w:name="Tc_7BhxvseaeUytmfa5OO00Vg_2_20"/>
      <w:bookmarkStart w:id="461" w:name="Tc_THg3uHfmOkyz8vbd-xu8qg_2_17"/>
      <w:bookmarkStart w:id="462" w:name="Tc_II_oh_4m9UGSEqSgdlDtzg_2_14"/>
      <w:bookmarkStart w:id="463" w:name="Tc_s91HVy4EbUqNcuvVWReXUQ_2_11"/>
      <w:bookmarkStart w:id="464" w:name="Tc_MpXQN_b840a6Csze_SdE_g_2_8"/>
      <w:bookmarkStart w:id="465" w:name="Tc_6mTH1jLuh0ixY8ZnadYOKg_2_5"/>
      <w:bookmarkStart w:id="466" w:name="Tc_PGGzi7ByAUuYnt237SMYKA_2_3"/>
      <w:bookmarkStart w:id="467" w:name="Tc_JDJwJK6YRk-c1aAcIU2zcg_2_2"/>
      <w:bookmarkStart w:id="468" w:name="Tc_6zM-FuVrfUSP8uQlJ1qnWQ_2_0"/>
      <w:bookmarkStart w:id="469" w:name="Tc_0OGTr_jnKUy_YPJtS1NpDw_1_23"/>
      <w:bookmarkStart w:id="470" w:name="Tc_5fQW-7vZdE-E4RZrAXHMWA_1_20"/>
      <w:bookmarkStart w:id="471" w:name="Tc_E_i_8idVFk6EHI9qCmY-mw_1_17"/>
      <w:bookmarkStart w:id="472" w:name="Tc_ShFfmeyncUWY9Oi3qJGGnw_1_14"/>
      <w:bookmarkStart w:id="473" w:name="Tc_4WXXgsHJokySXrYEH4H15w_1_11"/>
      <w:bookmarkStart w:id="474" w:name="Tc_8dmkVSscxkexJHfd1RMLPw_1_8"/>
      <w:bookmarkStart w:id="475" w:name="Tc_MJXLpxSgE0eWhravjn-g3Q_1_5"/>
      <w:bookmarkStart w:id="476" w:name="Tc_iO_cUeqkLkG4qpiXYQtqFg_1_2"/>
      <w:bookmarkStart w:id="477" w:name="_e2482f0a_c2f6_4f0c_be9f_e9b84d2541eb"/>
      <w:bookmarkStart w:id="478" w:name="Tc_Rbpoz1t8BEOCHZ8mndGn0g_7_23"/>
      <w:bookmarkStart w:id="479" w:name="Tc_AyvbfMRV_0GZgzX4vINzDQ_7_20"/>
      <w:bookmarkStart w:id="480" w:name="Tc_lRvlZ_gAu0eyiWm9Q1Ujpg_7_17"/>
      <w:bookmarkStart w:id="481" w:name="Tc_2oFjxe3bbEuUBrAI4DZA-A_7_14"/>
      <w:bookmarkStart w:id="482" w:name="Tc_3FV6gsQr5U6x_NXYubaylQ_7_11"/>
      <w:bookmarkStart w:id="483" w:name="Tc_M3OVTO_DbkOF5jus1mZQhQ_7_8"/>
      <w:bookmarkStart w:id="484" w:name="Tc_reN6Gvj68UKX_QOazNT43Q_7_5"/>
      <w:bookmarkStart w:id="485" w:name="Tc_Ov3lQ3KRtEyMzRLHgxt4Og_7_3"/>
      <w:bookmarkStart w:id="486" w:name="Tc_IMASy2Z3VUOvgDOEMFxrWg_7_2"/>
      <w:bookmarkStart w:id="487" w:name="Tc_camLZRn66Eyidk7ejh7L4w_7_0"/>
      <w:bookmarkStart w:id="488" w:name="Tc_sxJW0COw-UCTNwdtJc6SMw_6_12"/>
      <w:bookmarkStart w:id="489" w:name="Tc_eY0-I854ZEG_0QAFMBbBPg_6_9"/>
      <w:bookmarkStart w:id="490" w:name="Tc_a58s3_cpNk6C_Z-Qv31mvA_6_6"/>
      <w:bookmarkStart w:id="491" w:name="Tc_3XvbSfYdLEymAtaWMvmVjg_6_3"/>
      <w:bookmarkStart w:id="492" w:name="Tc_zViiV9jO-0eTZD6yI3-GJw_6_0"/>
      <w:bookmarkStart w:id="493" w:name="Tc_3Fkrk5_gOECJutoNomQeBA_5_15"/>
      <w:bookmarkStart w:id="494" w:name="Tc_txjGHN-BI0iuk68YnxR2ZA_5_9"/>
      <w:bookmarkStart w:id="495" w:name="Tc_u572Q9gczUm2c_g4dV_ZBA_5_6"/>
      <w:bookmarkStart w:id="496" w:name="Tc_RnCmv_DanUKIlTVZOiuolg_5_3"/>
      <w:bookmarkStart w:id="497" w:name="Tc_b76oKwsjK0KoSZ5H7ISF8w_5_0"/>
      <w:bookmarkStart w:id="498" w:name="Tc_--o19vuI6kG7UcUITxqZrw_4_21"/>
      <w:bookmarkStart w:id="499" w:name="Tc_lJMSxx5d7k28MnWQ7hTcQA_4_15"/>
      <w:bookmarkStart w:id="500" w:name="Tc_SaYzD7LLR06eSrhcglPlFw_4_12"/>
      <w:bookmarkStart w:id="501" w:name="Tc_-1uFGVf11k6-AL_mCmmbcw_4_6"/>
      <w:bookmarkStart w:id="502" w:name="Tc_2SnnSZ_MEU-vtYDYIpJ5WQ_4_3"/>
      <w:bookmarkStart w:id="503" w:name="Tc_CnTANzfb6EC34flZ4z_kWA_4_0"/>
      <w:bookmarkStart w:id="504" w:name="Tc_A72d7Sy9X029RR83xzFqig_3_15"/>
      <w:bookmarkStart w:id="505" w:name="Tc_EntYSanS80qTdqfZJ6wGRA_3_9"/>
      <w:bookmarkStart w:id="506" w:name="Tc_9588hXgcaE2M1OJLiD-5HA_3_6"/>
      <w:bookmarkStart w:id="507" w:name="Tc_JuI1AS6eaESBwL4BECDi3A_3_3"/>
      <w:bookmarkStart w:id="508" w:name="Tc_FBXU2z-KTk-j4kroST5Vmw_3_0"/>
      <w:bookmarkStart w:id="509" w:name="Tc_mYCR0gMf20euB2sPch6wjw_2_23"/>
      <w:bookmarkStart w:id="510" w:name="Tc_7BhxvseaeUytmfa5OO00Vg_2_20"/>
      <w:bookmarkStart w:id="511" w:name="Tc_THg3uHfmOkyz8vbd-xu8qg_2_17"/>
      <w:bookmarkStart w:id="512" w:name="Tc_II_oh_4m9UGSEqSgdlDtzg_2_14"/>
      <w:bookmarkStart w:id="513" w:name="Tc_s91HVy4EbUqNcuvVWReXUQ_2_11"/>
      <w:bookmarkStart w:id="514" w:name="Tc_MpXQN_b840a6Csze_SdE_g_2_8"/>
      <w:bookmarkStart w:id="515" w:name="Tc_6mTH1jLuh0ixY8ZnadYOKg_2_5"/>
      <w:bookmarkStart w:id="516" w:name="Tc_PGGzi7ByAUuYnt237SMYKA_2_3"/>
      <w:bookmarkStart w:id="517" w:name="Tc_JDJwJK6YRk-c1aAcIU2zcg_2_2"/>
      <w:bookmarkStart w:id="518" w:name="Tc_6zM-FuVrfUSP8uQlJ1qnWQ_2_0"/>
      <w:bookmarkStart w:id="519" w:name="Tc_0OGTr_jnKUy_YPJtS1NpDw_1_23"/>
      <w:bookmarkStart w:id="520" w:name="Tc_5fQW-7vZdE-E4RZrAXHMWA_1_20"/>
      <w:bookmarkStart w:id="521" w:name="Tc_E_i_8idVFk6EHI9qCmY-mw_1_17"/>
      <w:bookmarkStart w:id="522" w:name="Tc_ShFfmeyncUWY9Oi3qJGGnw_1_14"/>
      <w:bookmarkStart w:id="523" w:name="Tc_4WXXgsHJokySXrYEH4H15w_1_11"/>
      <w:bookmarkStart w:id="524" w:name="Tc_8dmkVSscxkexJHfd1RMLPw_1_8"/>
      <w:bookmarkStart w:id="525" w:name="Tc_MJXLpxSgE0eWhravjn-g3Q_1_5"/>
      <w:bookmarkStart w:id="526" w:name="Tc_iO_cUeqkLkG4qpiXYQtqFg_1_2"/>
      <w:bookmarkStart w:id="527" w:name="_e2482f0a_c2f6_4f0c_be9f_e9b84d2541eb"/>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tbl>
      <w:tblPr>
        <w:tblW w:w="11598" w:type="dxa"/>
        <w:jc w:val="left"/>
        <w:tblInd w:w="0" w:type="dxa"/>
        <w:tblLayout w:type="fixed"/>
        <w:tblCellMar>
          <w:top w:w="0" w:type="dxa"/>
          <w:left w:w="0" w:type="dxa"/>
          <w:bottom w:w="0" w:type="dxa"/>
          <w:right w:w="0" w:type="dxa"/>
        </w:tblCellMar>
      </w:tblPr>
      <w:tblGrid>
        <w:gridCol w:w="1231"/>
        <w:gridCol w:w="109"/>
        <w:gridCol w:w="298"/>
        <w:gridCol w:w="528"/>
        <w:gridCol w:w="346"/>
        <w:gridCol w:w="283"/>
        <w:gridCol w:w="543"/>
        <w:gridCol w:w="286"/>
        <w:gridCol w:w="205"/>
        <w:gridCol w:w="726"/>
        <w:gridCol w:w="286"/>
        <w:gridCol w:w="196"/>
        <w:gridCol w:w="690"/>
        <w:gridCol w:w="286"/>
        <w:gridCol w:w="333"/>
        <w:gridCol w:w="973"/>
        <w:gridCol w:w="286"/>
        <w:gridCol w:w="255"/>
        <w:gridCol w:w="901"/>
        <w:gridCol w:w="286"/>
        <w:gridCol w:w="310"/>
        <w:gridCol w:w="951"/>
        <w:gridCol w:w="286"/>
        <w:gridCol w:w="196"/>
        <w:gridCol w:w="808"/>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781685" cy="175260"/>
                      <wp:effectExtent l="0" t="0" r="0" b="0"/>
                      <wp:wrapNone/>
                      <wp:docPr id="55" name="Frame5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6"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89230" cy="175260"/>
                      <wp:effectExtent l="0" t="0" r="0" b="0"/>
                      <wp:wrapNone/>
                      <wp:docPr id="57" name="Frame57"/>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35280" cy="175260"/>
                      <wp:effectExtent l="0" t="0" r="0" b="0"/>
                      <wp:wrapNone/>
                      <wp:docPr id="58" name="Frame58"/>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79705" cy="175260"/>
                      <wp:effectExtent l="0" t="0" r="0" b="0"/>
                      <wp:wrapNone/>
                      <wp:docPr id="60" name="Frame60"/>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44805" cy="175260"/>
                      <wp:effectExtent l="0" t="0" r="0" b="0"/>
                      <wp:wrapNone/>
                      <wp:docPr id="61" name="Frame61"/>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81610" cy="175260"/>
                      <wp:effectExtent l="0" t="0" r="0" b="0"/>
                      <wp:wrapNone/>
                      <wp:docPr id="62" name="Frame6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0175" cy="175260"/>
                      <wp:effectExtent l="0" t="0" r="0" b="0"/>
                      <wp:wrapNone/>
                      <wp:docPr id="63" name="Frame63"/>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61010" cy="175260"/>
                      <wp:effectExtent l="0" t="0" r="0" b="0"/>
                      <wp:wrapNone/>
                      <wp:docPr id="64" name="Frame64"/>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81610" cy="175260"/>
                      <wp:effectExtent l="0" t="0" r="0" b="0"/>
                      <wp:wrapNone/>
                      <wp:docPr id="65" name="Frame6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8150" cy="175260"/>
                      <wp:effectExtent l="0" t="0" r="0" b="0"/>
                      <wp:wrapNone/>
                      <wp:docPr id="67" name="Frame6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81610" cy="175260"/>
                      <wp:effectExtent l="0" t="0" r="0" b="0"/>
                      <wp:wrapNone/>
                      <wp:docPr id="68" name="Frame6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1455" cy="175260"/>
                      <wp:effectExtent l="0" t="0" r="0" b="0"/>
                      <wp:wrapNone/>
                      <wp:docPr id="69" name="Frame69"/>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17855" cy="175260"/>
                      <wp:effectExtent l="0" t="0" r="0" b="0"/>
                      <wp:wrapNone/>
                      <wp:docPr id="70" name="Frame70"/>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81610" cy="175260"/>
                      <wp:effectExtent l="0" t="0" r="0" b="0"/>
                      <wp:wrapNone/>
                      <wp:docPr id="71" name="Frame7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1925" cy="175260"/>
                      <wp:effectExtent l="0" t="0" r="0" b="0"/>
                      <wp:wrapNone/>
                      <wp:docPr id="72" name="Frame7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72135" cy="175260"/>
                      <wp:effectExtent l="0" t="0" r="0" b="0"/>
                      <wp:wrapNone/>
                      <wp:docPr id="73" name="Frame7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81610" cy="175260"/>
                      <wp:effectExtent l="0" t="0" r="0" b="0"/>
                      <wp:wrapNone/>
                      <wp:docPr id="74" name="Frame7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96850" cy="175260"/>
                      <wp:effectExtent l="0" t="0" r="0" b="0"/>
                      <wp:wrapNone/>
                      <wp:docPr id="75" name="Frame7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03885" cy="175260"/>
                      <wp:effectExtent l="0" t="0" r="0" b="0"/>
                      <wp:wrapNone/>
                      <wp:docPr id="76" name="Frame76"/>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81610" cy="175260"/>
                      <wp:effectExtent l="0" t="0" r="0" b="0"/>
                      <wp:wrapNone/>
                      <wp:docPr id="77" name="Frame7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24460" cy="175260"/>
                      <wp:effectExtent l="0" t="0" r="0" b="0"/>
                      <wp:wrapNone/>
                      <wp:docPr id="78" name="Frame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13080" cy="175260"/>
                      <wp:effectExtent l="0" t="0" r="0" b="0"/>
                      <wp:wrapNone/>
                      <wp:docPr id="79" name="Frame79"/>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Preferred Stock at Par</w:t>
            </w:r>
          </w:p>
        </w:tc>
        <w:tc>
          <w:tcPr>
            <w:tcW w:w="346"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 Stock at Par</w:t>
            </w:r>
          </w:p>
        </w:tc>
        <w:tc>
          <w:tcPr>
            <w:tcW w:w="286" w:type="dxa"/>
            <w:tcBorders/>
            <w:vAlign w:val="center"/>
          </w:tcPr>
          <w:p>
            <w:pPr>
              <w:pStyle w:val="TableContents"/>
              <w:bidi w:val="0"/>
              <w:spacing w:before="0" w:after="1"/>
              <w:ind w:left="0" w:right="0" w:hanging="0"/>
              <w:jc w:val="center"/>
              <w:rPr/>
            </w:pPr>
            <w:r>
              <w:rPr/>
              <w:t>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 Paid-in Capital</w:t>
            </w:r>
          </w:p>
        </w:tc>
        <w:tc>
          <w:tcPr>
            <w:tcW w:w="286" w:type="dxa"/>
            <w:tcBorders/>
            <w:vAlign w:val="center"/>
          </w:tcPr>
          <w:p>
            <w:pPr>
              <w:pStyle w:val="TableContents"/>
              <w:bidi w:val="0"/>
              <w:spacing w:before="0" w:after="1"/>
              <w:ind w:left="0" w:right="0" w:hanging="0"/>
              <w:jc w:val="center"/>
              <w:rPr/>
            </w:pPr>
            <w:r>
              <w:rPr/>
              <w:t>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Dividends in Excess of Net Income</w:t>
            </w:r>
          </w:p>
        </w:tc>
        <w:tc>
          <w:tcPr>
            <w:tcW w:w="286" w:type="dxa"/>
            <w:tcBorders/>
            <w:vAlign w:val="center"/>
          </w:tcPr>
          <w:p>
            <w:pPr>
              <w:pStyle w:val="TableContents"/>
              <w:bidi w:val="0"/>
              <w:spacing w:before="0" w:after="1"/>
              <w:ind w:left="0" w:right="0" w:hanging="0"/>
              <w:jc w:val="center"/>
              <w:rPr/>
            </w:pPr>
            <w:r>
              <w:rPr/>
              <w:t>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w:t>
            </w:r>
          </w:p>
        </w:tc>
        <w:tc>
          <w:tcPr>
            <w:tcW w:w="286" w:type="dxa"/>
            <w:tcBorders/>
            <w:vAlign w:val="center"/>
          </w:tcPr>
          <w:p>
            <w:pPr>
              <w:pStyle w:val="TableContents"/>
              <w:bidi w:val="0"/>
              <w:spacing w:before="0" w:after="1"/>
              <w:ind w:left="0" w:right="0" w:hanging="0"/>
              <w:jc w:val="center"/>
              <w:rPr/>
            </w:pPr>
            <w:r>
              <w:rPr/>
              <w:t>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c>
          <w:tcPr>
            <w:tcW w:w="286" w:type="dxa"/>
            <w:tcBorders/>
            <w:vAlign w:val="center"/>
          </w:tcPr>
          <w:p>
            <w:pPr>
              <w:pStyle w:val="TableContents"/>
              <w:bidi w:val="0"/>
              <w:spacing w:before="0" w:after="1"/>
              <w:ind w:left="0" w:right="0" w:hanging="0"/>
              <w:jc w:val="center"/>
              <w:rPr/>
            </w:pPr>
            <w:r>
              <w:rPr/>
              <w:t>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Noncontrolling Interest</w:t>
            </w:r>
          </w:p>
        </w:tc>
        <w:tc>
          <w:tcPr>
            <w:tcW w:w="286" w:type="dxa"/>
            <w:tcBorders/>
            <w:vAlign w:val="center"/>
          </w:tcPr>
          <w:p>
            <w:pPr>
              <w:pStyle w:val="TableContents"/>
              <w:bidi w:val="0"/>
              <w:spacing w:before="0" w:after="1"/>
              <w:ind w:left="0" w:right="0" w:hanging="0"/>
              <w:jc w:val="center"/>
              <w:rPr/>
            </w:pPr>
            <w:r>
              <w:rPr/>
              <w:t>  ​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Equity</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July 1, 2025</w:t>
            </w:r>
          </w:p>
        </w:tc>
        <w:tc>
          <w:tcPr>
            <w:tcW w:w="109" w:type="dxa"/>
            <w:tcBorders/>
            <w:shd w:fill="CCEEFF" w:val="clear"/>
            <w:vAlign w:val="center"/>
          </w:tcPr>
          <w:p>
            <w:pPr>
              <w:pStyle w:val="TableContents"/>
              <w:bidi w:val="0"/>
              <w:spacing w:before="0" w:after="1"/>
              <w:ind w:left="0" w:right="0" w:hanging="0"/>
              <w:jc w:val="center"/>
              <w:rPr/>
            </w:pPr>
            <w:r>
              <w:rPr/>
              <w:t>​</w:t>
            </w:r>
          </w:p>
        </w:tc>
        <w:tc>
          <w:tcPr>
            <w:tcW w:w="2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  ​ ​ ​</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253,067</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(26,721)</w:t>
            </w:r>
          </w:p>
        </w:tc>
        <w:tc>
          <w:tcPr>
            <w:tcW w:w="286" w:type="dxa"/>
            <w:tcBorders/>
            <w:shd w:fill="CCEEFF" w:val="clear"/>
            <w:vAlign w:val="center"/>
          </w:tcPr>
          <w:p>
            <w:pPr>
              <w:pStyle w:val="TableContents"/>
              <w:bidi w:val="0"/>
              <w:spacing w:before="0" w:after="1"/>
              <w:ind w:left="0" w:right="0" w:hanging="0"/>
              <w:jc w:val="right"/>
              <w:rPr/>
            </w:pPr>
            <w:r>
              <w:rPr/>
              <w:t>​</w:t>
            </w:r>
          </w:p>
        </w:tc>
        <w:tc>
          <w:tcPr>
            <w:tcW w:w="3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3,357</w:t>
            </w:r>
          </w:p>
        </w:tc>
        <w:tc>
          <w:tcPr>
            <w:tcW w:w="28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229,845</w:t>
            </w:r>
          </w:p>
        </w:tc>
        <w:tc>
          <w:tcPr>
            <w:tcW w:w="28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22,242</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252,087</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(1,310)</w:t>
            </w:r>
          </w:p>
        </w:tc>
        <w:tc>
          <w:tcPr>
            <w:tcW w:w="286" w:type="dxa"/>
            <w:tcBorders/>
            <w:vAlign w:val="center"/>
          </w:tcPr>
          <w:p>
            <w:pPr>
              <w:pStyle w:val="TableContents"/>
              <w:bidi w:val="0"/>
              <w:spacing w:before="0" w:after="1"/>
              <w:ind w:left="0" w:right="0" w:hanging="0"/>
              <w:jc w:val="right"/>
              <w:rPr/>
            </w:pPr>
            <w:r>
              <w:rPr/>
              <w:t>​</w:t>
            </w:r>
          </w:p>
        </w:tc>
        <w:tc>
          <w:tcPr>
            <w:tcW w:w="333"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(1,310)</w:t>
            </w:r>
          </w:p>
        </w:tc>
        <w:tc>
          <w:tcPr>
            <w:tcW w:w="2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(1,423)</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Issuances to Directors</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w:t>
            </w:r>
          </w:p>
        </w:tc>
        <w:tc>
          <w:tcPr>
            <w:tcW w:w="28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Dividends ($0.285 per share)</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(4,036)</w:t>
            </w:r>
          </w:p>
        </w:tc>
        <w:tc>
          <w:tcPr>
            <w:tcW w:w="286" w:type="dxa"/>
            <w:tcBorders/>
            <w:vAlign w:val="center"/>
          </w:tcPr>
          <w:p>
            <w:pPr>
              <w:pStyle w:val="TableContents"/>
              <w:bidi w:val="0"/>
              <w:spacing w:before="0" w:after="1"/>
              <w:ind w:left="0" w:right="0" w:hanging="0"/>
              <w:jc w:val="right"/>
              <w:rPr/>
            </w:pPr>
            <w:r>
              <w:rPr/>
              <w:t>​</w:t>
            </w:r>
          </w:p>
        </w:tc>
        <w:tc>
          <w:tcPr>
            <w:tcW w:w="333"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(4,036)</w:t>
            </w:r>
          </w:p>
        </w:tc>
        <w:tc>
          <w:tcPr>
            <w:tcW w:w="2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(4,385)</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Loss</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(1,065)</w:t>
            </w:r>
          </w:p>
        </w:tc>
        <w:tc>
          <w:tcPr>
            <w:tcW w:w="28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(1,065)</w:t>
            </w:r>
          </w:p>
        </w:tc>
        <w:tc>
          <w:tcPr>
            <w:tcW w:w="28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(1,157)</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September 30, 2025</w:t>
            </w:r>
          </w:p>
        </w:tc>
        <w:tc>
          <w:tcPr>
            <w:tcW w:w="109" w:type="dxa"/>
            <w:tcBorders/>
            <w:vAlign w:val="center"/>
          </w:tcPr>
          <w:p>
            <w:pPr>
              <w:pStyle w:val="TableContents"/>
              <w:bidi w:val="0"/>
              <w:spacing w:before="0" w:after="1"/>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w:t>
            </w:r>
          </w:p>
        </w:tc>
        <w:tc>
          <w:tcPr>
            <w:tcW w:w="286" w:type="dxa"/>
            <w:tcBorders/>
            <w:vAlign w:val="center"/>
          </w:tcPr>
          <w:p>
            <w:pPr>
              <w:pStyle w:val="TableContents"/>
              <w:bidi w:val="0"/>
              <w:spacing w:before="0" w:after="1"/>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253,162</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(32,067)</w:t>
            </w:r>
          </w:p>
        </w:tc>
        <w:tc>
          <w:tcPr>
            <w:tcW w:w="286" w:type="dxa"/>
            <w:tcBorders/>
            <w:vAlign w:val="center"/>
          </w:tcPr>
          <w:p>
            <w:pPr>
              <w:pStyle w:val="TableContents"/>
              <w:bidi w:val="0"/>
              <w:spacing w:before="0" w:after="1"/>
              <w:ind w:left="0" w:right="0" w:hanging="0"/>
              <w:jc w:val="right"/>
              <w:rPr/>
            </w:pPr>
            <w:r>
              <w:rPr/>
              <w:t>​</w:t>
            </w:r>
          </w:p>
        </w:tc>
        <w:tc>
          <w:tcPr>
            <w:tcW w:w="3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2,292</w:t>
            </w:r>
          </w:p>
        </w:tc>
        <w:tc>
          <w:tcPr>
            <w:tcW w:w="286"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223,529</w:t>
            </w:r>
          </w:p>
        </w:tc>
        <w:tc>
          <w:tcPr>
            <w:tcW w:w="286"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21,688</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18"/>
              </w:rPr>
            </w:pPr>
            <w:r>
              <w:rPr>
                <w:rFonts w:ascii="Times New Roman;Times;serif" w:hAnsi="Times New Roman;Times;serif"/>
                <w:sz w:val="18"/>
              </w:rPr>
              <w:t>245,217</w:t>
            </w:r>
          </w:p>
        </w:tc>
      </w:tr>
    </w:tbl>
    <w:p>
      <w:pPr>
        <w:pStyle w:val="TextBody"/>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ALPINE INCOME PROPERTY TRUST, INC.</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CONSOLIDATED STATEMENTS OF STOCKHOLDERS’ EQUITY</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 in thousands, except per share data)</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nine months ended September 30, 2026:</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28" w:name="Tc_U2-YihmJfk2gJ8wc_d8xwA_9_23"/>
      <w:bookmarkStart w:id="529" w:name="Tc_jEMN8vR0DUSajT0xPA3sbw_9_20"/>
      <w:bookmarkStart w:id="530" w:name="Tc_Poos_ovoY0KF9PJUcNQMzQ_9_17"/>
      <w:bookmarkStart w:id="531" w:name="Tc_EjJbabEd6EyWPGOvh7hc-w_9_14"/>
      <w:bookmarkStart w:id="532" w:name="Tc_hj01ugWJTk2fsJYed1zfbw_9_11"/>
      <w:bookmarkStart w:id="533" w:name="Tc_DpsgRp1l9USifXXWjTfedQ_9_8"/>
      <w:bookmarkStart w:id="534" w:name="Tc_HCQSiSNnEk6jX1r3_N1GDQ_9_5"/>
      <w:bookmarkStart w:id="535" w:name="Tc_ZMixcjASakCN5OapKODAsA_9_2"/>
      <w:bookmarkStart w:id="536" w:name="Tc_HcUfE3IvyUG1rdugD1lHqA_9_0"/>
      <w:bookmarkStart w:id="537" w:name="Tc_U1MShS35EkiulygUBGi4-Q_8_12"/>
      <w:bookmarkStart w:id="538" w:name="Tc_fr_ZsqsKBUWB4G86By1-AA_8_9"/>
      <w:bookmarkStart w:id="539" w:name="Tc_BPq6AMDH0ketsb351bT5uw_8_6"/>
      <w:bookmarkStart w:id="540" w:name="Tc_GPilSS9WskCoIq8m3vtcQQ_8_3"/>
      <w:bookmarkStart w:id="541" w:name="Tc_5HlAtcdoOECf2-E2gLgndA_8_0"/>
      <w:bookmarkStart w:id="542" w:name="Tc__lC86Gp5PU2HRV7i_qvofg_7_15"/>
      <w:bookmarkStart w:id="543" w:name="Tc_944XHm0xvUyh7DawZzTreQ_7_9"/>
      <w:bookmarkStart w:id="544" w:name="Tc_ZmYh7ijSoE2QmR0omJR9Og_7_6"/>
      <w:bookmarkStart w:id="545" w:name="Tc_0cvlnMQQO0qU_trF2E2BRg_7_3"/>
      <w:bookmarkStart w:id="546" w:name="Tc_ki8vcf-_jkyWNPeWqGDf4g_7_0"/>
      <w:bookmarkStart w:id="547" w:name="Tc_n6G8wOSzcE-9NHOKqcGB1A_6_21"/>
      <w:bookmarkStart w:id="548" w:name="Tc_R19sKJ2GsUK4GONe78_stA_6_15"/>
      <w:bookmarkStart w:id="549" w:name="Tc_lnjwQlCpqE-y72gHDIqsZQ_6_9"/>
      <w:bookmarkStart w:id="550" w:name="Tc_Pg8fohFlyEmZe63QMFWjGA_6_6"/>
      <w:bookmarkStart w:id="551" w:name="Tc_ZJOAqMjoOkyuuOcy6ijMAA_6_3"/>
      <w:bookmarkStart w:id="552" w:name="Tc_ZAiIo9eOd02fH9KFNJPsKA_6_0"/>
      <w:bookmarkStart w:id="553" w:name="Tc_w31pMmRtKE2Y20BTi-tQvw_5_21"/>
      <w:bookmarkStart w:id="554" w:name="Tc_62RL73FYD0qM0xyw3G1QyA_5_15"/>
      <w:bookmarkStart w:id="555" w:name="Tc_f7U7OJTTGUu0FHnWDKkqfQ_5_12"/>
      <w:bookmarkStart w:id="556" w:name="Tc_8DDd4PA12UeM4pQNZLDCIQ_5_0"/>
      <w:bookmarkStart w:id="557" w:name="Tc_tr9iq5q7JEaCJV2snW6Efg_4_21"/>
      <w:bookmarkStart w:id="558" w:name="Tc_b7eVDuvq00CKrBh8Gc40qg_4_15"/>
      <w:bookmarkStart w:id="559" w:name="Tc_Cknvn3IYukmZUMLHq9MbbA_4_12"/>
      <w:bookmarkStart w:id="560" w:name="Tc_9Kgq9EN-jEiLTXQzNWMHaA_4_6"/>
      <w:bookmarkStart w:id="561" w:name="Tc_Lzz3q6D_TUqSE419y2qTRA_4_3"/>
      <w:bookmarkStart w:id="562" w:name="Tc_kOMbJeYM2kuWJBGVMYvS1A_4_0"/>
      <w:bookmarkStart w:id="563" w:name="Tc_35JuOwPc5kqfVhqJAul7Kg_3_15"/>
      <w:bookmarkStart w:id="564" w:name="Tc_i3q4I_HAd0-6rI9SJlrKCQ_3_9"/>
      <w:bookmarkStart w:id="565" w:name="Tc_aQnibbYAmUGfwOsKT_iWjg_3_6"/>
      <w:bookmarkStart w:id="566" w:name="Tc_4qYLT46mxEOU0gtdZRTzAQ_3_3"/>
      <w:bookmarkStart w:id="567" w:name="Tc__17i4D6vxkufZll8vryYSA_3_0"/>
      <w:bookmarkStart w:id="568" w:name="Tc_ouD-PRaYw0CVCQr2YPt-Nw_2_23"/>
      <w:bookmarkStart w:id="569" w:name="Tc_FTh3jNZ4_Ue3OILaaIkwrw_2_20"/>
      <w:bookmarkStart w:id="570" w:name="Tc_TZf2oUToKUmr0mMg_mCzlg_2_17"/>
      <w:bookmarkStart w:id="571" w:name="Tc_ZgPxlnqV00Cm_ttwwIAerw_2_14"/>
      <w:bookmarkStart w:id="572" w:name="Tc_aXOcga0n8Ee1ZIK_y1B5-w_2_11"/>
      <w:bookmarkStart w:id="573" w:name="Tc_iUAYyHxdWEm8Rc_whpChPw_2_8"/>
      <w:bookmarkStart w:id="574" w:name="Tc_0blzUmmcBEK3_LxgayuIEg_2_5"/>
      <w:bookmarkStart w:id="575" w:name="Tc_wLxMLFVV6UuJBstuEsniZQ_2_2"/>
      <w:bookmarkStart w:id="576" w:name="Tc__w6AnkKLF06xDcWoRJt0FA_2_0"/>
      <w:bookmarkStart w:id="577" w:name="Tc_BJ4lDP97CEKBaEPEVNRr9Q_1_23"/>
      <w:bookmarkStart w:id="578" w:name="Tc_-eCmw7ZlHkO1NLH9iWmXzA_1_20"/>
      <w:bookmarkStart w:id="579" w:name="Tc_f8RW5taF4EaH9juXtHjAng_1_17"/>
      <w:bookmarkStart w:id="580" w:name="Tc_GxGwZgkmS0WfDTWx8-aq-w_1_14"/>
      <w:bookmarkStart w:id="581" w:name="Tc_Z3hoIJkPckqskTVAkytgiw_1_11"/>
      <w:bookmarkStart w:id="582" w:name="Tc_Z_EooqZ33EqG7a0Bx0jLvA_1_8"/>
      <w:bookmarkStart w:id="583" w:name="Tc_8UM_LxBZ-kGxQ4vaECOnSA_1_5"/>
      <w:bookmarkStart w:id="584" w:name="Tc_0NvWj_5_M0S-vdOiainniw_1_2"/>
      <w:bookmarkStart w:id="585" w:name="_35177446_7c00_407d_b84f_31e843990b0d"/>
      <w:bookmarkStart w:id="586" w:name="Tc_U2-YihmJfk2gJ8wc_d8xwA_9_23"/>
      <w:bookmarkStart w:id="587" w:name="Tc_jEMN8vR0DUSajT0xPA3sbw_9_20"/>
      <w:bookmarkStart w:id="588" w:name="Tc_Poos_ovoY0KF9PJUcNQMzQ_9_17"/>
      <w:bookmarkStart w:id="589" w:name="Tc_EjJbabEd6EyWPGOvh7hc-w_9_14"/>
      <w:bookmarkStart w:id="590" w:name="Tc_hj01ugWJTk2fsJYed1zfbw_9_11"/>
      <w:bookmarkStart w:id="591" w:name="Tc_DpsgRp1l9USifXXWjTfedQ_9_8"/>
      <w:bookmarkStart w:id="592" w:name="Tc_HCQSiSNnEk6jX1r3_N1GDQ_9_5"/>
      <w:bookmarkStart w:id="593" w:name="Tc_ZMixcjASakCN5OapKODAsA_9_2"/>
      <w:bookmarkStart w:id="594" w:name="Tc_HcUfE3IvyUG1rdugD1lHqA_9_0"/>
      <w:bookmarkStart w:id="595" w:name="Tc_U1MShS35EkiulygUBGi4-Q_8_12"/>
      <w:bookmarkStart w:id="596" w:name="Tc_fr_ZsqsKBUWB4G86By1-AA_8_9"/>
      <w:bookmarkStart w:id="597" w:name="Tc_BPq6AMDH0ketsb351bT5uw_8_6"/>
      <w:bookmarkStart w:id="598" w:name="Tc_GPilSS9WskCoIq8m3vtcQQ_8_3"/>
      <w:bookmarkStart w:id="599" w:name="Tc_5HlAtcdoOECf2-E2gLgndA_8_0"/>
      <w:bookmarkStart w:id="600" w:name="Tc__lC86Gp5PU2HRV7i_qvofg_7_15"/>
      <w:bookmarkStart w:id="601" w:name="Tc_944XHm0xvUyh7DawZzTreQ_7_9"/>
      <w:bookmarkStart w:id="602" w:name="Tc_ZmYh7ijSoE2QmR0omJR9Og_7_6"/>
      <w:bookmarkStart w:id="603" w:name="Tc_0cvlnMQQO0qU_trF2E2BRg_7_3"/>
      <w:bookmarkStart w:id="604" w:name="Tc_ki8vcf-_jkyWNPeWqGDf4g_7_0"/>
      <w:bookmarkStart w:id="605" w:name="Tc_n6G8wOSzcE-9NHOKqcGB1A_6_21"/>
      <w:bookmarkStart w:id="606" w:name="Tc_R19sKJ2GsUK4GONe78_stA_6_15"/>
      <w:bookmarkStart w:id="607" w:name="Tc_lnjwQlCpqE-y72gHDIqsZQ_6_9"/>
      <w:bookmarkStart w:id="608" w:name="Tc_Pg8fohFlyEmZe63QMFWjGA_6_6"/>
      <w:bookmarkStart w:id="609" w:name="Tc_ZJOAqMjoOkyuuOcy6ijMAA_6_3"/>
      <w:bookmarkStart w:id="610" w:name="Tc_ZAiIo9eOd02fH9KFNJPsKA_6_0"/>
      <w:bookmarkStart w:id="611" w:name="Tc_w31pMmRtKE2Y20BTi-tQvw_5_21"/>
      <w:bookmarkStart w:id="612" w:name="Tc_62RL73FYD0qM0xyw3G1QyA_5_15"/>
      <w:bookmarkStart w:id="613" w:name="Tc_f7U7OJTTGUu0FHnWDKkqfQ_5_12"/>
      <w:bookmarkStart w:id="614" w:name="Tc_8DDd4PA12UeM4pQNZLDCIQ_5_0"/>
      <w:bookmarkStart w:id="615" w:name="Tc_tr9iq5q7JEaCJV2snW6Efg_4_21"/>
      <w:bookmarkStart w:id="616" w:name="Tc_b7eVDuvq00CKrBh8Gc40qg_4_15"/>
      <w:bookmarkStart w:id="617" w:name="Tc_Cknvn3IYukmZUMLHq9MbbA_4_12"/>
      <w:bookmarkStart w:id="618" w:name="Tc_9Kgq9EN-jEiLTXQzNWMHaA_4_6"/>
      <w:bookmarkStart w:id="619" w:name="Tc_Lzz3q6D_TUqSE419y2qTRA_4_3"/>
      <w:bookmarkStart w:id="620" w:name="Tc_kOMbJeYM2kuWJBGVMYvS1A_4_0"/>
      <w:bookmarkStart w:id="621" w:name="Tc_35JuOwPc5kqfVhqJAul7Kg_3_15"/>
      <w:bookmarkStart w:id="622" w:name="Tc_i3q4I_HAd0-6rI9SJlrKCQ_3_9"/>
      <w:bookmarkStart w:id="623" w:name="Tc_aQnibbYAmUGfwOsKT_iWjg_3_6"/>
      <w:bookmarkStart w:id="624" w:name="Tc_4qYLT46mxEOU0gtdZRTzAQ_3_3"/>
      <w:bookmarkStart w:id="625" w:name="Tc__17i4D6vxkufZll8vryYSA_3_0"/>
      <w:bookmarkStart w:id="626" w:name="Tc_ouD-PRaYw0CVCQr2YPt-Nw_2_23"/>
      <w:bookmarkStart w:id="627" w:name="Tc_FTh3jNZ4_Ue3OILaaIkwrw_2_20"/>
      <w:bookmarkStart w:id="628" w:name="Tc_TZf2oUToKUmr0mMg_mCzlg_2_17"/>
      <w:bookmarkStart w:id="629" w:name="Tc_ZgPxlnqV00Cm_ttwwIAerw_2_14"/>
      <w:bookmarkStart w:id="630" w:name="Tc_aXOcga0n8Ee1ZIK_y1B5-w_2_11"/>
      <w:bookmarkStart w:id="631" w:name="Tc_iUAYyHxdWEm8Rc_whpChPw_2_8"/>
      <w:bookmarkStart w:id="632" w:name="Tc_0blzUmmcBEK3_LxgayuIEg_2_5"/>
      <w:bookmarkStart w:id="633" w:name="Tc_wLxMLFVV6UuJBstuEsniZQ_2_2"/>
      <w:bookmarkStart w:id="634" w:name="Tc__w6AnkKLF06xDcWoRJt0FA_2_0"/>
      <w:bookmarkStart w:id="635" w:name="Tc_BJ4lDP97CEKBaEPEVNRr9Q_1_23"/>
      <w:bookmarkStart w:id="636" w:name="Tc_-eCmw7ZlHkO1NLH9iWmXzA_1_20"/>
      <w:bookmarkStart w:id="637" w:name="Tc_f8RW5taF4EaH9juXtHjAng_1_17"/>
      <w:bookmarkStart w:id="638" w:name="Tc_GxGwZgkmS0WfDTWx8-aq-w_1_14"/>
      <w:bookmarkStart w:id="639" w:name="Tc_Z3hoIJkPckqskTVAkytgiw_1_11"/>
      <w:bookmarkStart w:id="640" w:name="Tc_Z_EooqZ33EqG7a0Bx0jLvA_1_8"/>
      <w:bookmarkStart w:id="641" w:name="Tc_8UM_LxBZ-kGxQ4vaECOnSA_1_5"/>
      <w:bookmarkStart w:id="642" w:name="Tc_0NvWj_5_M0S-vdOiainniw_1_2"/>
      <w:bookmarkStart w:id="643" w:name="_35177446_7c00_407d_b84f_31e843990b0d"/>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tbl>
      <w:tblPr>
        <w:tblW w:w="11361" w:type="dxa"/>
        <w:jc w:val="left"/>
        <w:tblInd w:w="0" w:type="dxa"/>
        <w:tblLayout w:type="fixed"/>
        <w:tblCellMar>
          <w:top w:w="0" w:type="dxa"/>
          <w:left w:w="0" w:type="dxa"/>
          <w:bottom w:w="0" w:type="dxa"/>
          <w:right w:w="0" w:type="dxa"/>
        </w:tblCellMar>
      </w:tblPr>
      <w:tblGrid>
        <w:gridCol w:w="1231"/>
        <w:gridCol w:w="109"/>
        <w:gridCol w:w="298"/>
        <w:gridCol w:w="528"/>
        <w:gridCol w:w="109"/>
        <w:gridCol w:w="283"/>
        <w:gridCol w:w="543"/>
        <w:gridCol w:w="286"/>
        <w:gridCol w:w="205"/>
        <w:gridCol w:w="726"/>
        <w:gridCol w:w="286"/>
        <w:gridCol w:w="196"/>
        <w:gridCol w:w="690"/>
        <w:gridCol w:w="286"/>
        <w:gridCol w:w="362"/>
        <w:gridCol w:w="944"/>
        <w:gridCol w:w="286"/>
        <w:gridCol w:w="255"/>
        <w:gridCol w:w="901"/>
        <w:gridCol w:w="286"/>
        <w:gridCol w:w="310"/>
        <w:gridCol w:w="951"/>
        <w:gridCol w:w="286"/>
        <w:gridCol w:w="196"/>
        <w:gridCol w:w="808"/>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81685" cy="175260"/>
                      <wp:effectExtent l="0" t="0" r="0" b="0"/>
                      <wp:wrapNone/>
                      <wp:docPr id="80" name="Frame8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89230" cy="175260"/>
                      <wp:effectExtent l="0" t="0" r="0" b="0"/>
                      <wp:wrapNone/>
                      <wp:docPr id="82" name="Frame82"/>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35280" cy="175260"/>
                      <wp:effectExtent l="0" t="0" r="0" b="0"/>
                      <wp:wrapNone/>
                      <wp:docPr id="83" name="Frame83"/>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79705" cy="175260"/>
                      <wp:effectExtent l="0" t="0" r="0" b="0"/>
                      <wp:wrapNone/>
                      <wp:docPr id="85" name="Frame85"/>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44805" cy="175260"/>
                      <wp:effectExtent l="0" t="0" r="0" b="0"/>
                      <wp:wrapNone/>
                      <wp:docPr id="86" name="Frame86"/>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81610" cy="175260"/>
                      <wp:effectExtent l="0" t="0" r="0" b="0"/>
                      <wp:wrapNone/>
                      <wp:docPr id="87" name="Frame8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0175" cy="175260"/>
                      <wp:effectExtent l="0" t="0" r="0" b="0"/>
                      <wp:wrapNone/>
                      <wp:docPr id="88" name="Frame88"/>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61010" cy="175260"/>
                      <wp:effectExtent l="0" t="0" r="0" b="0"/>
                      <wp:wrapNone/>
                      <wp:docPr id="89" name="Frame89"/>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81610" cy="175260"/>
                      <wp:effectExtent l="0" t="0" r="0" b="0"/>
                      <wp:wrapNone/>
                      <wp:docPr id="90" name="Frame9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460" cy="175260"/>
                      <wp:effectExtent l="0" t="0" r="0" b="0"/>
                      <wp:wrapNone/>
                      <wp:docPr id="91" name="Frame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38150" cy="175260"/>
                      <wp:effectExtent l="0" t="0" r="0" b="0"/>
                      <wp:wrapNone/>
                      <wp:docPr id="92" name="Frame92"/>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81610" cy="175260"/>
                      <wp:effectExtent l="0" t="0" r="0" b="0"/>
                      <wp:wrapNone/>
                      <wp:docPr id="93" name="Frame9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29870" cy="175260"/>
                      <wp:effectExtent l="0" t="0" r="0" b="0"/>
                      <wp:wrapNone/>
                      <wp:docPr id="94" name="Frame94"/>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99440" cy="175260"/>
                      <wp:effectExtent l="0" t="0" r="0" b="0"/>
                      <wp:wrapNone/>
                      <wp:docPr id="95" name="Frame95"/>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81610" cy="175260"/>
                      <wp:effectExtent l="0" t="0" r="0" b="0"/>
                      <wp:wrapNone/>
                      <wp:docPr id="96" name="Frame9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61925" cy="175260"/>
                      <wp:effectExtent l="0" t="0" r="0" b="0"/>
                      <wp:wrapNone/>
                      <wp:docPr id="97" name="Frame97"/>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72135" cy="175260"/>
                      <wp:effectExtent l="0" t="0" r="0" b="0"/>
                      <wp:wrapNone/>
                      <wp:docPr id="98" name="Frame9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81610" cy="175260"/>
                      <wp:effectExtent l="0" t="0" r="0" b="0"/>
                      <wp:wrapNone/>
                      <wp:docPr id="99" name="Frame9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96850" cy="175260"/>
                      <wp:effectExtent l="0" t="0" r="0" b="0"/>
                      <wp:wrapNone/>
                      <wp:docPr id="100" name="Frame10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03885" cy="175260"/>
                      <wp:effectExtent l="0" t="0" r="0" b="0"/>
                      <wp:wrapNone/>
                      <wp:docPr id="101" name="Frame101"/>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81610" cy="175260"/>
                      <wp:effectExtent l="0" t="0" r="0" b="0"/>
                      <wp:wrapNone/>
                      <wp:docPr id="102" name="Frame10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4460" cy="175260"/>
                      <wp:effectExtent l="0" t="0" r="0" b="0"/>
                      <wp:wrapNone/>
                      <wp:docPr id="103" name="Frame1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13080" cy="175260"/>
                      <wp:effectExtent l="0" t="0" r="0" b="0"/>
                      <wp:wrapNone/>
                      <wp:docPr id="104" name="Frame104"/>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Preferred Stock at Par</w:t>
            </w:r>
          </w:p>
        </w:tc>
        <w:tc>
          <w:tcPr>
            <w:tcW w:w="109"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 Stock at Par</w:t>
            </w:r>
          </w:p>
        </w:tc>
        <w:tc>
          <w:tcPr>
            <w:tcW w:w="286" w:type="dxa"/>
            <w:tcBorders/>
            <w:vAlign w:val="center"/>
          </w:tcPr>
          <w:p>
            <w:pPr>
              <w:pStyle w:val="TableContents"/>
              <w:bidi w:val="0"/>
              <w:spacing w:before="0" w:after="1"/>
              <w:ind w:left="0" w:right="0" w:hanging="0"/>
              <w:jc w:val="center"/>
              <w:rPr/>
            </w:pPr>
            <w:r>
              <w:rPr/>
              <w:t>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 Paid-in Capital</w:t>
            </w:r>
          </w:p>
        </w:tc>
        <w:tc>
          <w:tcPr>
            <w:tcW w:w="286" w:type="dxa"/>
            <w:tcBorders/>
            <w:vAlign w:val="center"/>
          </w:tcPr>
          <w:p>
            <w:pPr>
              <w:pStyle w:val="TableContents"/>
              <w:bidi w:val="0"/>
              <w:spacing w:before="0" w:after="1"/>
              <w:ind w:left="0" w:right="0" w:hanging="0"/>
              <w:jc w:val="center"/>
              <w:rPr/>
            </w:pPr>
            <w:r>
              <w:rPr/>
              <w:t>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Dividends in Excess of Net Income</w:t>
            </w:r>
          </w:p>
        </w:tc>
        <w:tc>
          <w:tcPr>
            <w:tcW w:w="286" w:type="dxa"/>
            <w:tcBorders/>
            <w:vAlign w:val="center"/>
          </w:tcPr>
          <w:p>
            <w:pPr>
              <w:pStyle w:val="TableContents"/>
              <w:bidi w:val="0"/>
              <w:spacing w:before="0" w:after="1"/>
              <w:ind w:left="0" w:right="0" w:hanging="0"/>
              <w:jc w:val="center"/>
              <w:rPr/>
            </w:pPr>
            <w:r>
              <w:rPr/>
              <w:t>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w:t>
            </w:r>
          </w:p>
        </w:tc>
        <w:tc>
          <w:tcPr>
            <w:tcW w:w="286" w:type="dxa"/>
            <w:tcBorders/>
            <w:vAlign w:val="center"/>
          </w:tcPr>
          <w:p>
            <w:pPr>
              <w:pStyle w:val="TableContents"/>
              <w:bidi w:val="0"/>
              <w:spacing w:before="0" w:after="1"/>
              <w:ind w:left="0" w:right="0" w:hanging="0"/>
              <w:jc w:val="center"/>
              <w:rPr/>
            </w:pPr>
            <w:r>
              <w:rPr/>
              <w:t>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c>
          <w:tcPr>
            <w:tcW w:w="286" w:type="dxa"/>
            <w:tcBorders/>
            <w:vAlign w:val="center"/>
          </w:tcPr>
          <w:p>
            <w:pPr>
              <w:pStyle w:val="TableContents"/>
              <w:bidi w:val="0"/>
              <w:spacing w:before="0" w:after="1"/>
              <w:ind w:left="0" w:right="0" w:hanging="0"/>
              <w:jc w:val="center"/>
              <w:rPr/>
            </w:pPr>
            <w:r>
              <w:rPr/>
              <w:t>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Noncontrolling Interest</w:t>
            </w:r>
          </w:p>
        </w:tc>
        <w:tc>
          <w:tcPr>
            <w:tcW w:w="286" w:type="dxa"/>
            <w:tcBorders/>
            <w:vAlign w:val="center"/>
          </w:tcPr>
          <w:p>
            <w:pPr>
              <w:pStyle w:val="TableContents"/>
              <w:bidi w:val="0"/>
              <w:spacing w:before="0" w:after="1"/>
              <w:ind w:left="0" w:right="0" w:hanging="0"/>
              <w:jc w:val="center"/>
              <w:rPr/>
            </w:pPr>
            <w:r>
              <w:rPr/>
              <w:t>  ​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Equity</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January 1, 2026</w:t>
            </w:r>
          </w:p>
        </w:tc>
        <w:tc>
          <w:tcPr>
            <w:tcW w:w="109" w:type="dxa"/>
            <w:tcBorders/>
            <w:shd w:fill="CCEEFF" w:val="clear"/>
            <w:vAlign w:val="center"/>
          </w:tcPr>
          <w:p>
            <w:pPr>
              <w:pStyle w:val="TableContents"/>
              <w:bidi w:val="0"/>
              <w:spacing w:before="0" w:after="1"/>
              <w:ind w:left="0" w:right="0" w:hanging="0"/>
              <w:jc w:val="center"/>
              <w:rPr/>
            </w:pPr>
            <w:r>
              <w:rPr/>
              <w:t>​</w:t>
            </w:r>
          </w:p>
        </w:tc>
        <w:tc>
          <w:tcPr>
            <w:tcW w:w="2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313,690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(35,276)</w:t>
            </w:r>
          </w:p>
        </w:tc>
        <w:tc>
          <w:tcPr>
            <w:tcW w:w="286" w:type="dxa"/>
            <w:tcBorders/>
            <w:shd w:fill="CCEEFF" w:val="clear"/>
            <w:vAlign w:val="center"/>
          </w:tcPr>
          <w:p>
            <w:pPr>
              <w:pStyle w:val="TableContents"/>
              <w:bidi w:val="0"/>
              <w:spacing w:before="0" w:after="1"/>
              <w:ind w:left="0" w:right="0" w:hanging="0"/>
              <w:jc w:val="right"/>
              <w:rPr/>
            </w:pPr>
            <w:r>
              <w:rPr/>
              <w:t>​</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1,293</w:t>
            </w:r>
          </w:p>
        </w:tc>
        <w:tc>
          <w:tcPr>
            <w:tcW w:w="28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279,876</w:t>
            </w:r>
          </w:p>
        </w:tc>
        <w:tc>
          <w:tcPr>
            <w:tcW w:w="28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21,380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301,256</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11,064</w:t>
            </w:r>
          </w:p>
        </w:tc>
        <w:tc>
          <w:tcPr>
            <w:tcW w:w="286" w:type="dxa"/>
            <w:tcBorders/>
            <w:vAlign w:val="center"/>
          </w:tcPr>
          <w:p>
            <w:pPr>
              <w:pStyle w:val="TableContents"/>
              <w:bidi w:val="0"/>
              <w:spacing w:before="0" w:after="1"/>
              <w:ind w:left="0" w:right="0" w:hanging="0"/>
              <w:jc w:val="right"/>
              <w:rPr/>
            </w:pPr>
            <w:r>
              <w:rPr/>
              <w:t>​</w:t>
            </w:r>
          </w:p>
        </w:tc>
        <w:tc>
          <w:tcPr>
            <w:tcW w:w="362"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11,064</w:t>
            </w:r>
          </w:p>
        </w:tc>
        <w:tc>
          <w:tcPr>
            <w:tcW w:w="2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797</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11,861</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Issuances to Directors</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944"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w:t>
            </w:r>
          </w:p>
        </w:tc>
        <w:tc>
          <w:tcPr>
            <w:tcW w:w="28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28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69,433</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362"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69,468</w:t>
            </w:r>
          </w:p>
        </w:tc>
        <w:tc>
          <w:tcPr>
            <w:tcW w:w="2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69,468</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Dividends ($1.500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(3,554)</w:t>
            </w:r>
          </w:p>
        </w:tc>
        <w:tc>
          <w:tcPr>
            <w:tcW w:w="286" w:type="dxa"/>
            <w:tcBorders/>
            <w:shd w:fill="CCEEFF" w:val="clear"/>
            <w:vAlign w:val="center"/>
          </w:tcPr>
          <w:p>
            <w:pPr>
              <w:pStyle w:val="TableContents"/>
              <w:bidi w:val="0"/>
              <w:spacing w:before="0" w:after="1"/>
              <w:ind w:left="0" w:right="0" w:hanging="0"/>
              <w:jc w:val="righ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944"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(3,554)</w:t>
            </w:r>
          </w:p>
        </w:tc>
        <w:tc>
          <w:tcPr>
            <w:tcW w:w="28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(3,554)</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Dividends ($0.920 per share)</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(15,923)</w:t>
            </w:r>
          </w:p>
        </w:tc>
        <w:tc>
          <w:tcPr>
            <w:tcW w:w="28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(15,923)</w:t>
            </w:r>
          </w:p>
        </w:tc>
        <w:tc>
          <w:tcPr>
            <w:tcW w:w="2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(1,126)</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(17,049)</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6,159</w:t>
            </w:r>
          </w:p>
        </w:tc>
        <w:tc>
          <w:tcPr>
            <w:tcW w:w="28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6,159</w:t>
            </w:r>
          </w:p>
        </w:tc>
        <w:tc>
          <w:tcPr>
            <w:tcW w:w="28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432</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6,591</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September 30, 2026</w:t>
            </w:r>
          </w:p>
        </w:tc>
        <w:tc>
          <w:tcPr>
            <w:tcW w:w="109" w:type="dxa"/>
            <w:tcBorders/>
            <w:vAlign w:val="center"/>
          </w:tcPr>
          <w:p>
            <w:pPr>
              <w:pStyle w:val="TableContents"/>
              <w:bidi w:val="0"/>
              <w:spacing w:before="0" w:after="1"/>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w:t>
            </w:r>
          </w:p>
        </w:tc>
        <w:tc>
          <w:tcPr>
            <w:tcW w:w="286" w:type="dxa"/>
            <w:tcBorders/>
            <w:vAlign w:val="center"/>
          </w:tcPr>
          <w:p>
            <w:pPr>
              <w:pStyle w:val="TableContents"/>
              <w:bidi w:val="0"/>
              <w:spacing w:before="0" w:after="1"/>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383,408</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(43,689)</w:t>
            </w:r>
          </w:p>
        </w:tc>
        <w:tc>
          <w:tcPr>
            <w:tcW w:w="286" w:type="dxa"/>
            <w:tcBorders/>
            <w:vAlign w:val="center"/>
          </w:tcPr>
          <w:p>
            <w:pPr>
              <w:pStyle w:val="TableContents"/>
              <w:bidi w:val="0"/>
              <w:spacing w:before="0" w:after="1"/>
              <w:ind w:left="0" w:right="0" w:hanging="0"/>
              <w:jc w:val="right"/>
              <w:rPr/>
            </w:pPr>
            <w:r>
              <w:rPr/>
              <w:t>​</w:t>
            </w:r>
          </w:p>
        </w:tc>
        <w:tc>
          <w:tcPr>
            <w:tcW w:w="3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7,452</w:t>
            </w:r>
          </w:p>
        </w:tc>
        <w:tc>
          <w:tcPr>
            <w:tcW w:w="286"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347,375</w:t>
            </w:r>
          </w:p>
        </w:tc>
        <w:tc>
          <w:tcPr>
            <w:tcW w:w="286"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21,483</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18"/>
              </w:rPr>
            </w:pPr>
            <w:r>
              <w:rPr>
                <w:rFonts w:ascii="Times New Roman;Times;serif" w:hAnsi="Times New Roman;Times;serif"/>
                <w:sz w:val="18"/>
              </w:rPr>
              <w:t>368,858</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nine months ended September 30, 2025:</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44" w:name="Tc_czczdvwW_0Cn0x-eSvaiGA_9_23"/>
      <w:bookmarkStart w:id="645" w:name="Tc_Q0Amlb66i0mv24pZ6xkxPQ_9_20"/>
      <w:bookmarkStart w:id="646" w:name="Tc_R0tZEskku0KdTMij_3Ml3Q_9_17"/>
      <w:bookmarkStart w:id="647" w:name="Tc_9Lj8AVHl7k-lb56Cr7CAEw_9_14"/>
      <w:bookmarkStart w:id="648" w:name="Tc_GabAwf42RkSIJ4mFa1mfgQ_9_11"/>
      <w:bookmarkStart w:id="649" w:name="Tc_hrNd2dzQdEmOKEE5PhSjwQ_9_8"/>
      <w:bookmarkStart w:id="650" w:name="Tc_ROdTqF9vEE2VJ86DGevjYA_9_5"/>
      <w:bookmarkStart w:id="651" w:name="Tc_fuHDjR8CI0SpoqaRrGyuLA_9_3"/>
      <w:bookmarkStart w:id="652" w:name="Tc_0mfol-VqOkq5WZLeBzCOJg_9_2"/>
      <w:bookmarkStart w:id="653" w:name="Tc_-3DkK6NzPkmWMIvB0W-Njw_9_0"/>
      <w:bookmarkStart w:id="654" w:name="Tc_hVxkY8VwkEu5oi_G98ujNg_8_12"/>
      <w:bookmarkStart w:id="655" w:name="Tc_-ufIgMIZ-kaabxB_TMUQkg_8_9"/>
      <w:bookmarkStart w:id="656" w:name="Tc_BPJTnJrUSU2m4I7CSLa-Jg_8_6"/>
      <w:bookmarkStart w:id="657" w:name="Tc_olnJ8T6Qy0Cnvkm1uw3pbg_8_3"/>
      <w:bookmarkStart w:id="658" w:name="Tc_BZK2n1QSCEi8g8wZyBuc6w_8_0"/>
      <w:bookmarkStart w:id="659" w:name="Tc_GMkxod9DYU-EddO0fj5T5g_7_15"/>
      <w:bookmarkStart w:id="660" w:name="Tc_8q1wuqBtSE-CAouUB3zQWQ_7_9"/>
      <w:bookmarkStart w:id="661" w:name="Tc_btMlwVCMCUKSMc4QKRQtRw_7_6"/>
      <w:bookmarkStart w:id="662" w:name="Tc_kOwDJclXmkiIMU6tVjcM-Q_7_3"/>
      <w:bookmarkStart w:id="663" w:name="Tc_Tmc-PC1Yu0W9nZbybYMtOQ_7_0"/>
      <w:bookmarkStart w:id="664" w:name="Tc_S__K4pgt1kiuPWiHWRbq_Q_6_21"/>
      <w:bookmarkStart w:id="665" w:name="Tc_lX6FPsbP5UiiNnAXaxAbow_6_15"/>
      <w:bookmarkStart w:id="666" w:name="Tc_e1RbIsmbyEGy_n5hP2Wilw_6_12"/>
      <w:bookmarkStart w:id="667" w:name="Tc_GAAwn_JGgEOxhcJncvVLgg_6_6"/>
      <w:bookmarkStart w:id="668" w:name="Tc_1X-yv2AKQkOurzg0u8jFfw_6_3"/>
      <w:bookmarkStart w:id="669" w:name="Tc_8bbNpgawyEWizE8wvWSYzQ_6_0"/>
      <w:bookmarkStart w:id="670" w:name="Tc__gYzKw7GIk-s8noCeXCVhg_5_21"/>
      <w:bookmarkStart w:id="671" w:name="Tc_klYCFAaiWUKUZUDZpQAfww_5_15"/>
      <w:bookmarkStart w:id="672" w:name="Tc_k3-wi05dBE-lF3UiL90J2g_5_12"/>
      <w:bookmarkStart w:id="673" w:name="Tc_zxpxCIaes0C8Zhx7v1DHOg_5_6"/>
      <w:bookmarkStart w:id="674" w:name="Tc_RiioUboSh0WHFjOa3CbF0g_5_3"/>
      <w:bookmarkStart w:id="675" w:name="Tc_vHkmEIFbNUaYEKmxzFTtew_5_0"/>
      <w:bookmarkStart w:id="676" w:name="Tc_OJCDgJo_K0W5n36G2B-aSg_4_21"/>
      <w:bookmarkStart w:id="677" w:name="Tc_uL0ICIrFO0eHcBL2EUcHLA_4_15"/>
      <w:bookmarkStart w:id="678" w:name="Tc_pBhIart_FUCivJGDbC0zCg_4_12"/>
      <w:bookmarkStart w:id="679" w:name="Tc_MBQZFJ8heEaRsP5wgNJ5zA_4_3"/>
      <w:bookmarkStart w:id="680" w:name="Tc_v0KGS7_5ckul5wU1wk6YDw_4_0"/>
      <w:bookmarkStart w:id="681" w:name="Tc_2KgBf328ck61vyNpDZu3ow_3_15"/>
      <w:bookmarkStart w:id="682" w:name="Tc_eu5vZrrEK0a7ojLYRP11Kg_3_9"/>
      <w:bookmarkStart w:id="683" w:name="Tc_oFEJi2BRG0uKZd41pcmADg_3_6"/>
      <w:bookmarkStart w:id="684" w:name="Tc_Mvt5rLT2kUOCAEWanjQ5VQ_3_3"/>
      <w:bookmarkStart w:id="685" w:name="Tc_zZg1DysVVU6OhYpC7QipPg_3_0"/>
      <w:bookmarkStart w:id="686" w:name="Tc_NxBCSADfBEW1XofrgROJrA_2_23"/>
      <w:bookmarkStart w:id="687" w:name="Tc_8Ytwi4Ylpkq2gNqDoezp1Q_2_20"/>
      <w:bookmarkStart w:id="688" w:name="Tc_QzJCXlEN-UGaabT_1JJpig_2_17"/>
      <w:bookmarkStart w:id="689" w:name="Tc_CSW7B7cubEmIuok20JVfkA_2_14"/>
      <w:bookmarkStart w:id="690" w:name="Tc_Ih2pn0MWt0-HMfX5W8egIQ_2_11"/>
      <w:bookmarkStart w:id="691" w:name="Tc_0tusrrnWEkykA5uRbxtrYw_2_8"/>
      <w:bookmarkStart w:id="692" w:name="Tc_dXTRhppxaESMWTUyPJkafA_2_5"/>
      <w:bookmarkStart w:id="693" w:name="Tc_kY_wQKzVvkSDFV193XJgAw_2_3"/>
      <w:bookmarkStart w:id="694" w:name="Tc_IGJrJoQyNU6ZYKT-qBHd2g_2_2"/>
      <w:bookmarkStart w:id="695" w:name="Tc_3BjA7Ml0sk6e0N2PIzxVSQ_2_0"/>
      <w:bookmarkStart w:id="696" w:name="Tc_c639b7RzhU6J_oWIa8TxyQ_1_23"/>
      <w:bookmarkStart w:id="697" w:name="Tc_v-3gtYdgc0u6T-PBcttaWA_1_20"/>
      <w:bookmarkStart w:id="698" w:name="Tc_PywnvD9-FUSzf1lQXK3FNw_1_17"/>
      <w:bookmarkStart w:id="699" w:name="Tc_ArQlcbzEa02bSPVkmgjcqQ_1_14"/>
      <w:bookmarkStart w:id="700" w:name="Tc_ZlQNm_XzCEKdPyuB-2J3Bw_1_11"/>
      <w:bookmarkStart w:id="701" w:name="Tc_5Dok49PKK0u4fO5DjfrPoA_1_8"/>
      <w:bookmarkStart w:id="702" w:name="Tc_iZ842B7B-k-xBmKMeHmXFg_1_5"/>
      <w:bookmarkStart w:id="703" w:name="Tc_YlHD6OrwZEWV5yxTW-9T1Q_1_2"/>
      <w:bookmarkStart w:id="704" w:name="_37d42cdd_3770_4cb9_9cee_826859722209"/>
      <w:bookmarkStart w:id="705" w:name="Tc_czczdvwW_0Cn0x-eSvaiGA_9_23"/>
      <w:bookmarkStart w:id="706" w:name="Tc_Q0Amlb66i0mv24pZ6xkxPQ_9_20"/>
      <w:bookmarkStart w:id="707" w:name="Tc_R0tZEskku0KdTMij_3Ml3Q_9_17"/>
      <w:bookmarkStart w:id="708" w:name="Tc_9Lj8AVHl7k-lb56Cr7CAEw_9_14"/>
      <w:bookmarkStart w:id="709" w:name="Tc_GabAwf42RkSIJ4mFa1mfgQ_9_11"/>
      <w:bookmarkStart w:id="710" w:name="Tc_hrNd2dzQdEmOKEE5PhSjwQ_9_8"/>
      <w:bookmarkStart w:id="711" w:name="Tc_ROdTqF9vEE2VJ86DGevjYA_9_5"/>
      <w:bookmarkStart w:id="712" w:name="Tc_fuHDjR8CI0SpoqaRrGyuLA_9_3"/>
      <w:bookmarkStart w:id="713" w:name="Tc_0mfol-VqOkq5WZLeBzCOJg_9_2"/>
      <w:bookmarkStart w:id="714" w:name="Tc_-3DkK6NzPkmWMIvB0W-Njw_9_0"/>
      <w:bookmarkStart w:id="715" w:name="Tc_hVxkY8VwkEu5oi_G98ujNg_8_12"/>
      <w:bookmarkStart w:id="716" w:name="Tc_-ufIgMIZ-kaabxB_TMUQkg_8_9"/>
      <w:bookmarkStart w:id="717" w:name="Tc_BPJTnJrUSU2m4I7CSLa-Jg_8_6"/>
      <w:bookmarkStart w:id="718" w:name="Tc_olnJ8T6Qy0Cnvkm1uw3pbg_8_3"/>
      <w:bookmarkStart w:id="719" w:name="Tc_BZK2n1QSCEi8g8wZyBuc6w_8_0"/>
      <w:bookmarkStart w:id="720" w:name="Tc_GMkxod9DYU-EddO0fj5T5g_7_15"/>
      <w:bookmarkStart w:id="721" w:name="Tc_8q1wuqBtSE-CAouUB3zQWQ_7_9"/>
      <w:bookmarkStart w:id="722" w:name="Tc_btMlwVCMCUKSMc4QKRQtRw_7_6"/>
      <w:bookmarkStart w:id="723" w:name="Tc_kOwDJclXmkiIMU6tVjcM-Q_7_3"/>
      <w:bookmarkStart w:id="724" w:name="Tc_Tmc-PC1Yu0W9nZbybYMtOQ_7_0"/>
      <w:bookmarkStart w:id="725" w:name="Tc_S__K4pgt1kiuPWiHWRbq_Q_6_21"/>
      <w:bookmarkStart w:id="726" w:name="Tc_lX6FPsbP5UiiNnAXaxAbow_6_15"/>
      <w:bookmarkStart w:id="727" w:name="Tc_e1RbIsmbyEGy_n5hP2Wilw_6_12"/>
      <w:bookmarkStart w:id="728" w:name="Tc_GAAwn_JGgEOxhcJncvVLgg_6_6"/>
      <w:bookmarkStart w:id="729" w:name="Tc_1X-yv2AKQkOurzg0u8jFfw_6_3"/>
      <w:bookmarkStart w:id="730" w:name="Tc_8bbNpgawyEWizE8wvWSYzQ_6_0"/>
      <w:bookmarkStart w:id="731" w:name="Tc__gYzKw7GIk-s8noCeXCVhg_5_21"/>
      <w:bookmarkStart w:id="732" w:name="Tc_klYCFAaiWUKUZUDZpQAfww_5_15"/>
      <w:bookmarkStart w:id="733" w:name="Tc_k3-wi05dBE-lF3UiL90J2g_5_12"/>
      <w:bookmarkStart w:id="734" w:name="Tc_zxpxCIaes0C8Zhx7v1DHOg_5_6"/>
      <w:bookmarkStart w:id="735" w:name="Tc_RiioUboSh0WHFjOa3CbF0g_5_3"/>
      <w:bookmarkStart w:id="736" w:name="Tc_vHkmEIFbNUaYEKmxzFTtew_5_0"/>
      <w:bookmarkStart w:id="737" w:name="Tc_OJCDgJo_K0W5n36G2B-aSg_4_21"/>
      <w:bookmarkStart w:id="738" w:name="Tc_uL0ICIrFO0eHcBL2EUcHLA_4_15"/>
      <w:bookmarkStart w:id="739" w:name="Tc_pBhIart_FUCivJGDbC0zCg_4_12"/>
      <w:bookmarkStart w:id="740" w:name="Tc_MBQZFJ8heEaRsP5wgNJ5zA_4_3"/>
      <w:bookmarkStart w:id="741" w:name="Tc_v0KGS7_5ckul5wU1wk6YDw_4_0"/>
      <w:bookmarkStart w:id="742" w:name="Tc_2KgBf328ck61vyNpDZu3ow_3_15"/>
      <w:bookmarkStart w:id="743" w:name="Tc_eu5vZrrEK0a7ojLYRP11Kg_3_9"/>
      <w:bookmarkStart w:id="744" w:name="Tc_oFEJi2BRG0uKZd41pcmADg_3_6"/>
      <w:bookmarkStart w:id="745" w:name="Tc_Mvt5rLT2kUOCAEWanjQ5VQ_3_3"/>
      <w:bookmarkStart w:id="746" w:name="Tc_zZg1DysVVU6OhYpC7QipPg_3_0"/>
      <w:bookmarkStart w:id="747" w:name="Tc_NxBCSADfBEW1XofrgROJrA_2_23"/>
      <w:bookmarkStart w:id="748" w:name="Tc_8Ytwi4Ylpkq2gNqDoezp1Q_2_20"/>
      <w:bookmarkStart w:id="749" w:name="Tc_QzJCXlEN-UGaabT_1JJpig_2_17"/>
      <w:bookmarkStart w:id="750" w:name="Tc_CSW7B7cubEmIuok20JVfkA_2_14"/>
      <w:bookmarkStart w:id="751" w:name="Tc_Ih2pn0MWt0-HMfX5W8egIQ_2_11"/>
      <w:bookmarkStart w:id="752" w:name="Tc_0tusrrnWEkykA5uRbxtrYw_2_8"/>
      <w:bookmarkStart w:id="753" w:name="Tc_dXTRhppxaESMWTUyPJkafA_2_5"/>
      <w:bookmarkStart w:id="754" w:name="Tc_kY_wQKzVvkSDFV193XJgAw_2_3"/>
      <w:bookmarkStart w:id="755" w:name="Tc_IGJrJoQyNU6ZYKT-qBHd2g_2_2"/>
      <w:bookmarkStart w:id="756" w:name="Tc_3BjA7Ml0sk6e0N2PIzxVSQ_2_0"/>
      <w:bookmarkStart w:id="757" w:name="Tc_c639b7RzhU6J_oWIa8TxyQ_1_23"/>
      <w:bookmarkStart w:id="758" w:name="Tc_v-3gtYdgc0u6T-PBcttaWA_1_20"/>
      <w:bookmarkStart w:id="759" w:name="Tc_PywnvD9-FUSzf1lQXK3FNw_1_17"/>
      <w:bookmarkStart w:id="760" w:name="Tc_ArQlcbzEa02bSPVkmgjcqQ_1_14"/>
      <w:bookmarkStart w:id="761" w:name="Tc_ZlQNm_XzCEKdPyuB-2J3Bw_1_11"/>
      <w:bookmarkStart w:id="762" w:name="Tc_5Dok49PKK0u4fO5DjfrPoA_1_8"/>
      <w:bookmarkStart w:id="763" w:name="Tc_iZ842B7B-k-xBmKMeHmXFg_1_5"/>
      <w:bookmarkStart w:id="764" w:name="Tc_YlHD6OrwZEWV5yxTW-9T1Q_1_2"/>
      <w:bookmarkStart w:id="765" w:name="_37d42cdd_3770_4cb9_9cee_826859722209"/>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tbl>
      <w:tblPr>
        <w:tblW w:w="11598" w:type="dxa"/>
        <w:jc w:val="left"/>
        <w:tblInd w:w="0" w:type="dxa"/>
        <w:tblLayout w:type="fixed"/>
        <w:tblCellMar>
          <w:top w:w="0" w:type="dxa"/>
          <w:left w:w="0" w:type="dxa"/>
          <w:bottom w:w="0" w:type="dxa"/>
          <w:right w:w="0" w:type="dxa"/>
        </w:tblCellMar>
      </w:tblPr>
      <w:tblGrid>
        <w:gridCol w:w="1231"/>
        <w:gridCol w:w="109"/>
        <w:gridCol w:w="298"/>
        <w:gridCol w:w="528"/>
        <w:gridCol w:w="346"/>
        <w:gridCol w:w="283"/>
        <w:gridCol w:w="543"/>
        <w:gridCol w:w="286"/>
        <w:gridCol w:w="205"/>
        <w:gridCol w:w="726"/>
        <w:gridCol w:w="286"/>
        <w:gridCol w:w="196"/>
        <w:gridCol w:w="690"/>
        <w:gridCol w:w="286"/>
        <w:gridCol w:w="333"/>
        <w:gridCol w:w="973"/>
        <w:gridCol w:w="286"/>
        <w:gridCol w:w="255"/>
        <w:gridCol w:w="901"/>
        <w:gridCol w:w="286"/>
        <w:gridCol w:w="310"/>
        <w:gridCol w:w="951"/>
        <w:gridCol w:w="286"/>
        <w:gridCol w:w="196"/>
        <w:gridCol w:w="808"/>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781685" cy="175260"/>
                      <wp:effectExtent l="0" t="0" r="0" b="0"/>
                      <wp:wrapNone/>
                      <wp:docPr id="105" name="Frame10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89230" cy="175260"/>
                      <wp:effectExtent l="0" t="0" r="0" b="0"/>
                      <wp:wrapNone/>
                      <wp:docPr id="107" name="Frame107"/>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35280" cy="175260"/>
                      <wp:effectExtent l="0" t="0" r="0" b="0"/>
                      <wp:wrapNone/>
                      <wp:docPr id="108" name="Frame108"/>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79705" cy="175260"/>
                      <wp:effectExtent l="0" t="0" r="0" b="0"/>
                      <wp:wrapNone/>
                      <wp:docPr id="110" name="Frame110"/>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44805" cy="175260"/>
                      <wp:effectExtent l="0" t="0" r="0" b="0"/>
                      <wp:wrapNone/>
                      <wp:docPr id="111" name="Frame111"/>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81610" cy="175260"/>
                      <wp:effectExtent l="0" t="0" r="0" b="0"/>
                      <wp:wrapNone/>
                      <wp:docPr id="112" name="Frame11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0175" cy="175260"/>
                      <wp:effectExtent l="0" t="0" r="0" b="0"/>
                      <wp:wrapNone/>
                      <wp:docPr id="113" name="Frame113"/>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61010" cy="175260"/>
                      <wp:effectExtent l="0" t="0" r="0" b="0"/>
                      <wp:wrapNone/>
                      <wp:docPr id="114" name="Frame114"/>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81610" cy="175260"/>
                      <wp:effectExtent l="0" t="0" r="0" b="0"/>
                      <wp:wrapNone/>
                      <wp:docPr id="115" name="Frame11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24460" cy="175260"/>
                      <wp:effectExtent l="0" t="0" r="0" b="0"/>
                      <wp:wrapNone/>
                      <wp:docPr id="116" name="Frame1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38150" cy="175260"/>
                      <wp:effectExtent l="0" t="0" r="0" b="0"/>
                      <wp:wrapNone/>
                      <wp:docPr id="117" name="Frame11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81610" cy="175260"/>
                      <wp:effectExtent l="0" t="0" r="0" b="0"/>
                      <wp:wrapNone/>
                      <wp:docPr id="118" name="Frame11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1455" cy="175260"/>
                      <wp:effectExtent l="0" t="0" r="0" b="0"/>
                      <wp:wrapNone/>
                      <wp:docPr id="119" name="Frame119"/>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17855" cy="175260"/>
                      <wp:effectExtent l="0" t="0" r="0" b="0"/>
                      <wp:wrapNone/>
                      <wp:docPr id="120" name="Frame120"/>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81610" cy="175260"/>
                      <wp:effectExtent l="0" t="0" r="0" b="0"/>
                      <wp:wrapNone/>
                      <wp:docPr id="121" name="Frame12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61925" cy="175260"/>
                      <wp:effectExtent l="0" t="0" r="0" b="0"/>
                      <wp:wrapNone/>
                      <wp:docPr id="122" name="Frame12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72135" cy="175260"/>
                      <wp:effectExtent l="0" t="0" r="0" b="0"/>
                      <wp:wrapNone/>
                      <wp:docPr id="123" name="Frame12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81610" cy="175260"/>
                      <wp:effectExtent l="0" t="0" r="0" b="0"/>
                      <wp:wrapNone/>
                      <wp:docPr id="124" name="Frame12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96850" cy="175260"/>
                      <wp:effectExtent l="0" t="0" r="0" b="0"/>
                      <wp:wrapNone/>
                      <wp:docPr id="125" name="Frame12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03885" cy="175260"/>
                      <wp:effectExtent l="0" t="0" r="0" b="0"/>
                      <wp:wrapNone/>
                      <wp:docPr id="126" name="Frame126"/>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81610" cy="175260"/>
                      <wp:effectExtent l="0" t="0" r="0" b="0"/>
                      <wp:wrapNone/>
                      <wp:docPr id="127" name="Frame12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4460" cy="175260"/>
                      <wp:effectExtent l="0" t="0" r="0" b="0"/>
                      <wp:wrapNone/>
                      <wp:docPr id="128" name="Frame1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13080" cy="175260"/>
                      <wp:effectExtent l="0" t="0" r="0" b="0"/>
                      <wp:wrapNone/>
                      <wp:docPr id="129" name="Frame129"/>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Preferred Stock at Par</w:t>
            </w:r>
          </w:p>
        </w:tc>
        <w:tc>
          <w:tcPr>
            <w:tcW w:w="346" w:type="dxa"/>
            <w:tcBorders/>
            <w:vAlign w:val="center"/>
          </w:tcPr>
          <w:p>
            <w:pPr>
              <w:pStyle w:val="TableContents"/>
              <w:bidi w:val="0"/>
              <w:spacing w:before="0" w:after="0"/>
              <w:ind w:left="0" w:right="0" w:hanging="0"/>
              <w:jc w:val="center"/>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 at Par</w:t>
            </w:r>
          </w:p>
        </w:tc>
        <w:tc>
          <w:tcPr>
            <w:tcW w:w="286" w:type="dxa"/>
            <w:tcBorders/>
            <w:vAlign w:val="center"/>
          </w:tcPr>
          <w:p>
            <w:pPr>
              <w:pStyle w:val="TableContents"/>
              <w:bidi w:val="0"/>
              <w:spacing w:before="0" w:after="0"/>
              <w:ind w:left="0" w:right="0" w:hanging="0"/>
              <w:jc w:val="center"/>
              <w:rPr/>
            </w:pPr>
            <w:r>
              <w:rPr/>
              <w:t>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Additional Paid-in Capital</w:t>
            </w:r>
          </w:p>
        </w:tc>
        <w:tc>
          <w:tcPr>
            <w:tcW w:w="286" w:type="dxa"/>
            <w:tcBorders/>
            <w:vAlign w:val="center"/>
          </w:tcPr>
          <w:p>
            <w:pPr>
              <w:pStyle w:val="TableContents"/>
              <w:bidi w:val="0"/>
              <w:spacing w:before="0" w:after="0"/>
              <w:ind w:left="0" w:right="0" w:hanging="0"/>
              <w:jc w:val="center"/>
              <w:rPr/>
            </w:pPr>
            <w:r>
              <w:rPr/>
              <w:t>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Dividends in Excess of Net Income</w:t>
            </w:r>
          </w:p>
        </w:tc>
        <w:tc>
          <w:tcPr>
            <w:tcW w:w="286" w:type="dxa"/>
            <w:tcBorders/>
            <w:vAlign w:val="center"/>
          </w:tcPr>
          <w:p>
            <w:pPr>
              <w:pStyle w:val="TableContents"/>
              <w:bidi w:val="0"/>
              <w:spacing w:before="0" w:after="0"/>
              <w:ind w:left="0" w:right="0" w:hanging="0"/>
              <w:jc w:val="center"/>
              <w:rPr/>
            </w:pPr>
            <w:r>
              <w:rPr/>
              <w:t>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w:t>
            </w:r>
          </w:p>
        </w:tc>
        <w:tc>
          <w:tcPr>
            <w:tcW w:w="286" w:type="dxa"/>
            <w:tcBorders/>
            <w:vAlign w:val="center"/>
          </w:tcPr>
          <w:p>
            <w:pPr>
              <w:pStyle w:val="TableContents"/>
              <w:bidi w:val="0"/>
              <w:spacing w:before="0" w:after="0"/>
              <w:ind w:left="0" w:right="0" w:hanging="0"/>
              <w:jc w:val="center"/>
              <w:rPr/>
            </w:pPr>
            <w:r>
              <w:rPr/>
              <w:t>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c>
          <w:tcPr>
            <w:tcW w:w="286" w:type="dxa"/>
            <w:tcBorders/>
            <w:vAlign w:val="center"/>
          </w:tcPr>
          <w:p>
            <w:pPr>
              <w:pStyle w:val="TableContents"/>
              <w:bidi w:val="0"/>
              <w:spacing w:before="0" w:after="0"/>
              <w:ind w:left="0" w:right="0" w:hanging="0"/>
              <w:jc w:val="center"/>
              <w:rPr/>
            </w:pPr>
            <w:r>
              <w:rPr/>
              <w:t>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Noncontrolling Interest</w:t>
            </w:r>
          </w:p>
        </w:tc>
        <w:tc>
          <w:tcPr>
            <w:tcW w:w="286" w:type="dxa"/>
            <w:tcBorders/>
            <w:vAlign w:val="center"/>
          </w:tcPr>
          <w:p>
            <w:pPr>
              <w:pStyle w:val="TableContents"/>
              <w:bidi w:val="0"/>
              <w:spacing w:before="0" w:after="0"/>
              <w:ind w:left="0" w:right="0" w:hanging="0"/>
              <w:jc w:val="center"/>
              <w:rPr/>
            </w:pPr>
            <w:r>
              <w:rPr/>
              <w:t>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Equity</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January 1, 2025</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28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261,831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(15,722)</w:t>
            </w:r>
          </w:p>
        </w:tc>
        <w:tc>
          <w:tcPr>
            <w:tcW w:w="286"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6,771</w:t>
            </w:r>
          </w:p>
        </w:tc>
        <w:tc>
          <w:tcPr>
            <w:tcW w:w="28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253,027</w:t>
            </w:r>
          </w:p>
        </w:tc>
        <w:tc>
          <w:tcPr>
            <w:tcW w:w="28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23,468</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276,495</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(4,130)</w:t>
            </w:r>
          </w:p>
        </w:tc>
        <w:tc>
          <w:tcPr>
            <w:tcW w:w="286"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(4,130)</w:t>
            </w:r>
          </w:p>
        </w:tc>
        <w:tc>
          <w:tcPr>
            <w:tcW w:w="2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(4,483)</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Repurchases</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28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(8,793)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(8,798)</w:t>
            </w:r>
          </w:p>
        </w:tc>
        <w:tc>
          <w:tcPr>
            <w:tcW w:w="28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(8,798)</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Issuances to Directors</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w:t>
            </w:r>
          </w:p>
        </w:tc>
        <w:tc>
          <w:tcPr>
            <w:tcW w:w="2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 of Equity Issuance Costs</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28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 ($0.855 per share)</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(12,215)</w:t>
            </w:r>
          </w:p>
        </w:tc>
        <w:tc>
          <w:tcPr>
            <w:tcW w:w="286"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(12,215)</w:t>
            </w:r>
          </w:p>
        </w:tc>
        <w:tc>
          <w:tcPr>
            <w:tcW w:w="2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(13,261)</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(4,479)</w:t>
            </w:r>
          </w:p>
        </w:tc>
        <w:tc>
          <w:tcPr>
            <w:tcW w:w="28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(4,479)</w:t>
            </w:r>
          </w:p>
        </w:tc>
        <w:tc>
          <w:tcPr>
            <w:tcW w:w="28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(4,860)</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September 30, 2025</w:t>
            </w:r>
          </w:p>
        </w:tc>
        <w:tc>
          <w:tcPr>
            <w:tcW w:w="109"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w:t>
            </w:r>
          </w:p>
        </w:tc>
        <w:tc>
          <w:tcPr>
            <w:tcW w:w="286" w:type="dxa"/>
            <w:tcBorders/>
            <w:vAlign w:val="center"/>
          </w:tcPr>
          <w:p>
            <w:pPr>
              <w:pStyle w:val="TableContents"/>
              <w:bidi w:val="0"/>
              <w:spacing w:before="0" w:after="0"/>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253,162</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(32,067)</w:t>
            </w:r>
          </w:p>
        </w:tc>
        <w:tc>
          <w:tcPr>
            <w:tcW w:w="286" w:type="dxa"/>
            <w:tcBorders/>
            <w:vAlign w:val="center"/>
          </w:tcPr>
          <w:p>
            <w:pPr>
              <w:pStyle w:val="TableContents"/>
              <w:bidi w:val="0"/>
              <w:spacing w:before="0" w:after="0"/>
              <w:ind w:left="0" w:right="0" w:hanging="0"/>
              <w:jc w:val="left"/>
              <w:rPr/>
            </w:pPr>
            <w:r>
              <w:rPr/>
              <w:t>​</w:t>
            </w:r>
          </w:p>
        </w:tc>
        <w:tc>
          <w:tcPr>
            <w:tcW w:w="3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2,292</w:t>
            </w:r>
          </w:p>
        </w:tc>
        <w:tc>
          <w:tcPr>
            <w:tcW w:w="28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223,529</w:t>
            </w:r>
          </w:p>
        </w:tc>
        <w:tc>
          <w:tcPr>
            <w:tcW w:w="28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21,688</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18"/>
              </w:rPr>
            </w:pPr>
            <w:r>
              <w:rPr>
                <w:rFonts w:ascii="Times New Roman;Times;serif" w:hAnsi="Times New Roman;Times;serif"/>
                <w:sz w:val="18"/>
              </w:rPr>
              <w:t>245,217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766" w:name="_7425066a_198c_4b1a_adf8_0910aa8c6bdd"/>
      <w:bookmarkEnd w:id="766"/>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bookmarkStart w:id="767" w:name="CONSOLIDATEDSTATEMENTSOFCASHFLOWS_91955"/>
      <w:bookmarkEnd w:id="767"/>
      <w:r>
        <w:rPr>
          <w:rFonts w:ascii="Times New Roman;Times;serif" w:hAnsi="Times New Roman;Times;serif"/>
          <w:sz w:val="20"/>
        </w:rPr>
        <w:t>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768" w:name="Tc_DzX1AcAt5kWRRqDKIMt-TA_47_5"/>
      <w:bookmarkStart w:id="769" w:name="Tc_BmDTwAZjzUmIIhkxLvq9Gw_47_2"/>
      <w:bookmarkStart w:id="770" w:name="Tc_wr6B0izYzkWKkNdnBcUfLA_47_0"/>
      <w:bookmarkStart w:id="771" w:name="Tc_p3v1kpwglkOmWft3KIf-4w_46_0"/>
      <w:bookmarkStart w:id="772" w:name="Tc_J5w04V9_XUGfXkC6P2scVg_45_5"/>
      <w:bookmarkStart w:id="773" w:name="Tc_JTa9M3sE_kiKrB7VQmDchw_45_2"/>
      <w:bookmarkStart w:id="774" w:name="Tc_QjZxfpgRzUG9f42TSk0yfQ_45_0"/>
      <w:bookmarkStart w:id="775" w:name="Tc_prCH4a-NLkeW3qFacnFFmA_44_0"/>
      <w:bookmarkStart w:id="776" w:name="Tc_1Bg0D4eDpkuo0r-xrmdhxg_42_5"/>
      <w:bookmarkStart w:id="777" w:name="Tc_dKKLhfXUZUemClyi8136oA_42_2"/>
      <w:bookmarkStart w:id="778" w:name="Tc_wNMUlyClG0SMwzKIqR4giA_42_0"/>
      <w:bookmarkStart w:id="779" w:name="Tc_pjlN_2DmjkqelIu8xqXYRA_41_0"/>
      <w:bookmarkStart w:id="780" w:name="Tc_hVu-Ph6T702PQx1UF5Ms8A_40_0"/>
      <w:bookmarkStart w:id="781" w:name="Tc_RbaqNWs9F06-tzrTLRU8QQ_39_0"/>
      <w:bookmarkStart w:id="782" w:name="Tc_5nfKYX6TH0SUXI3-UJhI1Q_38_0"/>
      <w:bookmarkStart w:id="783" w:name="Tc_I1CLjdjv-0Sr2GiCRSAOEQ_37_6"/>
      <w:bookmarkStart w:id="784" w:name="Tc_B1SJuiWudUiLM_D-Ghgl5A_37_0"/>
      <w:bookmarkStart w:id="785" w:name="Tc_o-yCp6NhBUuxOIvjzTkNIw_36_0"/>
      <w:bookmarkStart w:id="786" w:name="Tc_VhhEGqcOcU6c6kjKDTmaGw_35_3"/>
      <w:bookmarkStart w:id="787" w:name="Tc_390pr1XCkU-bFEWKMNZeEA_35_0"/>
      <w:bookmarkStart w:id="788" w:name="Tc_L2NdLzpX0EmxH7kdnlRw0Q_34_0"/>
      <w:bookmarkStart w:id="789" w:name="Tc_gvXs0ia27EGGOpcm4YUnwg_33_0"/>
      <w:bookmarkStart w:id="790" w:name="Tc_eLfmVCTVPUqcvqy0hFbg2g_32_0"/>
      <w:bookmarkStart w:id="791" w:name="Tc_aS_S3upKUUmxjYyAIy0CyA_31_0"/>
      <w:bookmarkStart w:id="792" w:name="Tc_AVII_7HTyUqo1THiKaK7Ow_30_0"/>
      <w:bookmarkStart w:id="793" w:name="Tc_OPbvqGOH80awFeMQOtKaiQ_29_0"/>
      <w:bookmarkStart w:id="794" w:name="Tc_EyFfFqhNN0uPVSOMPHJulQ_28_0"/>
      <w:bookmarkStart w:id="795" w:name="Tc_Nq4f9H9KlUi9qcBVi_0oLw_27_6"/>
      <w:bookmarkStart w:id="796" w:name="Tc_pjbqBpGZfEmRlYJepAUzYw_27_0"/>
      <w:bookmarkStart w:id="797" w:name="Tc_ZkFweObLwUCch5RnUfNpow_26_0"/>
      <w:bookmarkStart w:id="798" w:name="Tc_3e53ZlMdEEG4fE4naozYbw_25_0"/>
      <w:bookmarkStart w:id="799" w:name="Tc_mStf_oS44EOPyagmE3cK3Q_24_0"/>
      <w:bookmarkStart w:id="800" w:name="Tc_iSlPDrYHBUGKf2KYUnD1Sg_23_0"/>
      <w:bookmarkStart w:id="801" w:name="Tc_CSmbukZVCUKYSnbykaAjpA_22_0"/>
      <w:bookmarkStart w:id="802" w:name="Tc_YoEvyRNp40W0HNYuEECFhw_21_0"/>
      <w:bookmarkStart w:id="803" w:name="Tc_hGUWld3-XkSmkb1XnvuPhw_20_0"/>
      <w:bookmarkStart w:id="804" w:name="Tc_6x7shR-ef0iv_4Ge_32FEQ_19_0"/>
      <w:bookmarkStart w:id="805" w:name="Tc_3ksB8o8Xukmewd__r4AOvg_18_0"/>
      <w:bookmarkStart w:id="806" w:name="Tc_oK57Dpgh7UmP8_e8SK6XFw_17_0"/>
      <w:bookmarkStart w:id="807" w:name="Tc_yypaJZc1lEi-Tkl-Mcn0jA_16_0"/>
      <w:bookmarkStart w:id="808" w:name="Tc_n0wvDrztKkaf1ZfOvGfdQw_15_0"/>
      <w:bookmarkStart w:id="809" w:name="Tc_qLsnG_OgPkqro8csqScILg_14_0"/>
      <w:bookmarkStart w:id="810" w:name="Tc_E11zcptA502pDOihrjgm3Q_13_0"/>
      <w:bookmarkStart w:id="811" w:name="Tc_rUVqkzSUMU6XKh74VEI4tg_12_0"/>
      <w:bookmarkStart w:id="812" w:name="Tc_xAqwtgUUZ0CMN7V4eIKR-A_11_0"/>
      <w:bookmarkStart w:id="813" w:name="Tc_38J5L6FUzkqipFnYj9oENw_10_6"/>
      <w:bookmarkStart w:id="814" w:name="Tc_GhEM8BOVAkOrGR4ImtVxgQ_10_0"/>
      <w:bookmarkStart w:id="815" w:name="Tc_z81QvaRO0UCLcYD3Onq8XA_9_0"/>
      <w:bookmarkStart w:id="816" w:name="Tc_WKZN6n_6m0qKqcfBLD_MtQ_8_0"/>
      <w:bookmarkStart w:id="817" w:name="Tc_KseOLS_X70GGJwGrzi-V7A_7_0"/>
      <w:bookmarkStart w:id="818" w:name="Tc_WI4uCPgd30q0OxTg1qqaUg_6_0"/>
      <w:bookmarkStart w:id="819" w:name="Tc_bSaXga5Z2kmsbubM7dOTww_5_0"/>
      <w:bookmarkStart w:id="820" w:name="Tc_9lMW7L8HEUSh0pU098g9DA_4_5"/>
      <w:bookmarkStart w:id="821" w:name="Tc_0fqFpkHk_0aIxAgqwVQgmg_4_2"/>
      <w:bookmarkStart w:id="822" w:name="Tc_HboOa7ZL40u6aMpoXkBvCg_4_0"/>
      <w:bookmarkStart w:id="823" w:name="Tc_DzM7vV4itk-sd1Mx-g3qxQ_3_0"/>
      <w:bookmarkStart w:id="824" w:name="Tc_DWrXM1QUj0aRInlqvIkb4Q_2_5"/>
      <w:bookmarkStart w:id="825" w:name="Tc_F0egdS1Ou06eOmlwjTVuRw_2_2"/>
      <w:bookmarkStart w:id="826" w:name="Tc_YimimwdRpEyjdtMBf7F3Wg_1_2"/>
      <w:bookmarkStart w:id="827" w:name="_a46bc8f9_a52d_4f7d_87a7_4d8c59ddb0a5"/>
      <w:bookmarkStart w:id="828" w:name="Tc_DzX1AcAt5kWRRqDKIMt-TA_47_5"/>
      <w:bookmarkStart w:id="829" w:name="Tc_BmDTwAZjzUmIIhkxLvq9Gw_47_2"/>
      <w:bookmarkStart w:id="830" w:name="Tc_wr6B0izYzkWKkNdnBcUfLA_47_0"/>
      <w:bookmarkStart w:id="831" w:name="Tc_p3v1kpwglkOmWft3KIf-4w_46_0"/>
      <w:bookmarkStart w:id="832" w:name="Tc_J5w04V9_XUGfXkC6P2scVg_45_5"/>
      <w:bookmarkStart w:id="833" w:name="Tc_JTa9M3sE_kiKrB7VQmDchw_45_2"/>
      <w:bookmarkStart w:id="834" w:name="Tc_QjZxfpgRzUG9f42TSk0yfQ_45_0"/>
      <w:bookmarkStart w:id="835" w:name="Tc_prCH4a-NLkeW3qFacnFFmA_44_0"/>
      <w:bookmarkStart w:id="836" w:name="Tc_1Bg0D4eDpkuo0r-xrmdhxg_42_5"/>
      <w:bookmarkStart w:id="837" w:name="Tc_dKKLhfXUZUemClyi8136oA_42_2"/>
      <w:bookmarkStart w:id="838" w:name="Tc_wNMUlyClG0SMwzKIqR4giA_42_0"/>
      <w:bookmarkStart w:id="839" w:name="Tc_pjlN_2DmjkqelIu8xqXYRA_41_0"/>
      <w:bookmarkStart w:id="840" w:name="Tc_hVu-Ph6T702PQx1UF5Ms8A_40_0"/>
      <w:bookmarkStart w:id="841" w:name="Tc_RbaqNWs9F06-tzrTLRU8QQ_39_0"/>
      <w:bookmarkStart w:id="842" w:name="Tc_5nfKYX6TH0SUXI3-UJhI1Q_38_0"/>
      <w:bookmarkStart w:id="843" w:name="Tc_I1CLjdjv-0Sr2GiCRSAOEQ_37_6"/>
      <w:bookmarkStart w:id="844" w:name="Tc_B1SJuiWudUiLM_D-Ghgl5A_37_0"/>
      <w:bookmarkStart w:id="845" w:name="Tc_o-yCp6NhBUuxOIvjzTkNIw_36_0"/>
      <w:bookmarkStart w:id="846" w:name="Tc_VhhEGqcOcU6c6kjKDTmaGw_35_3"/>
      <w:bookmarkStart w:id="847" w:name="Tc_390pr1XCkU-bFEWKMNZeEA_35_0"/>
      <w:bookmarkStart w:id="848" w:name="Tc_L2NdLzpX0EmxH7kdnlRw0Q_34_0"/>
      <w:bookmarkStart w:id="849" w:name="Tc_gvXs0ia27EGGOpcm4YUnwg_33_0"/>
      <w:bookmarkStart w:id="850" w:name="Tc_eLfmVCTVPUqcvqy0hFbg2g_32_0"/>
      <w:bookmarkStart w:id="851" w:name="Tc_aS_S3upKUUmxjYyAIy0CyA_31_0"/>
      <w:bookmarkStart w:id="852" w:name="Tc_AVII_7HTyUqo1THiKaK7Ow_30_0"/>
      <w:bookmarkStart w:id="853" w:name="Tc_OPbvqGOH80awFeMQOtKaiQ_29_0"/>
      <w:bookmarkStart w:id="854" w:name="Tc_EyFfFqhNN0uPVSOMPHJulQ_28_0"/>
      <w:bookmarkStart w:id="855" w:name="Tc_Nq4f9H9KlUi9qcBVi_0oLw_27_6"/>
      <w:bookmarkStart w:id="856" w:name="Tc_pjbqBpGZfEmRlYJepAUzYw_27_0"/>
      <w:bookmarkStart w:id="857" w:name="Tc_ZkFweObLwUCch5RnUfNpow_26_0"/>
      <w:bookmarkStart w:id="858" w:name="Tc_3e53ZlMdEEG4fE4naozYbw_25_0"/>
      <w:bookmarkStart w:id="859" w:name="Tc_mStf_oS44EOPyagmE3cK3Q_24_0"/>
      <w:bookmarkStart w:id="860" w:name="Tc_iSlPDrYHBUGKf2KYUnD1Sg_23_0"/>
      <w:bookmarkStart w:id="861" w:name="Tc_CSmbukZVCUKYSnbykaAjpA_22_0"/>
      <w:bookmarkStart w:id="862" w:name="Tc_YoEvyRNp40W0HNYuEECFhw_21_0"/>
      <w:bookmarkStart w:id="863" w:name="Tc_hGUWld3-XkSmkb1XnvuPhw_20_0"/>
      <w:bookmarkStart w:id="864" w:name="Tc_6x7shR-ef0iv_4Ge_32FEQ_19_0"/>
      <w:bookmarkStart w:id="865" w:name="Tc_3ksB8o8Xukmewd__r4AOvg_18_0"/>
      <w:bookmarkStart w:id="866" w:name="Tc_oK57Dpgh7UmP8_e8SK6XFw_17_0"/>
      <w:bookmarkStart w:id="867" w:name="Tc_yypaJZc1lEi-Tkl-Mcn0jA_16_0"/>
      <w:bookmarkStart w:id="868" w:name="Tc_n0wvDrztKkaf1ZfOvGfdQw_15_0"/>
      <w:bookmarkStart w:id="869" w:name="Tc_qLsnG_OgPkqro8csqScILg_14_0"/>
      <w:bookmarkStart w:id="870" w:name="Tc_E11zcptA502pDOihrjgm3Q_13_0"/>
      <w:bookmarkStart w:id="871" w:name="Tc_rUVqkzSUMU6XKh74VEI4tg_12_0"/>
      <w:bookmarkStart w:id="872" w:name="Tc_xAqwtgUUZ0CMN7V4eIKR-A_11_0"/>
      <w:bookmarkStart w:id="873" w:name="Tc_38J5L6FUzkqipFnYj9oENw_10_6"/>
      <w:bookmarkStart w:id="874" w:name="Tc_GhEM8BOVAkOrGR4ImtVxgQ_10_0"/>
      <w:bookmarkStart w:id="875" w:name="Tc_z81QvaRO0UCLcYD3Onq8XA_9_0"/>
      <w:bookmarkStart w:id="876" w:name="Tc_WKZN6n_6m0qKqcfBLD_MtQ_8_0"/>
      <w:bookmarkStart w:id="877" w:name="Tc_KseOLS_X70GGJwGrzi-V7A_7_0"/>
      <w:bookmarkStart w:id="878" w:name="Tc_WI4uCPgd30q0OxTg1qqaUg_6_0"/>
      <w:bookmarkStart w:id="879" w:name="Tc_bSaXga5Z2kmsbubM7dOTww_5_0"/>
      <w:bookmarkStart w:id="880" w:name="Tc_9lMW7L8HEUSh0pU098g9DA_4_5"/>
      <w:bookmarkStart w:id="881" w:name="Tc_0fqFpkHk_0aIxAgqwVQgmg_4_2"/>
      <w:bookmarkStart w:id="882" w:name="Tc_HboOa7ZL40u6aMpoXkBvCg_4_0"/>
      <w:bookmarkStart w:id="883" w:name="Tc_DzM7vV4itk-sd1Mx-g3qxQ_3_0"/>
      <w:bookmarkStart w:id="884" w:name="Tc_DWrXM1QUj0aRInlqvIkb4Q_2_5"/>
      <w:bookmarkStart w:id="885" w:name="Tc_F0egdS1Ou06eOmlwjTVuRw_2_2"/>
      <w:bookmarkStart w:id="886" w:name="Tc_YimimwdRpEyjdtMBf7F3Wg_1_2"/>
      <w:bookmarkStart w:id="887" w:name="_a46bc8f9_a52d_4f7d_87a7_4d8c59ddb0a5"/>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p>
    <w:tbl>
      <w:tblPr>
        <w:tblW w:w="9789" w:type="dxa"/>
        <w:jc w:val="left"/>
        <w:tblInd w:w="0" w:type="dxa"/>
        <w:tblLayout w:type="fixed"/>
        <w:tblCellMar>
          <w:top w:w="0" w:type="dxa"/>
          <w:left w:w="0" w:type="dxa"/>
          <w:bottom w:w="0" w:type="dxa"/>
          <w:right w:w="0" w:type="dxa"/>
        </w:tblCellMar>
      </w:tblPr>
      <w:tblGrid>
        <w:gridCol w:w="6436"/>
        <w:gridCol w:w="109"/>
        <w:gridCol w:w="319"/>
        <w:gridCol w:w="1226"/>
        <w:gridCol w:w="109"/>
        <w:gridCol w:w="334"/>
        <w:gridCol w:w="1256"/>
      </w:tblGrid>
      <w:tr>
        <w:trPr/>
        <w:tc>
          <w:tcPr>
            <w:tcW w:w="64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2565" cy="175260"/>
                      <wp:effectExtent l="0" t="0" r="0" b="0"/>
                      <wp:wrapNone/>
                      <wp:docPr id="131" name="Frame131"/>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78510" cy="175260"/>
                      <wp:effectExtent l="0" t="0" r="0" b="0"/>
                      <wp:wrapNone/>
                      <wp:docPr id="132" name="Frame132"/>
                      <a:graphic xmlns:a="http://schemas.openxmlformats.org/drawingml/2006/main">
                        <a:graphicData uri="http://schemas.microsoft.com/office/word/2010/wordprocessingShape">
                          <wps:wsp>
                            <wps:cNvSpPr txBox="1"/>
                            <wps:spPr>
                              <a:xfrm>
                                <a:off x="0" y="0"/>
                                <a:ext cx="778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2090" cy="175260"/>
                      <wp:effectExtent l="0" t="0" r="0" b="0"/>
                      <wp:wrapNone/>
                      <wp:docPr id="134" name="Frame134"/>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97560" cy="175260"/>
                      <wp:effectExtent l="0" t="0" r="0" b="0"/>
                      <wp:wrapNone/>
                      <wp:docPr id="135" name="Frame135"/>
                      <a:graphic xmlns:a="http://schemas.openxmlformats.org/drawingml/2006/main">
                        <a:graphicData uri="http://schemas.microsoft.com/office/word/2010/wordprocessingShape">
                          <wps:wsp>
                            <wps:cNvSpPr txBox="1"/>
                            <wps:spPr>
                              <a:xfrm>
                                <a:off x="0" y="0"/>
                                <a:ext cx="79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2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Nine Months Ended</w:t>
            </w:r>
          </w:p>
        </w:tc>
      </w:tr>
      <w:tr>
        <w:trPr/>
        <w:tc>
          <w:tcPr>
            <w:tcW w:w="64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c>
          <w:tcPr>
            <w:tcW w:w="109" w:type="dxa"/>
            <w:tcBorders/>
            <w:vAlign w:val="center"/>
          </w:tcPr>
          <w:p>
            <w:pPr>
              <w:pStyle w:val="TableContents"/>
              <w:bidi w:val="0"/>
              <w:spacing w:before="0" w:after="1"/>
              <w:ind w:left="0" w:right="0" w:hanging="0"/>
              <w:jc w:val="center"/>
              <w:rPr/>
            </w:pPr>
            <w:r>
              <w:rPr/>
              <w:t>​</w:t>
            </w:r>
          </w:p>
        </w:tc>
        <w:tc>
          <w:tcPr>
            <w:tcW w:w="15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 From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right"/>
              <w:rPr/>
            </w:pPr>
            <w:r>
              <w:rPr/>
              <w:t>​</w:t>
            </w:r>
          </w:p>
        </w:tc>
        <w:tc>
          <w:tcPr>
            <w:tcW w:w="12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right"/>
              <w:rPr/>
            </w:pPr>
            <w:r>
              <w:rPr/>
              <w:t>​</w:t>
            </w:r>
          </w:p>
        </w:tc>
        <w:tc>
          <w:tcPr>
            <w:tcW w:w="1256" w:type="dxa"/>
            <w:tcBorders/>
            <w:shd w:fill="CCEEFF" w:val="clear"/>
            <w:vAlign w:val="center"/>
          </w:tcPr>
          <w:p>
            <w:pPr>
              <w:pStyle w:val="TableContents"/>
              <w:bidi w:val="0"/>
              <w:spacing w:before="0" w:after="1"/>
              <w:ind w:left="0" w:right="0" w:hanging="0"/>
              <w:jc w:val="lef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11,861</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(4,483)</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to 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20,901</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20,609</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Intangible Lease Assets and Liabilities to Lease Income</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(733)</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(422)</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Amortization of Deferred Financing Costs to Interest Expense </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871</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591</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Commercial Loans and Investments Origination Fees</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(1,024)</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Paid-In-Kind Accrued Interest</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(2,323)</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right"/>
              <w:rPr/>
            </w:pPr>
            <w:r>
              <w:rPr/>
              <w:t>—</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on Disposition of Assets</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(369)</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(2,043)</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Impairment and Adjustment to CECL Reserve</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809</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6,749</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(Increase) in Assets:</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left"/>
              <w:rPr/>
            </w:pPr>
            <w:r>
              <w:rPr/>
              <w:t>​</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Straight-Line Rent Adjustment</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(508)</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(539)</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(8,942)</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(Decrease) in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 Accrued Expenses, and Other Liabilities</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3,029</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Rent and Deferred Revenue</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(11,255)</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109"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12,602</w:t>
            </w:r>
          </w:p>
        </w:tc>
        <w:tc>
          <w:tcPr>
            <w:tcW w:w="109" w:type="dxa"/>
            <w:tcBorders/>
            <w:vAlign w:val="center"/>
          </w:tcPr>
          <w:p>
            <w:pPr>
              <w:pStyle w:val="TableContents"/>
              <w:bidi w:val="0"/>
              <w:spacing w:before="0" w:after="1"/>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20,436</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 From Investing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Real Estate Including Intangible Lease Assets and Liabilities</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(55,044)</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(61,057)</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Investments in and Improvements to Real Estate</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(1,504)</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(6,457)</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Disposition of Assets</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5,910</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32,644</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Commercial Loans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(97,183)</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(63,418)</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Principal Payments Received on Commercial Loans and Investments</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36,014</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50,465</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Sale of Participation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10,763</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righ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on Participation Obligation</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(2,244)</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(11,403)</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Received for Commercial Loan Reserves</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17,422</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3,218</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109"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(85,866)</w:t>
            </w:r>
          </w:p>
        </w:tc>
        <w:tc>
          <w:tcPr>
            <w:tcW w:w="109" w:type="dxa"/>
            <w:tcBorders/>
            <w:vAlign w:val="center"/>
          </w:tcPr>
          <w:p>
            <w:pPr>
              <w:pStyle w:val="TableContents"/>
              <w:bidi w:val="0"/>
              <w:spacing w:before="0" w:after="1"/>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(56,008)</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 from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356,088</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115,500</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on Long-Term Debt</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(335,588)</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(59,000)</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Loan Fees</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(4,239)</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Repurchases of Common Stock</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(8,798)</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Stock Issuances, Net</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69,468</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Dividends Paid - Preferred Stock</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(3,554)</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righ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Dividends Paid - Common Stock</w:t>
            </w:r>
          </w:p>
        </w:tc>
        <w:tc>
          <w:tcPr>
            <w:tcW w:w="109"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(17,049)</w:t>
            </w:r>
          </w:p>
        </w:tc>
        <w:tc>
          <w:tcPr>
            <w:tcW w:w="109" w:type="dxa"/>
            <w:tcBorders/>
            <w:vAlign w:val="center"/>
          </w:tcPr>
          <w:p>
            <w:pPr>
              <w:pStyle w:val="TableContents"/>
              <w:bidi w:val="0"/>
              <w:spacing w:before="0" w:after="1"/>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(13,261)</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65,126</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34,259</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Decrease in Cash and Cash Equivalents and Restricted Cash</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(8,138)</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(1,313)</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and Restricted Cash,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38,999</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7,951</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and Restricted Cash, End of Period</w:t>
            </w:r>
          </w:p>
        </w:tc>
        <w:tc>
          <w:tcPr>
            <w:tcW w:w="109" w:type="dxa"/>
            <w:tcBorders/>
            <w:vAlign w:val="center"/>
          </w:tcPr>
          <w:p>
            <w:pPr>
              <w:pStyle w:val="TableContents"/>
              <w:bidi w:val="0"/>
              <w:spacing w:before="0" w:after="1"/>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30,861</w:t>
            </w:r>
          </w:p>
        </w:tc>
        <w:tc>
          <w:tcPr>
            <w:tcW w:w="109" w:type="dxa"/>
            <w:tcBorders/>
            <w:vAlign w:val="center"/>
          </w:tcPr>
          <w:p>
            <w:pPr>
              <w:pStyle w:val="TableContents"/>
              <w:bidi w:val="0"/>
              <w:spacing w:before="0" w:after="1"/>
              <w:ind w:left="0" w:right="0" w:hanging="0"/>
              <w:jc w:val="left"/>
              <w:rPr/>
            </w:pPr>
            <w:r>
              <w:rPr/>
              <w:t>​</w:t>
            </w:r>
          </w:p>
        </w:tc>
        <w:tc>
          <w:tcPr>
            <w:tcW w:w="3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6,638</w:t>
            </w:r>
          </w:p>
        </w:tc>
      </w:tr>
      <w:tr>
        <w:trPr/>
        <w:tc>
          <w:tcPr>
            <w:tcW w:w="64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256" w:type="dxa"/>
            <w:tcBorders/>
            <w:shd w:fill="CCEEFF" w:val="clear"/>
            <w:vAlign w:val="center"/>
          </w:tcPr>
          <w:p>
            <w:pPr>
              <w:pStyle w:val="TableContents"/>
              <w:bidi w:val="0"/>
              <w:spacing w:before="0" w:after="1"/>
              <w:ind w:left="0" w:right="0" w:hanging="0"/>
              <w:jc w:val="lef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Reconciliation of Cash to the Consolidated Balance Sheets: </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256" w:type="dxa"/>
            <w:tcBorders/>
            <w:vAlign w:val="center"/>
          </w:tcPr>
          <w:p>
            <w:pPr>
              <w:pStyle w:val="TableContents"/>
              <w:bidi w:val="0"/>
              <w:spacing w:before="0" w:after="1"/>
              <w:ind w:left="0" w:right="0" w:hanging="0"/>
              <w:jc w:val="left"/>
              <w:rPr/>
            </w:pPr>
            <w:r>
              <w:rPr/>
              <w:t>​</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11,722</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1,183</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19,139</w:t>
            </w:r>
          </w:p>
        </w:tc>
        <w:tc>
          <w:tcPr>
            <w:tcW w:w="109" w:type="dxa"/>
            <w:tcBorders/>
            <w:vAlign w:val="center"/>
          </w:tcPr>
          <w:p>
            <w:pPr>
              <w:pStyle w:val="TableContents"/>
              <w:bidi w:val="0"/>
              <w:spacing w:before="0" w:after="1"/>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5,455</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Cash</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30,861</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56" w:type="dxa"/>
            <w:tcBorders>
              <w:bottom w:val="double" w:sz="6" w:space="0" w:color="000000"/>
            </w:tcBorders>
            <w:shd w:fill="CCEEFF" w:val="clear"/>
            <w:tcMar>
              <w:bottom w:w="28" w:type="dxa"/>
            </w:tcMar>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6,638</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CASH FLOWS (Continued)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888" w:name="Tc_gELfsawTIk2eCdVnAbMgXA_7_5"/>
      <w:bookmarkStart w:id="889" w:name="Tc_W39q9dEYa0CZK94hg5NUpg_7_2"/>
      <w:bookmarkStart w:id="890" w:name="Tc_FeyA48TGpUKXR9ANKSLjlQ_6_0"/>
      <w:bookmarkStart w:id="891" w:name="Tc_4N0cvZB1d0W5i_O8PdINHw_4_5"/>
      <w:bookmarkStart w:id="892" w:name="Tc_ZoCb3aXVxU65p3e0kVDNTw_4_2"/>
      <w:bookmarkStart w:id="893" w:name="Tc_cycttOtIs0qTY_AIraGCPg_4_0"/>
      <w:bookmarkStart w:id="894" w:name="Tc__YpFyBwW4ECTiN2rC7X3eg_3_0"/>
      <w:bookmarkStart w:id="895" w:name="Tc_ZviFox8OL0a6JavoM6pz-w_2_5"/>
      <w:bookmarkStart w:id="896" w:name="Tc_aU8QzZbvUES_zMAoPeWbxw_2_2"/>
      <w:bookmarkStart w:id="897" w:name="Tc_lfZ0dpxun06zj_vnQvHmww_1_2"/>
      <w:bookmarkStart w:id="898" w:name="_4d046adb_13d4_4bcd_9aec_34a9f4e37be9"/>
      <w:bookmarkStart w:id="899" w:name="Tc_gELfsawTIk2eCdVnAbMgXA_7_5"/>
      <w:bookmarkStart w:id="900" w:name="Tc_W39q9dEYa0CZK94hg5NUpg_7_2"/>
      <w:bookmarkStart w:id="901" w:name="Tc_FeyA48TGpUKXR9ANKSLjlQ_6_0"/>
      <w:bookmarkStart w:id="902" w:name="Tc_4N0cvZB1d0W5i_O8PdINHw_4_5"/>
      <w:bookmarkStart w:id="903" w:name="Tc_ZoCb3aXVxU65p3e0kVDNTw_4_2"/>
      <w:bookmarkStart w:id="904" w:name="Tc_cycttOtIs0qTY_AIraGCPg_4_0"/>
      <w:bookmarkStart w:id="905" w:name="Tc__YpFyBwW4ECTiN2rC7X3eg_3_0"/>
      <w:bookmarkStart w:id="906" w:name="Tc_ZviFox8OL0a6JavoM6pz-w_2_5"/>
      <w:bookmarkStart w:id="907" w:name="Tc_aU8QzZbvUES_zMAoPeWbxw_2_2"/>
      <w:bookmarkStart w:id="908" w:name="Tc_lfZ0dpxun06zj_vnQvHmww_1_2"/>
      <w:bookmarkStart w:id="909" w:name="_4d046adb_13d4_4bcd_9aec_34a9f4e37be9"/>
      <w:bookmarkEnd w:id="899"/>
      <w:bookmarkEnd w:id="900"/>
      <w:bookmarkEnd w:id="901"/>
      <w:bookmarkEnd w:id="902"/>
      <w:bookmarkEnd w:id="903"/>
      <w:bookmarkEnd w:id="904"/>
      <w:bookmarkEnd w:id="905"/>
      <w:bookmarkEnd w:id="906"/>
      <w:bookmarkEnd w:id="907"/>
      <w:bookmarkEnd w:id="908"/>
      <w:bookmarkEnd w:id="909"/>
    </w:p>
    <w:tbl>
      <w:tblPr>
        <w:tblW w:w="8619" w:type="dxa"/>
        <w:jc w:val="left"/>
        <w:tblInd w:w="0" w:type="dxa"/>
        <w:tblLayout w:type="fixed"/>
        <w:tblCellMar>
          <w:top w:w="0" w:type="dxa"/>
          <w:left w:w="0" w:type="dxa"/>
          <w:bottom w:w="0" w:type="dxa"/>
          <w:right w:w="0" w:type="dxa"/>
        </w:tblCellMar>
      </w:tblPr>
      <w:tblGrid>
        <w:gridCol w:w="5266"/>
        <w:gridCol w:w="109"/>
        <w:gridCol w:w="379"/>
        <w:gridCol w:w="1166"/>
        <w:gridCol w:w="109"/>
        <w:gridCol w:w="370"/>
        <w:gridCol w:w="1220"/>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343910" cy="175260"/>
                      <wp:effectExtent l="0" t="0" r="0" b="0"/>
                      <wp:wrapNone/>
                      <wp:docPr id="136" name="Frame136"/>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40665" cy="175260"/>
                      <wp:effectExtent l="0" t="0" r="0" b="0"/>
                      <wp:wrapNone/>
                      <wp:docPr id="138" name="Frame138"/>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40410" cy="175260"/>
                      <wp:effectExtent l="0" t="0" r="0" b="0"/>
                      <wp:wrapNone/>
                      <wp:docPr id="139" name="Frame139"/>
                      <a:graphic xmlns:a="http://schemas.openxmlformats.org/drawingml/2006/main">
                        <a:graphicData uri="http://schemas.microsoft.com/office/word/2010/wordprocessingShape">
                          <wps:wsp>
                            <wps:cNvSpPr txBox="1"/>
                            <wps:spPr>
                              <a:xfrm>
                                <a:off x="0" y="0"/>
                                <a:ext cx="74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34950" cy="175260"/>
                      <wp:effectExtent l="0" t="0" r="0" b="0"/>
                      <wp:wrapNone/>
                      <wp:docPr id="141" name="Frame141"/>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74700" cy="175260"/>
                      <wp:effectExtent l="0" t="0" r="0" b="0"/>
                      <wp:wrapNone/>
                      <wp:docPr id="142" name="Frame142"/>
                      <a:graphic xmlns:a="http://schemas.openxmlformats.org/drawingml/2006/main">
                        <a:graphicData uri="http://schemas.microsoft.com/office/word/2010/wordprocessingShape">
                          <wps:wsp>
                            <wps:cNvSpPr txBox="1"/>
                            <wps:spPr>
                              <a:xfrm>
                                <a:off x="0" y="0"/>
                                <a:ext cx="774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5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c>
          <w:tcPr>
            <w:tcW w:w="109" w:type="dxa"/>
            <w:tcBorders/>
            <w:vAlign w:val="center"/>
          </w:tcPr>
          <w:p>
            <w:pPr>
              <w:pStyle w:val="TableContents"/>
              <w:bidi w:val="0"/>
              <w:spacing w:before="0" w:after="0"/>
              <w:ind w:left="0" w:right="0" w:hanging="0"/>
              <w:jc w:val="left"/>
              <w:rPr/>
            </w:pPr>
            <w:r>
              <w:rPr/>
              <w:t>​</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Supplemental Disclosure of Cash Flow Information: </w:t>
            </w:r>
          </w:p>
        </w:tc>
        <w:tc>
          <w:tcPr>
            <w:tcW w:w="109"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right"/>
              <w:rPr/>
            </w:pPr>
            <w:r>
              <w:rPr/>
              <w:t>​</w:t>
            </w:r>
          </w:p>
        </w:tc>
        <w:tc>
          <w:tcPr>
            <w:tcW w:w="11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right"/>
              <w:rPr/>
            </w:pPr>
            <w:r>
              <w:rPr/>
              <w:t>​</w:t>
            </w:r>
          </w:p>
        </w:tc>
        <w:tc>
          <w:tcPr>
            <w:tcW w:w="1220" w:type="dxa"/>
            <w:tcBorders/>
            <w:shd w:fill="CCEEFF" w:val="clear"/>
            <w:vAlign w:val="center"/>
          </w:tcPr>
          <w:p>
            <w:pPr>
              <w:pStyle w:val="TableContents"/>
              <w:bidi w:val="0"/>
              <w:spacing w:before="0" w:after="0"/>
              <w:ind w:left="0" w:right="0" w:hanging="0"/>
              <w:jc w:val="right"/>
              <w:rPr/>
            </w:pPr>
            <w:r>
              <w:rPr/>
              <w:t>​</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109"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1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13,595</w:t>
            </w:r>
          </w:p>
        </w:tc>
        <w:tc>
          <w:tcPr>
            <w:tcW w:w="109"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10,962</w:t>
            </w:r>
          </w:p>
        </w:tc>
      </w:tr>
      <w:tr>
        <w:trPr/>
        <w:tc>
          <w:tcPr>
            <w:tcW w:w="52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right"/>
              <w:rPr/>
            </w:pPr>
            <w:r>
              <w:rPr/>
              <w:t>​</w:t>
            </w:r>
          </w:p>
        </w:tc>
        <w:tc>
          <w:tcPr>
            <w:tcW w:w="11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right"/>
              <w:rPr/>
            </w:pPr>
            <w:r>
              <w:rPr/>
              <w:t>​</w:t>
            </w:r>
          </w:p>
        </w:tc>
        <w:tc>
          <w:tcPr>
            <w:tcW w:w="1220" w:type="dxa"/>
            <w:tcBorders/>
            <w:shd w:fill="CCEEFF" w:val="clear"/>
            <w:vAlign w:val="center"/>
          </w:tcPr>
          <w:p>
            <w:pPr>
              <w:pStyle w:val="TableContents"/>
              <w:bidi w:val="0"/>
              <w:spacing w:before="0" w:after="0"/>
              <w:ind w:left="0" w:right="0" w:hanging="0"/>
              <w:jc w:val="right"/>
              <w:rPr/>
            </w:pPr>
            <w:r>
              <w:rPr/>
              <w:t>​</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Supplemental Disclosure of Non-Cash Investing and Financing Activities: </w:t>
            </w:r>
          </w:p>
        </w:tc>
        <w:tc>
          <w:tcPr>
            <w:tcW w:w="109"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right"/>
              <w:rPr/>
            </w:pPr>
            <w:r>
              <w:rPr/>
              <w:t>​</w:t>
            </w:r>
          </w:p>
        </w:tc>
        <w:tc>
          <w:tcPr>
            <w:tcW w:w="1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right"/>
              <w:rPr/>
            </w:pPr>
            <w:r>
              <w:rPr/>
              <w:t>​</w:t>
            </w:r>
          </w:p>
        </w:tc>
        <w:tc>
          <w:tcPr>
            <w:tcW w:w="1220" w:type="dxa"/>
            <w:tcBorders/>
            <w:vAlign w:val="center"/>
          </w:tcPr>
          <w:p>
            <w:pPr>
              <w:pStyle w:val="TableContents"/>
              <w:bidi w:val="0"/>
              <w:spacing w:before="0" w:after="0"/>
              <w:ind w:left="0" w:right="0" w:hanging="0"/>
              <w:jc w:val="right"/>
              <w:rPr/>
            </w:pPr>
            <w:r>
              <w:rPr/>
              <w:t>​</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Unrealized Gain (Loss) on Cash Flow Hedge</w:t>
            </w:r>
          </w:p>
        </w:tc>
        <w:tc>
          <w:tcPr>
            <w:tcW w:w="109"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1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6,591</w:t>
            </w:r>
          </w:p>
        </w:tc>
        <w:tc>
          <w:tcPr>
            <w:tcW w:w="109"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10" w:name="NOTESTOCONSOLIDATEDFINANCIALSTATEMENTSUN"/>
      <w:bookmarkStart w:id="911" w:name="_632f2b2f_1be7_49b7_8bb7_d24d32cc89c5"/>
      <w:bookmarkEnd w:id="910"/>
      <w:bookmarkEnd w:id="911"/>
      <w:r>
        <w:rPr>
          <w:rFonts w:ascii="Times New Roman;Times;serif" w:hAnsi="Times New Roman;Times;serif"/>
          <w:b/>
          <w:sz w:val="20"/>
        </w:rPr>
        <w:t>NOTES TO CONSOLIDATED FINANCIAL STATEMENTS (UNAUDITED)</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 BUSINESS AND ORGANIZATION</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BUSINESS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Alpine Income Property Trust, Inc. (the “Company” or “PINE”) is a real estate investment trust (“REIT”) that owns and operates a high-quality portfolio of commercial net lease properties complemented by a portfolio of commercial loan investments. The terms “us,” “we,” “our,” and “the Company” as used in this report refer to Alpine Income Property Trust, Inc. together with our consolidated subsidiaries.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income property portfolio consists of 130 net leased properties located in 31 states. The properties in our portfolio are primarily subject to long-term, net leases, which generally require the tenant to pay directly or reimburse us for property operating expenses such as real estate taxes, insurance, assessments and other governmental fees, utilities, repairs and maintenance and certain capital expenditures. The Company also originates and acquires commercial loans and investments. Our investments in commercial loans are generally secured by real estate or the borrower’s pledge of its ownership interest in an entity that owns real estate. As more fully described in Note 4, “Commercial Loans and Investments,” the four Sale-Leaseback Properties and the 2026 Sales-Type Lease (defined in Note 3 below), are accounted for as financing arrangements. However, because the Sale-Leaseback Properties and the 2026 Sales-Type Lease constitute real estate assets for both legal and tax purposes, we include the Sale-Leaseback Properties and the 2026 Sales-Type Lease in the property portfolio when describing our property portfolio and for purposes of providing statistics related thereto.</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operates in two primary business segments: income properties and commercial loans and investments.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REIT and the sole member of our Manager (“CTO”). All of our executive officers also serve as executive officers of CTO, and one of our executive officers and directors, John P. Albright, also serves as an executive officer and director of CTO.</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ORGANIZATION</w:t>
      </w:r>
    </w:p>
    <w:p>
      <w:pPr>
        <w:pStyle w:val="TextBody"/>
        <w:bidi w:val="0"/>
        <w:spacing w:before="0" w:after="20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Company is a Maryland corporation that was formed on August 19, 2019. On November 26, 2019, the Company closed its initial public offering (“IPO”). We are externally managed by our Manager and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September 30, 2026, we have a total common ownership interest in the Operating Partnership of 93.6%, with CTO holding, directly and indirectly, a 6.4% common ownership interest in the Operating Partnership. We also own 100% of the Series A Preferred Units of the Operating Partnership underlying the Series A Preferred Stock (hereinafter defined).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oversees our business and affairs.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determined without regard to the dividends paid deduction and excluding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912" w:name="_6300cac1_0ad8_4fa1_874c_4a396f594d17_5"/>
      <w:bookmarkStart w:id="913" w:name="_6300cac1_0ad8_4fa1_874c_4a396f594d17_4"/>
      <w:bookmarkStart w:id="914" w:name="_6300cac1_0ad8_4fa1_874c_4a396f594d17_3"/>
      <w:bookmarkStart w:id="915" w:name="_6300cac1_0ad8_4fa1_874c_4a396f594d17_2"/>
      <w:bookmarkStart w:id="916" w:name="_6300cac1_0ad8_4fa1_874c_4a396f594d17"/>
      <w:bookmarkEnd w:id="912"/>
      <w:bookmarkEnd w:id="913"/>
      <w:bookmarkEnd w:id="914"/>
      <w:bookmarkEnd w:id="915"/>
      <w:bookmarkEnd w:id="916"/>
      <w:r>
        <w:rPr>
          <w:rFonts w:ascii="Times New Roman;Times;serif" w:hAnsi="Times New Roman;Times;serif"/>
          <w:b/>
          <w:sz w:val="20"/>
        </w:rPr>
        <w:t>NOTE 2. SUMMARY OF SIGNIFICANT ACCOUNTING POLICIES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INTERIM FINANCIAL INFORMATION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2025, which provides a more complete understanding of the Company’s accounting policies, financial position, operating results, business, properties, and other matters. The unaudited consolidated financial statements reflect all adjustments which are, in the opinion of management, necessary to present fairly the financial position of the Company and the results of operations for the interim periods.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results of operations for the three and nine months ended September 30, 2026 are not necessarily indicative of results to be expected for the year ending December 31, 2026.</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PRINCIPLES OF CONSOLIDATION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include the accounts of the Company, its wholly owned subsidiaries, and other entities in which we have a controlling interest. All inter-company balances and transactions have been eliminated in the consolidated financial statements.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SEGMENT REPORTING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Financial Accounting Standards Board </w:t>
      </w:r>
      <w:r>
        <w:rPr>
          <w:rFonts w:ascii="Times New Roman;Times;serif" w:hAnsi="Times New Roman;Times;serif"/>
          <w:i/>
          <w:sz w:val="20"/>
        </w:rPr>
        <w:t>Accounting Standards Codification</w:t>
      </w:r>
      <w:r>
        <w:rPr>
          <w:rFonts w:ascii="Times New Roman;Times;serif" w:hAnsi="Times New Roman;Times;serif"/>
          <w:sz w:val="20"/>
        </w:rPr>
        <w:t xml:space="preserve"> (“FASB ASC”) Topic 280, </w:t>
      </w:r>
      <w:r>
        <w:rPr>
          <w:rFonts w:ascii="Times New Roman;Times;serif" w:hAnsi="Times New Roman;Times;serif"/>
          <w:i/>
          <w:sz w:val="20"/>
        </w:rPr>
        <w:t>Segment Reporting</w:t>
      </w:r>
      <w:r>
        <w:rPr>
          <w:rFonts w:ascii="Times New Roman;Times;serif" w:hAnsi="Times New Roman;Times;serif"/>
          <w:sz w:val="20"/>
        </w:rPr>
        <w:t>, establishes standards related to the manner in which enterprises report operating segment information. The Company operates in two primary business segments including income properties and commercial loans and investments, as further discussed within Note 21, “Business Segment Data”. The Company has no other reportable segments. The Company’s chief executive officer, who is the Company’s chief operating decision maker (“CODM”), reviews financial information on a disaggregated basis for purposes of allocating and evaluating financial performance.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USE OF ESTIMATES IN THE PREPARATION OF FINANCIAL STATEMENTS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val="false"/>
          <w:i/>
          <w:sz w:val="20"/>
        </w:rPr>
      </w:pPr>
      <w:r>
        <w:rPr>
          <w:rFonts w:ascii="Times New Roman;Times;serif" w:hAnsi="Times New Roman;Times;serif"/>
          <w:b w:val="false"/>
          <w:i/>
          <w:sz w:val="20"/>
        </w:rPr>
        <w:t>REAL ESTATE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Company’s real estate assets are comprised of the properties in its portfolio, and are carried at cost, less accumulated depreciation, amortization, and impairment losses, if any. Such properties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statement of operations. The amount of depreciation of real estate, exclusive of amortization related to intangible assets, recognized for the three months ended September 30, 2026 and 2025, was $4.3 million and $4.5 million, respectively. The amount of depreciation of real estate, exclusive of amortization related to intangible assets, recognized for the nine months ended September 30, 2026 and 2025, was $13.1 million and $14.0 million, respectively.</w:t>
      </w:r>
    </w:p>
    <w:p>
      <w:pPr>
        <w:pStyle w:val="TextBody"/>
        <w:bidi w:val="0"/>
        <w:spacing w:before="0" w:after="200"/>
        <w:ind w:left="0" w:right="0" w:hanging="0"/>
        <w:jc w:val="both"/>
        <w:rPr>
          <w:rFonts w:ascii="Times New Roman;Times;serif" w:hAnsi="Times New Roman;Times;serif"/>
          <w:b w:val="false"/>
          <w:i/>
          <w:sz w:val="20"/>
        </w:rPr>
      </w:pPr>
      <w:r>
        <w:rPr>
          <w:rFonts w:ascii="Times New Roman;Times;serif" w:hAnsi="Times New Roman;Times;serif"/>
          <w:b w:val="false"/>
          <w:i/>
          <w:sz w:val="20"/>
        </w:rPr>
        <w:t>LONG-LIVED ASSETS</w:t>
      </w:r>
    </w:p>
    <w:p>
      <w:pPr>
        <w:pStyle w:val="TextBody"/>
        <w:bidi w:val="0"/>
        <w:spacing w:before="0" w:after="200"/>
        <w:ind w:left="0" w:right="0" w:firstLine="360"/>
        <w:jc w:val="both"/>
        <w:rPr/>
      </w:pPr>
      <w:r>
        <w:rPr/>
        <w:t> </w:t>
      </w:r>
      <w:r>
        <w:rPr>
          <w:rFonts w:ascii="Times New Roman;Times;serif" w:hAnsi="Times New Roman;Times;serif"/>
          <w:sz w:val="20"/>
        </w:rPr>
        <w:t xml:space="preserve">The Company follows FASB ASC Topic 360-10, </w:t>
      </w:r>
      <w:r>
        <w:rPr>
          <w:rFonts w:ascii="Times New Roman;Times;serif" w:hAnsi="Times New Roman;Times;serif"/>
          <w:i/>
          <w:sz w:val="20"/>
        </w:rPr>
        <w:t>Property, Plant, and Equipment,</w:t>
      </w:r>
      <w:r>
        <w:rPr>
          <w:rFonts w:ascii="Times New Roman;Times;serif" w:hAnsi="Times New Roman;Times;serif"/>
          <w:sz w:val="20"/>
        </w:rPr>
        <w:t xml:space="preserve"> in conducting its impairment analyses. The Company reviews the recoverability of long-lived assets, primarily real estate, and real estate held for sale,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the difference of carrying value and fair value less cost to sell.</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PURCHASE ACCOUNTING FOR ACQUISITIONS OF REAL ESTATE SUBJECT TO A LEASE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Investments in real estate are carried at cost less accumulated depreciation, amortization,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Clarifying the Definition of a Business,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the lease includes bargain renewal options that are likely to be exercised, in which case the Company includes such renewal periods in the amortization period utilized. The Company considers both qualitative and quantitative factors in considering if a lease contains a bargain renewal option and the likelihood of a tenant exercising such option.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ASSETS HELD FOR SALE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Investments in real estate which are determined to be “held for sale” pursuant to FASB Topic 360-10, </w:t>
      </w:r>
      <w:r>
        <w:rPr>
          <w:rFonts w:ascii="Times New Roman;Times;serif" w:hAnsi="Times New Roman;Times;serif"/>
          <w:i/>
          <w:sz w:val="20"/>
        </w:rPr>
        <w:t>Property, Plant, and Equipment</w:t>
      </w:r>
      <w:r>
        <w:rPr>
          <w:rFonts w:ascii="Times New Roman;Times;serif" w:hAnsi="Times New Roman;Times;serif"/>
          <w:sz w:val="20"/>
        </w:rPr>
        <w:t xml:space="preserve"> are reported separately on the consolidated balance sheets at the lesser of carrying value or fair value, less costs to sell. Real estate investments classified as held for sale are not depreciated.</w:t>
      </w:r>
    </w:p>
    <w:p>
      <w:pPr>
        <w:pStyle w:val="TextBody"/>
        <w:bidi w:val="0"/>
        <w:spacing w:before="0" w:after="200"/>
        <w:ind w:left="0" w:right="0" w:hanging="0"/>
        <w:jc w:val="both"/>
        <w:rPr>
          <w:rFonts w:ascii="Times New Roman;Times;serif" w:hAnsi="Times New Roman;Times;serif"/>
          <w:b w:val="false"/>
          <w:i/>
          <w:sz w:val="20"/>
        </w:rPr>
      </w:pPr>
      <w:r>
        <w:rPr>
          <w:rFonts w:ascii="Times New Roman;Times;serif" w:hAnsi="Times New Roman;Times;serif"/>
          <w:b w:val="false"/>
          <w:i/>
          <w:sz w:val="20"/>
        </w:rPr>
        <w:t>SALES OF REAL ESTATE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gains on dispositions of assets. In accordance with the FASB guidance, gains or losses on sales of real estate are generally recognized using the full accrual method.</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PROPERTY LEASE REVENUE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rental arrangements associated with the Company’s property portfolio are generally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September 30, 2026 and December 31, 2025, the Company’s allowance for doubtful accounts totaled $0.3 million and $0.2 million, respectively. There was no bad debt expense charged to revenue for the three months ended September 30, 2026, compared to a benefit of $0.1 million for the three months ended September 30, 2025. Bad debt expense charged to revenue totaled less than $0.1 million and $0.1 million for the nine months ended September 30, 2026 and 2025, respectively.</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SALES-TYPE LEASES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Certain rental arrangements associated with the Company’s property portfolio qualify as sales-type leases. The net investment in sales-type leases is initially measured at the present value of the fixed and determinable lease payments, including any guaranteed or unguaranteed residual value of the asset at the end of the lease, discounted at the rate implicit in the lease. Costs associated with such acquisitions are capitalized and recorded within Commercial Loans and Investments on the Company’s consolidated balance sheets. The associated interest income from sales-type leases is recorded within Interest Income from Commercial Loans and Investments on the Company’s consolidated statements of operations.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COMMERCIAL LOANS AND INVESTMENTS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Investments in commercial loans and investments held for investment are recorded at historical cost, net of unaccreted origination costs and current expected credit losses (“CECL”) reserve.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Pursuant to ASC 326, </w:t>
      </w:r>
      <w:r>
        <w:rPr>
          <w:rFonts w:ascii="Times New Roman;Times;serif" w:hAnsi="Times New Roman;Times;serif"/>
          <w:i/>
          <w:sz w:val="20"/>
        </w:rPr>
        <w:t>Financial Instruments - Credit Losses</w:t>
      </w:r>
      <w:r>
        <w:rPr>
          <w:rFonts w:ascii="Times New Roman;Times;serif" w:hAnsi="Times New Roman;Times;serif"/>
          <w:sz w:val="20"/>
        </w:rPr>
        <w:t>, the Company measures and records a provision for CECL each time a new investment, including sales-type lease investments,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Sales of participations in commercial loans and investments are evaluated for achievement of the characteristics of participating interest pursuant to ASC 860, </w:t>
      </w:r>
      <w:r>
        <w:rPr>
          <w:rFonts w:ascii="Times New Roman;Times;serif" w:hAnsi="Times New Roman;Times;serif"/>
          <w:i/>
          <w:sz w:val="20"/>
        </w:rPr>
        <w:t>Transfers and Servicing</w:t>
      </w:r>
      <w:r>
        <w:rPr>
          <w:rFonts w:ascii="Times New Roman;Times;serif" w:hAnsi="Times New Roman;Times;serif"/>
          <w:sz w:val="20"/>
        </w:rPr>
        <w:t>. If the sale of a participation has all of the characteristics of a participating interest, it achieves sale accounting, and the commercial loan or investment is presented net of the participating interest. If the sale of a participation does not have all of the characteristics of a participating interest, it does not achieve sale accounting and is treated as a secured borrowing. As of September 30, 2026, the Company’s participation in commercial loans and investments purchased by a third-party did not achieve sale accounting and has been presented as an Obligation under Participation Agreement within the liabilities portion of the Company’s consolidated balance sheets.</w:t>
      </w:r>
    </w:p>
    <w:p>
      <w:pPr>
        <w:pStyle w:val="TextBody"/>
        <w:pBdr/>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RECOGNITION OF INTEREST INCOME FROM COMMERCIAL LOANS AND INVESTMENTS</w:t>
      </w:r>
    </w:p>
    <w:p>
      <w:pPr>
        <w:pStyle w:val="TextBody"/>
        <w:pBdr/>
        <w:shd w:fill="FFFFFF" w:val="clear"/>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Interest income on commercial loans and investments includes interest payments made by the borrower and the accretion of loan origination fees, offset by the amortization of loan costs, if any. Interest payments are accrued based on the actual coupon rate and the outstanding principal balance and purchase discounts and loan origination fees are accreted into income using the effective yield method, adjusted for prepayments.</w:t>
      </w:r>
    </w:p>
    <w:p>
      <w:pPr>
        <w:pStyle w:val="TextBody"/>
        <w:shd w:fill="FFFFFF" w:val="clear"/>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OPERATING LAND LEASE EXPENSE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The Company is the lessee under operating land leases for certain of its properties, which leases are classified as operating leases pursuant to FASB ASC Topic 842, </w:t>
      </w:r>
      <w:r>
        <w:rPr>
          <w:rFonts w:ascii="Times New Roman;Times;serif" w:hAnsi="Times New Roman;Times;serif"/>
          <w:i/>
          <w:sz w:val="20"/>
        </w:rPr>
        <w:t>Leases</w:t>
      </w:r>
      <w:r>
        <w:rPr>
          <w:rFonts w:ascii="Times New Roman;Times;serif" w:hAnsi="Times New Roman;Times;serif"/>
          <w:sz w:val="20"/>
        </w:rPr>
        <w:t>. The corresponding lease expense is recognized on a straight-line basis over the term of the lease and is included in real estate expenses in the accompanying consolidated statements of operations.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CASH AND CASH EQUIVALENTS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Cash and cash equivalents include cash on hand, bank demand accounts, and money market accounts having original maturities of 90 days or less. The Company’s bank balances as of September 30, 2026 and December 31, 2025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RESTRICTED CASH</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Restricted cash totaled $19.1 million as of September 30, 2026, all of which is being held in interest, real estate tax, insurance, and/or capital expenditure reserve accounts related to the Company’s portfolio of commercial loans and investments.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DERIVATIVE FINANCIAL INSTRUMENTS AND HEDGING ACTIVITY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The Company accounts for its cash flow hedging derivatives in accordance with FASB ASC Topic 815-20, </w:t>
      </w:r>
      <w:r>
        <w:rPr>
          <w:rFonts w:ascii="Times New Roman;Times;serif" w:hAnsi="Times New Roman;Times;serif"/>
          <w:i/>
          <w:sz w:val="20"/>
        </w:rPr>
        <w:t>Derivatives and Hedging</w:t>
      </w:r>
      <w:r>
        <w:rPr>
          <w:rFonts w:ascii="Times New Roman;Times;serif" w:hAnsi="Times New Roman;Times;serif"/>
          <w:sz w:val="20"/>
        </w:rPr>
        <w:t>. Depending upon the hedge’s value at each balance sheet date, the derivatives are included in either other assets or 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14, “Interest Rate Swaps”).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FAIR VALUE OF FINANCIAL INSTRUMENTS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carrying amounts of the Company’s financial assets and liabilities including cash and cash equivalents, restricted cash, accounts receivable included in other assets, accounts payable, and accrued expenses and other liabilities as of September 30, 2026 and December 31, 2025, approximate fair value because of the short maturity of these instruments. The carrying value of the Revolving Facility, hereinafter defined, approximates current market rates for revolving credit arrangements with similar risks and maturities. The Company estimates the fair value of its commercial loans and investments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FAIR VALUE MEASUREMENTS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Company’s estimates of fair value of financial and non-financial assets and liabilities are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 is based upon 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tc>
      </w:tr>
    </w:tbl>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EARNINGS PER COMMON SHARE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Basic earnings per common share is computed by dividing net income (loss) attributable to the Company for the period by the weighted average number of shares of common stock outstanding for the period. Diluted earnings per common share is determined based on the assumption that the OP Units issued are redeemed for shares of our common stock on a one-for-one basis.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may, from time to time, sell shares of common stock under its Common Stock ATM Program (hereinafter defined) through forward sale agreements. Forward sale agreements that meet the criteria for equity classification under FASB ASC Topic 480, Distinguishing Liabilities from Equity, and FASB ASC Topic 815-40, Derivatives and Hedging – Contracts in Entity’s Own Equity, are classified as equity, and no amounts are recognized in the consolidated financial statements until settlement. Prior to settlement, the potential dilutive effect of any outstanding forward sale agreements is reflected in diluted earnings per common share using the treasury stock method in accordance with FASB ASC Topic 260, Earnings Per Share.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has elected to be taxed as a REIT for U.S. federal income tax purposes under the Code. We believe the Company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The Company may form one or more taxable REIT subsidiaries (“TRSs”), which will be subject to applicable U.S. federal, state and local corporate income tax on their taxable income. For the periods presented, the Company did not have any TRSs that would be subject to taxation.</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CONCENTRATION OF CREDIT RISK</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Certain individual tenants in the Company’s portfolio of properties accounted for more than 10% of lease income from the Company’s income properties during the nine months ended September 30, 2026 and 2025.</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During the nine months ended September 30, 2026, Lowe’s and Dick’s Sporting Goods accounted for 13% and 10% of lease income revenue, respectively. During the nine months ended September 30, 2025, </w:t>
      </w:r>
      <w:r>
        <w:rPr>
          <w:rFonts w:ascii="Times New Roman;Times;serif" w:hAnsi="Times New Roman;Times;serif"/>
          <w:b w:val="false"/>
          <w:i w:val="false"/>
          <w:caps w:val="false"/>
          <w:smallCaps w:val="false"/>
          <w:sz w:val="20"/>
        </w:rPr>
        <w:t>Lowe’s</w:t>
      </w:r>
      <w:r>
        <w:rPr>
          <w:rFonts w:ascii="Times New Roman;Times;serif" w:hAnsi="Times New Roman;Times;serif"/>
          <w:sz w:val="20"/>
        </w:rPr>
        <w:t xml:space="preserve"> and Dick’s Sporting Goods each accounted for 11% of lease income revenue.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of September 30, 2026 and December 31, 2025, 14% of the Company’s income property portfolio, based on square footage, was located in the state of Texas.</w:t>
      </w:r>
    </w:p>
    <w:p>
      <w:pPr>
        <w:pStyle w:val="TextBody"/>
        <w:bidi w:val="0"/>
        <w:spacing w:lineRule="auto" w:line="271" w:before="0" w:after="200"/>
        <w:ind w:left="0" w:right="0" w:hanging="0"/>
        <w:jc w:val="both"/>
        <w:rPr>
          <w:rFonts w:ascii="Times New Roman;Times;serif" w:hAnsi="Times New Roman;Times;serif"/>
          <w:i/>
          <w:sz w:val="20"/>
        </w:rPr>
      </w:pPr>
      <w:r>
        <w:rPr>
          <w:rFonts w:ascii="Times New Roman;Times;serif" w:hAnsi="Times New Roman;Times;serif"/>
          <w:i/>
          <w:sz w:val="20"/>
        </w:rPr>
        <w:t>RECLASSIFICATIONS</w:t>
      </w:r>
    </w:p>
    <w:p>
      <w:pPr>
        <w:pStyle w:val="TextBody"/>
        <w:bidi w:val="0"/>
        <w:spacing w:lineRule="auto" w:line="271" w:before="0" w:after="200"/>
        <w:ind w:left="0" w:right="0" w:firstLine="360"/>
        <w:jc w:val="both"/>
        <w:rPr>
          <w:rFonts w:ascii="Times New Roman;Times;serif" w:hAnsi="Times New Roman;Times;serif"/>
          <w:sz w:val="20"/>
        </w:rPr>
      </w:pPr>
      <w:r>
        <w:rPr>
          <w:rFonts w:ascii="Times New Roman;Times;serif" w:hAnsi="Times New Roman;Times;serif"/>
          <w:sz w:val="20"/>
        </w:rPr>
        <w:t>Certain items in the prior period’s consolidated statements of cash flows have been reclassified to conform to the presentation for the three and nine months ended September 30, 2026. Specifically, (i) cash received for commercial loan reserves was reclassified from cash flow from operating activities to cash flow from investing activities and (ii) cash used for investments in and improvements to real estate was reclassified from cash used for the acquisition of real estate. There was no impact to retained earnings as a result of the reclassifications.</w:t>
      </w:r>
    </w:p>
    <w:p>
      <w:pPr>
        <w:pStyle w:val="TextBody"/>
        <w:bidi w:val="0"/>
        <w:spacing w:lineRule="auto" w:line="271" w:before="0" w:after="200"/>
        <w:ind w:left="0" w:right="0" w:hanging="0"/>
        <w:jc w:val="both"/>
        <w:rPr>
          <w:rFonts w:ascii="Times New Roman;Times;serif" w:hAnsi="Times New Roman;Times;serif"/>
          <w:i/>
          <w:sz w:val="20"/>
        </w:rPr>
      </w:pPr>
      <w:r>
        <w:rPr>
          <w:rFonts w:ascii="Times New Roman;Times;serif" w:hAnsi="Times New Roman;Times;serif"/>
          <w:i/>
          <w:sz w:val="20"/>
        </w:rPr>
        <w:t>RECENT ACCOUNTING DEVELOPMENTS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 Reporting Comprehensive Income - Expense Disaggregation Disclosures (Subtopic 220-40)</w:t>
      </w:r>
      <w:r>
        <w:rPr>
          <w:rFonts w:ascii="Times New Roman;Times;serif" w:hAnsi="Times New Roman;Times;serif"/>
          <w:sz w:val="20"/>
        </w:rPr>
        <w:t xml:space="preserve"> which requires additional disclosures regarding public company’s expenses and addresses requests from investors for more detailed information about the types of expenses (e.g., purchases of inventory, employee compensation, depreciation, amortization, and depletion) in commonly presented expense captions (e.g., cost of sales; selling, general, and administrative (SG&amp;A); and research and development (R&amp;D)). ASU </w:t>
      </w:r>
      <w:r>
        <w:rPr>
          <w:rFonts w:ascii="Times New Roman;Times;serif" w:hAnsi="Times New Roman;Times;serif"/>
          <w:b w:val="false"/>
          <w:i w:val="false"/>
          <w:caps w:val="false"/>
          <w:smallCaps w:val="false"/>
          <w:sz w:val="20"/>
        </w:rPr>
        <w:t>2024-03</w:t>
      </w:r>
      <w:r>
        <w:rPr>
          <w:rFonts w:ascii="Times New Roman;Times;serif" w:hAnsi="Times New Roman;Times;serif"/>
          <w:sz w:val="20"/>
        </w:rPr>
        <w:t xml:space="preserve"> is effective for annual periods beginning after December 15, 2026 and interim reporting periods beginning after December 15, 2027. The Company is currently evaluating the impact of this guidance on its consolidated financial statements and related disclosures.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lineRule="auto" w:line="271" w:before="0" w:after="200"/>
        <w:ind w:left="0" w:right="0" w:hanging="0"/>
        <w:jc w:val="left"/>
        <w:rPr>
          <w:rFonts w:ascii="Times New Roman;Times;serif" w:hAnsi="Times New Roman;Times;serif"/>
          <w:b/>
          <w:sz w:val="20"/>
        </w:rPr>
      </w:pPr>
      <w:bookmarkStart w:id="917" w:name="Tc_lafpLWmgGUWK0H2wLGq69g_9_2"/>
      <w:bookmarkStart w:id="918" w:name="Tc_hKygjpdwu0u8A7r46S_GQQ_9_0"/>
      <w:bookmarkStart w:id="919" w:name="Tc_9I45-S2jjEm1dGwk8frbgw_8_0"/>
      <w:bookmarkStart w:id="920" w:name="Tc_O6POjIM_s0aetbXQAic0Yg_7_0"/>
      <w:bookmarkStart w:id="921" w:name="Tc_IZnAJHo2zEipvyl89-3jZA_6_0"/>
      <w:bookmarkStart w:id="922" w:name="Tc_QN9w-mKL1EiubJbSFBle1w_5_0"/>
      <w:bookmarkStart w:id="923" w:name="Tc_BHjCEcBteUWBwgU54GcBFw_4_0"/>
      <w:bookmarkStart w:id="924" w:name="Tc_LXk_cun7W0Wa_Z6y06G5zw_3_0"/>
      <w:bookmarkStart w:id="925" w:name="Tc_rMEIsOdHU0eIcfO5np9w2w_2_2"/>
      <w:bookmarkStart w:id="926" w:name="Tc_XkQCw3P1ZEeOG9NGvE1q9Q_2_0"/>
      <w:bookmarkStart w:id="927" w:name="Tc_VqHV6p5Bx0SM-44UOC8d5A_1_2"/>
      <w:bookmarkStart w:id="928" w:name="Tc_03nP4k_SJkOCxVjpwqOstw_1_0"/>
      <w:bookmarkStart w:id="929" w:name="_8aa4c89b_a7a5_4115_a800_11b844a4fb49"/>
      <w:bookmarkStart w:id="930" w:name="Tc_tYxZ2DCe1EaLXkmrgqkfQQ_6_11"/>
      <w:bookmarkStart w:id="931" w:name="Tc_KinNV9Oq_UqRygcpTMxlIw_6_8"/>
      <w:bookmarkStart w:id="932" w:name="Tc_p3-P1DgVDE2dtoCPBCJB2g_6_5"/>
      <w:bookmarkStart w:id="933" w:name="Tc_KcoTg-JJ2Eydtb6-khJWMQ_6_2"/>
      <w:bookmarkStart w:id="934" w:name="Tc_6xg0NrN4UUSwPuAKnCFQsQ_6_0"/>
      <w:bookmarkStart w:id="935" w:name="Tc_SlWC8TX5IUaAN2yMuxfzUA_5_0"/>
      <w:bookmarkStart w:id="936" w:name="Tc_FAkpzlVZPUCDg4STMALV_Q_4_11"/>
      <w:bookmarkStart w:id="937" w:name="Tc_jhqVIvEvF0-pmHhACJexgg_4_8"/>
      <w:bookmarkStart w:id="938" w:name="Tc_8jMQSBJdXkGFfi1EAEgBYA_4_5"/>
      <w:bookmarkStart w:id="939" w:name="Tc_RW4yCi4hlEyWGi5MA5lPXw_4_2"/>
      <w:bookmarkStart w:id="940" w:name="Tc_uc3v_NNX-kGnhlLZhotPbg_4_0"/>
      <w:bookmarkStart w:id="941" w:name="Tc_3sxgVOC8ZUWYPVQenR9I0Q_3_0"/>
      <w:bookmarkStart w:id="942" w:name="Tc__J2DFeEasESSVmZ1aN_KdQ_2_11"/>
      <w:bookmarkStart w:id="943" w:name="Tc_C7RtoQj2Z0St8BTzVI349Q_2_8"/>
      <w:bookmarkStart w:id="944" w:name="Tc_MmSZz7IzJ0uHmM66IuSXYg_2_5"/>
      <w:bookmarkStart w:id="945" w:name="Tc_V76LjUU-9UC5McRGEvdrIw_2_2"/>
      <w:bookmarkStart w:id="946" w:name="Tc_sLREUBGDH0uvXTre4FgPng_1_8"/>
      <w:bookmarkStart w:id="947" w:name="Tc_2I3GS8Yj8kuhaJBW6oBHuw_1_2"/>
      <w:bookmarkStart w:id="948" w:name="_de9262ed_b167_4eb1_9b06_d638c261c237"/>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r>
        <w:rPr>
          <w:rFonts w:ascii="Times New Roman;Times;serif" w:hAnsi="Times New Roman;Times;serif"/>
          <w:b/>
          <w:sz w:val="20"/>
        </w:rPr>
        <w:t>NOTE 3. PROPERTY PORTFOLIO</w:t>
      </w:r>
    </w:p>
    <w:p>
      <w:pPr>
        <w:pStyle w:val="TextBody"/>
        <w:bidi w:val="0"/>
        <w:spacing w:lineRule="auto" w:line="271" w:before="0" w:after="240"/>
        <w:ind w:left="0" w:right="0" w:firstLine="360"/>
        <w:jc w:val="both"/>
        <w:rPr>
          <w:rFonts w:ascii="Times New Roman;Times;serif" w:hAnsi="Times New Roman;Times;serif"/>
          <w:sz w:val="20"/>
        </w:rPr>
      </w:pPr>
      <w:r>
        <w:rPr>
          <w:rFonts w:ascii="Times New Roman;Times;serif" w:hAnsi="Times New Roman;Times;serif"/>
          <w:sz w:val="20"/>
        </w:rPr>
        <w:t>As of September 30, 2026, the Company’s income property portfolio consisted of 130 properties, including five properties classified as commercial loans and investments, with total square footage of 4.8 million.</w:t>
      </w:r>
    </w:p>
    <w:p>
      <w:pPr>
        <w:pStyle w:val="TextBody"/>
        <w:bidi w:val="0"/>
        <w:spacing w:lineRule="auto" w:line="271" w:before="0" w:after="240"/>
        <w:ind w:left="0" w:right="0" w:firstLine="360"/>
        <w:jc w:val="both"/>
        <w:rPr>
          <w:rFonts w:ascii="Times New Roman;Times;serif" w:hAnsi="Times New Roman;Times;serif"/>
          <w:sz w:val="20"/>
        </w:rPr>
      </w:pPr>
      <w:r>
        <w:rPr>
          <w:rFonts w:ascii="Times New Roman;Times;serif" w:hAnsi="Times New Roman;Times;serif"/>
          <w:sz w:val="20"/>
        </w:rPr>
        <w:t>Leasing revenue consists of long-term rental revenue from net leased commercial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pStyle w:val="TextBody"/>
        <w:bidi w:val="0"/>
        <w:spacing w:lineRule="auto" w:line="271" w:before="0" w:after="200"/>
        <w:ind w:left="0" w:right="0" w:firstLine="360"/>
        <w:jc w:val="both"/>
        <w:rPr>
          <w:rFonts w:ascii="Times New Roman;Times;serif" w:hAnsi="Times New Roman;Times;serif"/>
          <w:sz w:val="20"/>
        </w:rPr>
      </w:pPr>
      <w:r>
        <w:rPr>
          <w:rFonts w:ascii="Times New Roman;Times;serif" w:hAnsi="Times New Roman;Times;serif"/>
          <w:sz w:val="20"/>
        </w:rPr>
        <w:t>The components of leasing revenue are as follows (in thousands):</w:t>
      </w:r>
    </w:p>
    <w:p>
      <w:pPr>
        <w:pStyle w:val="TextBody"/>
        <w:bidi w:val="0"/>
        <w:spacing w:before="0" w:after="0"/>
        <w:ind w:left="0" w:right="0" w:hanging="0"/>
        <w:jc w:val="left"/>
        <w:rPr/>
      </w:pPr>
      <w:r>
        <w:rPr/>
        <w:t>​</w:t>
      </w:r>
    </w:p>
    <w:tbl>
      <w:tblPr>
        <w:tblW w:w="9946" w:type="dxa"/>
        <w:jc w:val="left"/>
        <w:tblInd w:w="0" w:type="dxa"/>
        <w:tblLayout w:type="fixed"/>
        <w:tblCellMar>
          <w:top w:w="0" w:type="dxa"/>
          <w:left w:w="0" w:type="dxa"/>
          <w:bottom w:w="0" w:type="dxa"/>
          <w:right w:w="0" w:type="dxa"/>
        </w:tblCellMar>
      </w:tblPr>
      <w:tblGrid>
        <w:gridCol w:w="2146"/>
        <w:gridCol w:w="109"/>
        <w:gridCol w:w="420"/>
        <w:gridCol w:w="1350"/>
        <w:gridCol w:w="111"/>
        <w:gridCol w:w="420"/>
        <w:gridCol w:w="1350"/>
        <w:gridCol w:w="346"/>
        <w:gridCol w:w="420"/>
        <w:gridCol w:w="1350"/>
        <w:gridCol w:w="109"/>
        <w:gridCol w:w="380"/>
        <w:gridCol w:w="1435"/>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62710" cy="175260"/>
                      <wp:effectExtent l="0" t="0" r="0" b="0"/>
                      <wp:wrapNone/>
                      <wp:docPr id="143" name="Frame143"/>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66700" cy="175260"/>
                      <wp:effectExtent l="0" t="0" r="0" b="0"/>
                      <wp:wrapNone/>
                      <wp:docPr id="145" name="Frame145"/>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57250" cy="175260"/>
                      <wp:effectExtent l="0" t="0" r="0" b="0"/>
                      <wp:wrapNone/>
                      <wp:docPr id="146" name="Frame146"/>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70485" cy="175260"/>
                      <wp:effectExtent l="0" t="0" r="0" b="0"/>
                      <wp:wrapNone/>
                      <wp:docPr id="147" name="Frame147"/>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66700" cy="175260"/>
                      <wp:effectExtent l="0" t="0" r="0" b="0"/>
                      <wp:wrapNone/>
                      <wp:docPr id="148" name="Frame148"/>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57250" cy="175260"/>
                      <wp:effectExtent l="0" t="0" r="0" b="0"/>
                      <wp:wrapNone/>
                      <wp:docPr id="149" name="Frame149"/>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66700" cy="175260"/>
                      <wp:effectExtent l="0" t="0" r="0" b="0"/>
                      <wp:wrapNone/>
                      <wp:docPr id="151" name="Frame151"/>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857250" cy="175260"/>
                      <wp:effectExtent l="0" t="0" r="0" b="0"/>
                      <wp:wrapNone/>
                      <wp:docPr id="152" name="Frame152"/>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41300" cy="175260"/>
                      <wp:effectExtent l="0" t="0" r="0" b="0"/>
                      <wp:wrapNone/>
                      <wp:docPr id="154" name="Frame154"/>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1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911225" cy="175260"/>
                      <wp:effectExtent l="0" t="0" r="0" b="0"/>
                      <wp:wrapNone/>
                      <wp:docPr id="155" name="Frame155"/>
                      <a:graphic xmlns:a="http://schemas.openxmlformats.org/drawingml/2006/main">
                        <a:graphicData uri="http://schemas.microsoft.com/office/word/2010/wordprocessingShape">
                          <wps:wsp>
                            <wps:cNvSpPr txBox="1"/>
                            <wps:spPr>
                              <a:xfrm>
                                <a:off x="0" y="0"/>
                                <a:ext cx="911225"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lineRule="auto" w:line="271" w:before="0" w:after="0"/>
              <w:ind w:left="0" w:right="0" w:hanging="0"/>
              <w:jc w:val="left"/>
              <w:rPr/>
            </w:pPr>
            <w:r>
              <w:rPr/>
              <w:t>​</w:t>
            </w:r>
          </w:p>
        </w:tc>
        <w:tc>
          <w:tcPr>
            <w:tcW w:w="109" w:type="dxa"/>
            <w:tcBorders/>
            <w:vAlign w:val="center"/>
          </w:tcPr>
          <w:p>
            <w:pPr>
              <w:pStyle w:val="TableContents"/>
              <w:bidi w:val="0"/>
              <w:spacing w:lineRule="auto" w:line="271" w:before="0" w:after="0"/>
              <w:ind w:left="0" w:right="0" w:hanging="0"/>
              <w:jc w:val="left"/>
              <w:rPr/>
            </w:pPr>
            <w:r>
              <w:rPr/>
              <w:t>​</w:t>
            </w:r>
          </w:p>
        </w:tc>
        <w:tc>
          <w:tcPr>
            <w:tcW w:w="3651" w:type="dxa"/>
            <w:gridSpan w:val="5"/>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lineRule="auto" w:line="271" w:before="0" w:after="0"/>
              <w:ind w:left="0" w:right="0" w:hanging="0"/>
              <w:jc w:val="left"/>
              <w:rPr/>
            </w:pPr>
            <w:r>
              <w:rPr/>
              <w:t>  ​ ​ ​</w:t>
            </w:r>
          </w:p>
        </w:tc>
        <w:tc>
          <w:tcPr>
            <w:tcW w:w="3694" w:type="dxa"/>
            <w:gridSpan w:val="5"/>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2146" w:type="dxa"/>
            <w:tcBorders/>
            <w:vAlign w:val="center"/>
          </w:tcPr>
          <w:p>
            <w:pPr>
              <w:pStyle w:val="TableContents"/>
              <w:bidi w:val="0"/>
              <w:spacing w:lineRule="auto" w:line="271" w:before="0" w:after="0"/>
              <w:ind w:left="0" w:right="0" w:hanging="0"/>
              <w:jc w:val="left"/>
              <w:rPr/>
            </w:pPr>
            <w:r>
              <w:rPr/>
              <w:t>​</w:t>
            </w:r>
          </w:p>
        </w:tc>
        <w:tc>
          <w:tcPr>
            <w:tcW w:w="109" w:type="dxa"/>
            <w:tcBorders/>
            <w:vAlign w:val="center"/>
          </w:tcPr>
          <w:p>
            <w:pPr>
              <w:pStyle w:val="TableContents"/>
              <w:bidi w:val="0"/>
              <w:spacing w:lineRule="auto" w:line="271"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11" w:type="dxa"/>
            <w:tcBorders/>
            <w:vAlign w:val="center"/>
          </w:tcPr>
          <w:p>
            <w:pPr>
              <w:pStyle w:val="TableContents"/>
              <w:bidi w:val="0"/>
              <w:spacing w:lineRule="auto" w:line="271"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46" w:type="dxa"/>
            <w:tcBorders/>
            <w:vAlign w:val="center"/>
          </w:tcPr>
          <w:p>
            <w:pPr>
              <w:pStyle w:val="TableContents"/>
              <w:bidi w:val="0"/>
              <w:spacing w:lineRule="auto" w:line="271"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lineRule="auto" w:line="271" w:before="0" w:after="0"/>
              <w:ind w:left="0" w:right="0" w:hanging="0"/>
              <w:jc w:val="left"/>
              <w:rPr/>
            </w:pPr>
            <w:r>
              <w:rPr/>
              <w:t>​</w:t>
            </w:r>
          </w:p>
        </w:tc>
        <w:tc>
          <w:tcPr>
            <w:tcW w:w="1815" w:type="dxa"/>
            <w:gridSpan w:val="2"/>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r>
      <w:tr>
        <w:trPr/>
        <w:tc>
          <w:tcPr>
            <w:tcW w:w="2146"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420" w:type="dxa"/>
            <w:tcBorders/>
            <w:shd w:fill="CCEEFF" w:val="clear"/>
            <w:vAlign w:val="center"/>
          </w:tcPr>
          <w:p>
            <w:pPr>
              <w:pStyle w:val="TableContents"/>
              <w:bidi w:val="0"/>
              <w:spacing w:lineRule="auto" w:line="271" w:before="0" w:after="0"/>
              <w:ind w:left="0" w:right="0" w:hanging="0"/>
              <w:jc w:val="left"/>
              <w:rPr/>
            </w:pPr>
            <w:r>
              <w:rPr/>
              <w:t>​</w:t>
            </w:r>
          </w:p>
        </w:tc>
        <w:tc>
          <w:tcPr>
            <w:tcW w:w="1350" w:type="dxa"/>
            <w:tcBorders/>
            <w:shd w:fill="CCEEFF" w:val="clear"/>
            <w:vAlign w:val="center"/>
          </w:tcPr>
          <w:p>
            <w:pPr>
              <w:pStyle w:val="TableContents"/>
              <w:bidi w:val="0"/>
              <w:spacing w:lineRule="auto" w:line="271" w:before="0" w:after="0"/>
              <w:ind w:left="0" w:right="0" w:hanging="0"/>
              <w:jc w:val="right"/>
              <w:rPr/>
            </w:pPr>
            <w:r>
              <w:rPr/>
              <w:t>​</w:t>
            </w:r>
          </w:p>
        </w:tc>
        <w:tc>
          <w:tcPr>
            <w:tcW w:w="111" w:type="dxa"/>
            <w:tcBorders/>
            <w:shd w:fill="CCEEFF" w:val="clear"/>
            <w:vAlign w:val="center"/>
          </w:tcPr>
          <w:p>
            <w:pPr>
              <w:pStyle w:val="TableContents"/>
              <w:bidi w:val="0"/>
              <w:spacing w:lineRule="auto" w:line="271" w:before="0" w:after="0"/>
              <w:ind w:left="0" w:right="0" w:hanging="0"/>
              <w:jc w:val="right"/>
              <w:rPr/>
            </w:pPr>
            <w:r>
              <w:rPr/>
              <w:t>​</w:t>
            </w:r>
          </w:p>
        </w:tc>
        <w:tc>
          <w:tcPr>
            <w:tcW w:w="420" w:type="dxa"/>
            <w:tcBorders/>
            <w:shd w:fill="CCEEFF" w:val="clear"/>
            <w:vAlign w:val="center"/>
          </w:tcPr>
          <w:p>
            <w:pPr>
              <w:pStyle w:val="TableContents"/>
              <w:bidi w:val="0"/>
              <w:spacing w:lineRule="auto" w:line="271" w:before="0" w:after="0"/>
              <w:ind w:left="0" w:right="0" w:hanging="0"/>
              <w:jc w:val="left"/>
              <w:rPr/>
            </w:pPr>
            <w:r>
              <w:rPr/>
              <w:t>​</w:t>
            </w:r>
          </w:p>
        </w:tc>
        <w:tc>
          <w:tcPr>
            <w:tcW w:w="1350" w:type="dxa"/>
            <w:tcBorders/>
            <w:shd w:fill="CCEEFF" w:val="clear"/>
            <w:vAlign w:val="center"/>
          </w:tcPr>
          <w:p>
            <w:pPr>
              <w:pStyle w:val="TableContents"/>
              <w:bidi w:val="0"/>
              <w:spacing w:lineRule="auto" w:line="271" w:before="0" w:after="0"/>
              <w:ind w:left="0" w:right="0" w:hanging="0"/>
              <w:jc w:val="right"/>
              <w:rPr/>
            </w:pPr>
            <w:r>
              <w:rPr/>
              <w:t>​</w:t>
            </w:r>
          </w:p>
        </w:tc>
        <w:tc>
          <w:tcPr>
            <w:tcW w:w="346" w:type="dxa"/>
            <w:tcBorders/>
            <w:shd w:fill="CCEEFF" w:val="clear"/>
            <w:vAlign w:val="center"/>
          </w:tcPr>
          <w:p>
            <w:pPr>
              <w:pStyle w:val="TableContents"/>
              <w:bidi w:val="0"/>
              <w:spacing w:lineRule="auto" w:line="271" w:before="0" w:after="0"/>
              <w:ind w:left="0" w:right="0" w:hanging="0"/>
              <w:jc w:val="left"/>
              <w:rPr/>
            </w:pPr>
            <w:r>
              <w:rPr/>
              <w:t>​</w:t>
            </w:r>
          </w:p>
        </w:tc>
        <w:tc>
          <w:tcPr>
            <w:tcW w:w="420" w:type="dxa"/>
            <w:tcBorders/>
            <w:shd w:fill="CCEEFF" w:val="clear"/>
            <w:vAlign w:val="center"/>
          </w:tcPr>
          <w:p>
            <w:pPr>
              <w:pStyle w:val="TableContents"/>
              <w:bidi w:val="0"/>
              <w:spacing w:lineRule="auto" w:line="271" w:before="0" w:after="0"/>
              <w:ind w:left="0" w:right="0" w:hanging="0"/>
              <w:jc w:val="left"/>
              <w:rPr/>
            </w:pPr>
            <w:r>
              <w:rPr/>
              <w:t>​</w:t>
            </w:r>
          </w:p>
        </w:tc>
        <w:tc>
          <w:tcPr>
            <w:tcW w:w="1350" w:type="dxa"/>
            <w:tcBorders/>
            <w:shd w:fill="CCEEFF" w:val="clear"/>
            <w:vAlign w:val="center"/>
          </w:tcPr>
          <w:p>
            <w:pPr>
              <w:pStyle w:val="TableContents"/>
              <w:bidi w:val="0"/>
              <w:spacing w:lineRule="auto" w:line="271" w:before="0" w:after="0"/>
              <w:ind w:left="0" w:right="0" w:hanging="0"/>
              <w:jc w:val="right"/>
              <w:rPr/>
            </w:pPr>
            <w:r>
              <w:rPr/>
              <w:t>​</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380" w:type="dxa"/>
            <w:tcBorders/>
            <w:shd w:fill="CCEEFF" w:val="clear"/>
            <w:vAlign w:val="center"/>
          </w:tcPr>
          <w:p>
            <w:pPr>
              <w:pStyle w:val="TableContents"/>
              <w:bidi w:val="0"/>
              <w:spacing w:lineRule="auto" w:line="271" w:before="0" w:after="0"/>
              <w:ind w:left="0" w:right="0" w:hanging="0"/>
              <w:jc w:val="left"/>
              <w:rPr/>
            </w:pPr>
            <w:r>
              <w:rPr/>
              <w:t>​</w:t>
            </w:r>
          </w:p>
        </w:tc>
        <w:tc>
          <w:tcPr>
            <w:tcW w:w="1435" w:type="dxa"/>
            <w:tcBorders/>
            <w:shd w:fill="CCEEFF" w:val="clear"/>
            <w:vAlign w:val="center"/>
          </w:tcPr>
          <w:p>
            <w:pPr>
              <w:pStyle w:val="TableContents"/>
              <w:bidi w:val="0"/>
              <w:spacing w:lineRule="auto" w:line="271" w:before="0" w:after="0"/>
              <w:ind w:left="0" w:right="0" w:hanging="0"/>
              <w:jc w:val="right"/>
              <w:rPr/>
            </w:pPr>
            <w:r>
              <w:rPr/>
              <w:t>​</w:t>
            </w:r>
          </w:p>
        </w:tc>
      </w:tr>
      <w:tr>
        <w:trPr/>
        <w:tc>
          <w:tcPr>
            <w:tcW w:w="2146"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Lease Payments</w:t>
            </w:r>
          </w:p>
        </w:tc>
        <w:tc>
          <w:tcPr>
            <w:tcW w:w="109" w:type="dxa"/>
            <w:tcBorders/>
            <w:vAlign w:val="center"/>
          </w:tcPr>
          <w:p>
            <w:pPr>
              <w:pStyle w:val="TableContents"/>
              <w:bidi w:val="0"/>
              <w:spacing w:lineRule="auto" w:line="271" w:before="0" w:after="0"/>
              <w:ind w:left="0" w:right="0" w:hanging="0"/>
              <w:jc w:val="left"/>
              <w:rPr/>
            </w:pPr>
            <w:r>
              <w:rPr/>
              <w:t>​</w:t>
            </w:r>
          </w:p>
        </w:tc>
        <w:tc>
          <w:tcPr>
            <w:tcW w:w="420"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11,449</w:t>
            </w:r>
          </w:p>
        </w:tc>
        <w:tc>
          <w:tcPr>
            <w:tcW w:w="111" w:type="dxa"/>
            <w:tcBorders/>
            <w:vAlign w:val="center"/>
          </w:tcPr>
          <w:p>
            <w:pPr>
              <w:pStyle w:val="TableContents"/>
              <w:bidi w:val="0"/>
              <w:spacing w:lineRule="auto" w:line="271" w:before="0" w:after="0"/>
              <w:ind w:left="0" w:right="0" w:hanging="0"/>
              <w:jc w:val="right"/>
              <w:rPr/>
            </w:pPr>
            <w:r>
              <w:rPr/>
              <w:t>​</w:t>
            </w:r>
          </w:p>
        </w:tc>
        <w:tc>
          <w:tcPr>
            <w:tcW w:w="420"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10,628</w:t>
            </w:r>
          </w:p>
        </w:tc>
        <w:tc>
          <w:tcPr>
            <w:tcW w:w="346" w:type="dxa"/>
            <w:tcBorders/>
            <w:vAlign w:val="center"/>
          </w:tcPr>
          <w:p>
            <w:pPr>
              <w:pStyle w:val="TableContents"/>
              <w:bidi w:val="0"/>
              <w:spacing w:lineRule="auto" w:line="271" w:before="0" w:after="0"/>
              <w:ind w:left="0" w:right="0" w:hanging="0"/>
              <w:jc w:val="left"/>
              <w:rPr/>
            </w:pPr>
            <w:r>
              <w:rPr/>
              <w:t>​</w:t>
            </w:r>
          </w:p>
        </w:tc>
        <w:tc>
          <w:tcPr>
            <w:tcW w:w="420"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33,261</w:t>
            </w:r>
          </w:p>
        </w:tc>
        <w:tc>
          <w:tcPr>
            <w:tcW w:w="109" w:type="dxa"/>
            <w:tcBorders/>
            <w:vAlign w:val="center"/>
          </w:tcPr>
          <w:p>
            <w:pPr>
              <w:pStyle w:val="TableContents"/>
              <w:bidi w:val="0"/>
              <w:spacing w:lineRule="auto" w:line="271" w:before="0" w:after="0"/>
              <w:ind w:left="0" w:right="0" w:hanging="0"/>
              <w:jc w:val="left"/>
              <w:rPr/>
            </w:pPr>
            <w:r>
              <w:rPr/>
              <w:t>​</w:t>
            </w:r>
          </w:p>
        </w:tc>
        <w:tc>
          <w:tcPr>
            <w:tcW w:w="380"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31,443</w:t>
            </w:r>
          </w:p>
        </w:tc>
      </w:tr>
      <w:tr>
        <w:trPr/>
        <w:tc>
          <w:tcPr>
            <w:tcW w:w="2146"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Variable Lease Payments</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1,363</w:t>
            </w:r>
          </w:p>
        </w:tc>
        <w:tc>
          <w:tcPr>
            <w:tcW w:w="111" w:type="dxa"/>
            <w:tcBorders/>
            <w:shd w:fill="CCEEFF" w:val="clear"/>
            <w:vAlign w:val="center"/>
          </w:tcPr>
          <w:p>
            <w:pPr>
              <w:pStyle w:val="TableContents"/>
              <w:bidi w:val="0"/>
              <w:spacing w:lineRule="auto" w:line="271"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1,494</w:t>
            </w:r>
          </w:p>
        </w:tc>
        <w:tc>
          <w:tcPr>
            <w:tcW w:w="346" w:type="dxa"/>
            <w:tcBorders/>
            <w:shd w:fill="CCEEFF" w:val="clear"/>
            <w:vAlign w:val="center"/>
          </w:tcPr>
          <w:p>
            <w:pPr>
              <w:pStyle w:val="TableContents"/>
              <w:bidi w:val="0"/>
              <w:spacing w:lineRule="auto" w:line="271"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4,790</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left"/>
              <w:rPr/>
            </w:pPr>
            <w:r>
              <w:rPr/>
              <w:t>​</w:t>
            </w:r>
          </w:p>
        </w:tc>
        <w:tc>
          <w:tcPr>
            <w:tcW w:w="1435"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4,527</w:t>
            </w:r>
          </w:p>
        </w:tc>
      </w:tr>
      <w:tr>
        <w:trPr/>
        <w:tc>
          <w:tcPr>
            <w:tcW w:w="2146"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Total Lease Income</w:t>
            </w:r>
          </w:p>
        </w:tc>
        <w:tc>
          <w:tcPr>
            <w:tcW w:w="109" w:type="dxa"/>
            <w:tcBorders/>
            <w:vAlign w:val="center"/>
          </w:tcPr>
          <w:p>
            <w:pPr>
              <w:pStyle w:val="TableContents"/>
              <w:bidi w:val="0"/>
              <w:spacing w:lineRule="auto" w:line="271"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12,812</w:t>
            </w:r>
          </w:p>
        </w:tc>
        <w:tc>
          <w:tcPr>
            <w:tcW w:w="111" w:type="dxa"/>
            <w:tcBorders/>
            <w:vAlign w:val="center"/>
          </w:tcPr>
          <w:p>
            <w:pPr>
              <w:pStyle w:val="TableContents"/>
              <w:bidi w:val="0"/>
              <w:spacing w:lineRule="auto" w:line="271" w:before="0" w:after="0"/>
              <w:ind w:left="0" w:right="0" w:hanging="0"/>
              <w:jc w:val="right"/>
              <w:rPr/>
            </w:pPr>
            <w:r>
              <w:rPr/>
              <w:t>​</w:t>
            </w:r>
          </w:p>
        </w:tc>
        <w:tc>
          <w:tcPr>
            <w:tcW w:w="420" w:type="dxa"/>
            <w:tcBorders>
              <w:bottom w:val="double" w:sz="6" w:space="0" w:color="000000"/>
            </w:tcBorders>
            <w:tcMar>
              <w:bottom w:w="28" w:type="dxa"/>
            </w:tcM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12,122</w:t>
            </w:r>
          </w:p>
        </w:tc>
        <w:tc>
          <w:tcPr>
            <w:tcW w:w="346" w:type="dxa"/>
            <w:tcBorders/>
            <w:vAlign w:val="center"/>
          </w:tcPr>
          <w:p>
            <w:pPr>
              <w:pStyle w:val="TableContents"/>
              <w:bidi w:val="0"/>
              <w:spacing w:lineRule="auto" w:line="271"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38,051</w:t>
            </w:r>
          </w:p>
        </w:tc>
        <w:tc>
          <w:tcPr>
            <w:tcW w:w="109" w:type="dxa"/>
            <w:tcBorders/>
            <w:vAlign w:val="center"/>
          </w:tcPr>
          <w:p>
            <w:pPr>
              <w:pStyle w:val="TableContents"/>
              <w:bidi w:val="0"/>
              <w:spacing w:lineRule="auto" w:line="271"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bottom w:val="double" w:sz="6" w:space="0" w:color="000000"/>
            </w:tcBorders>
            <w:tcMar>
              <w:bottom w:w="28" w:type="dxa"/>
            </w:tcMar>
            <w:vAlign w:val="center"/>
          </w:tcPr>
          <w:p>
            <w:pPr>
              <w:pStyle w:val="TableContents"/>
              <w:bidi w:val="0"/>
              <w:spacing w:lineRule="auto" w:line="271" w:before="0" w:after="0"/>
              <w:ind w:left="0" w:right="72" w:hanging="0"/>
              <w:jc w:val="right"/>
              <w:rPr>
                <w:rFonts w:ascii="Times New Roman;Times;serif" w:hAnsi="Times New Roman;Times;serif"/>
                <w:sz w:val="20"/>
              </w:rPr>
            </w:pPr>
            <w:r>
              <w:rPr>
                <w:rFonts w:ascii="Times New Roman;Times;serif" w:hAnsi="Times New Roman;Times;serif"/>
                <w:sz w:val="20"/>
              </w:rPr>
              <w:t>35,970</w:t>
            </w:r>
          </w:p>
        </w:tc>
      </w:tr>
    </w:tbl>
    <w:p>
      <w:pPr>
        <w:pStyle w:val="TextBody"/>
        <w:bidi w:val="0"/>
        <w:spacing w:lineRule="auto" w:line="271" w:before="0" w:after="0"/>
        <w:ind w:left="0" w:right="0" w:hanging="0"/>
        <w:jc w:val="both"/>
        <w:rPr/>
      </w:pPr>
      <w:r>
        <w:rPr/>
        <w:t> </w:t>
      </w:r>
    </w:p>
    <w:p>
      <w:pPr>
        <w:pStyle w:val="TextBody"/>
        <w:bidi w:val="0"/>
        <w:spacing w:lineRule="auto" w:line="271" w:before="0" w:after="160"/>
        <w:ind w:left="0" w:right="0" w:hanging="0"/>
        <w:jc w:val="both"/>
        <w:rPr/>
      </w:pPr>
      <w:r>
        <w:rPr/>
        <w:t> </w:t>
      </w:r>
    </w:p>
    <w:p>
      <w:pPr>
        <w:pStyle w:val="TextBody"/>
        <w:bidi w:val="0"/>
        <w:spacing w:lineRule="auto" w:line="271" w:before="0" w:after="200"/>
        <w:ind w:left="0" w:right="0" w:firstLine="360"/>
        <w:jc w:val="both"/>
        <w:rPr>
          <w:rFonts w:ascii="Times New Roman;Times;serif" w:hAnsi="Times New Roman;Times;serif"/>
          <w:sz w:val="20"/>
        </w:rPr>
      </w:pPr>
      <w:r>
        <w:rPr>
          <w:rFonts w:ascii="Times New Roman;Times;serif" w:hAnsi="Times New Roman;Times;serif"/>
          <w:i/>
          <w:sz w:val="20"/>
        </w:rPr>
        <w:t>Minimum Future Rental Receipts.</w:t>
      </w:r>
      <w:r>
        <w:rPr>
          <w:rFonts w:ascii="Times New Roman;Times;serif" w:hAnsi="Times New Roman;Times;serif"/>
          <w:sz w:val="20"/>
        </w:rPr>
        <w:t xml:space="preserve"> Minimum future rental receipts under non-cancelable operating leases, excluding percentage rent and other lease payments that are not fixed and determinable, having remaining terms in excess of one year subsequent to September 30, 2026, are summarized as follows (in thousands):</w:t>
      </w:r>
    </w:p>
    <w:p>
      <w:pPr>
        <w:pStyle w:val="TextBody"/>
        <w:bidi w:val="0"/>
        <w:spacing w:before="0" w:after="0"/>
        <w:ind w:left="0" w:right="0" w:hanging="0"/>
        <w:jc w:val="left"/>
        <w:rPr/>
      </w:pPr>
      <w:r>
        <w:rPr/>
        <w:t>​</w:t>
      </w:r>
    </w:p>
    <w:tbl>
      <w:tblPr>
        <w:tblW w:w="4336" w:type="dxa"/>
        <w:jc w:val="left"/>
        <w:tblInd w:w="0" w:type="dxa"/>
        <w:tblLayout w:type="fixed"/>
        <w:tblCellMar>
          <w:top w:w="0" w:type="dxa"/>
          <w:left w:w="0" w:type="dxa"/>
          <w:bottom w:w="0" w:type="dxa"/>
          <w:right w:w="0" w:type="dxa"/>
        </w:tblCellMar>
      </w:tblPr>
      <w:tblGrid>
        <w:gridCol w:w="2881"/>
        <w:gridCol w:w="346"/>
        <w:gridCol w:w="211"/>
        <w:gridCol w:w="898"/>
      </w:tblGrid>
      <w:tr>
        <w:trPr/>
        <w:tc>
          <w:tcPr>
            <w:tcW w:w="2881" w:type="dxa"/>
            <w:tcBorders/>
            <w:vAlign w:val="center"/>
          </w:tcPr>
          <w:p>
            <w:pPr>
              <w:pStyle w:val="TableContents"/>
              <w:bidi w:val="0"/>
              <w:spacing w:lineRule="auto" w:line="271" w:before="0" w:after="0"/>
              <w:ind w:left="0" w:right="0" w:hanging="0"/>
              <w:jc w:val="left"/>
              <w:rPr/>
            </w:pPr>
            <w:r>
              <w:rPr/>
              <w:t>​</w:t>
            </w:r>
          </w:p>
        </w:tc>
        <w:tc>
          <w:tcPr>
            <w:tcW w:w="346" w:type="dxa"/>
            <w:tcBorders/>
            <w:vAlign w:val="center"/>
          </w:tcPr>
          <w:p>
            <w:pPr>
              <w:pStyle w:val="TableContents"/>
              <w:bidi w:val="0"/>
              <w:spacing w:lineRule="auto" w:line="271" w:before="0" w:after="0"/>
              <w:ind w:left="0" w:right="0" w:hanging="0"/>
              <w:jc w:val="left"/>
              <w:rPr/>
            </w:pPr>
            <w:r>
              <w:rPr/>
              <w:t>​</w:t>
            </w:r>
          </w:p>
        </w:tc>
        <w:tc>
          <w:tcPr>
            <w:tcW w:w="211" w:type="dxa"/>
            <w:tcBorders/>
            <w:vAlign w:val="center"/>
          </w:tcPr>
          <w:p>
            <w:pPr>
              <w:pStyle w:val="TableContents"/>
              <w:bidi w:val="0"/>
              <w:spacing w:lineRule="auto" w:line="271" w:before="0" w:after="0"/>
              <w:ind w:left="0" w:right="0" w:hanging="0"/>
              <w:jc w:val="left"/>
              <w:rPr/>
            </w:pPr>
            <w:r>
              <w:rPr/>
              <w:t>​</w: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70230" cy="175260"/>
                      <wp:effectExtent l="0" t="0" r="0" b="0"/>
                      <wp:wrapNone/>
                      <wp:docPr id="156" name="Frame15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r>
      <w:tr>
        <w:trPr/>
        <w:tc>
          <w:tcPr>
            <w:tcW w:w="2881" w:type="dxa"/>
            <w:tcBorders>
              <w:bottom w:val="single" w:sz="2" w:space="0" w:color="000000"/>
            </w:tcBorders>
            <w:tcMar>
              <w:bottom w:w="28" w:type="dxa"/>
            </w:tcMar>
            <w:vAlign w:val="center"/>
          </w:tcPr>
          <w:p>
            <w:pPr>
              <w:pStyle w:val="TableContents"/>
              <w:bidi w:val="0"/>
              <w:spacing w:lineRule="auto" w:line="271"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46" w:type="dxa"/>
            <w:tcBorders/>
            <w:vAlign w:val="center"/>
          </w:tcPr>
          <w:p>
            <w:pPr>
              <w:pStyle w:val="TableContents"/>
              <w:bidi w:val="0"/>
              <w:spacing w:lineRule="auto" w:line="271" w:before="0" w:after="0"/>
              <w:ind w:left="0" w:right="0" w:hanging="0"/>
              <w:jc w:val="left"/>
              <w:rPr/>
            </w:pPr>
            <w:r>
              <w:rPr/>
              <w:t>  ​ ​ ​</w:t>
            </w:r>
          </w:p>
        </w:tc>
        <w:tc>
          <w:tcPr>
            <w:tcW w:w="1109" w:type="dxa"/>
            <w:gridSpan w:val="2"/>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Amounts </w:t>
            </w:r>
          </w:p>
        </w:tc>
      </w:tr>
      <w:tr>
        <w:trPr/>
        <w:tc>
          <w:tcPr>
            <w:tcW w:w="2881"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lineRule="auto" w:line="271" w:before="0" w:after="0"/>
              <w:ind w:left="0" w:right="0" w:hanging="0"/>
              <w:jc w:val="left"/>
              <w:rPr/>
            </w:pPr>
            <w:r>
              <w:rPr/>
              <w:t>​</w:t>
            </w:r>
          </w:p>
        </w:tc>
        <w:tc>
          <w:tcPr>
            <w:tcW w:w="211"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11,817</w:t>
            </w:r>
          </w:p>
        </w:tc>
      </w:tr>
      <w:tr>
        <w:trPr/>
        <w:tc>
          <w:tcPr>
            <w:tcW w:w="2881"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lineRule="auto" w:line="271" w:before="0" w:after="0"/>
              <w:ind w:left="0" w:right="0" w:hanging="0"/>
              <w:jc w:val="left"/>
              <w:rPr/>
            </w:pPr>
            <w:r>
              <w:rPr/>
              <w:t>​</w:t>
            </w:r>
          </w:p>
        </w:tc>
        <w:tc>
          <w:tcPr>
            <w:tcW w:w="211" w:type="dxa"/>
            <w:tcBorders/>
            <w:vAlign w:val="center"/>
          </w:tcPr>
          <w:p>
            <w:pPr>
              <w:pStyle w:val="TableContents"/>
              <w:bidi w:val="0"/>
              <w:spacing w:lineRule="auto" w:line="271" w:before="0" w:after="0"/>
              <w:ind w:left="0" w:right="0" w:hanging="0"/>
              <w:jc w:val="left"/>
              <w:rPr/>
            </w:pPr>
            <w:r>
              <w:rPr/>
              <w:t>​</w:t>
            </w:r>
          </w:p>
        </w:tc>
        <w:tc>
          <w:tcPr>
            <w:tcW w:w="898" w:type="dxa"/>
            <w:tcBorders/>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45,883</w:t>
            </w:r>
          </w:p>
        </w:tc>
      </w:tr>
      <w:tr>
        <w:trPr/>
        <w:tc>
          <w:tcPr>
            <w:tcW w:w="2881"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lineRule="auto" w:line="271" w:before="0" w:after="0"/>
              <w:ind w:left="0" w:right="0" w:hanging="0"/>
              <w:jc w:val="left"/>
              <w:rPr/>
            </w:pPr>
            <w:r>
              <w:rPr/>
              <w:t>​</w:t>
            </w:r>
          </w:p>
        </w:tc>
        <w:tc>
          <w:tcPr>
            <w:tcW w:w="211" w:type="dxa"/>
            <w:tcBorders/>
            <w:shd w:fill="CCEEFF" w:val="clear"/>
            <w:vAlign w:val="center"/>
          </w:tcPr>
          <w:p>
            <w:pPr>
              <w:pStyle w:val="TableContents"/>
              <w:bidi w:val="0"/>
              <w:spacing w:lineRule="auto" w:line="271" w:before="0" w:after="0"/>
              <w:ind w:left="0" w:right="0" w:hanging="0"/>
              <w:jc w:val="left"/>
              <w:rPr/>
            </w:pPr>
            <w:r>
              <w:rPr/>
              <w:t>​</w:t>
            </w:r>
          </w:p>
        </w:tc>
        <w:tc>
          <w:tcPr>
            <w:tcW w:w="898" w:type="dxa"/>
            <w:tcBorders/>
            <w:shd w:fill="CCEEFF" w:val="cle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40,936</w:t>
            </w:r>
          </w:p>
        </w:tc>
      </w:tr>
      <w:tr>
        <w:trPr/>
        <w:tc>
          <w:tcPr>
            <w:tcW w:w="2881"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lineRule="auto" w:line="271" w:before="0" w:after="0"/>
              <w:ind w:left="0" w:right="0" w:hanging="0"/>
              <w:jc w:val="left"/>
              <w:rPr/>
            </w:pPr>
            <w:r>
              <w:rPr/>
              <w:t>​</w:t>
            </w:r>
          </w:p>
        </w:tc>
        <w:tc>
          <w:tcPr>
            <w:tcW w:w="211" w:type="dxa"/>
            <w:tcBorders/>
            <w:vAlign w:val="center"/>
          </w:tcPr>
          <w:p>
            <w:pPr>
              <w:pStyle w:val="TableContents"/>
              <w:bidi w:val="0"/>
              <w:spacing w:lineRule="auto" w:line="271" w:before="0" w:after="0"/>
              <w:ind w:left="0" w:right="0" w:hanging="0"/>
              <w:jc w:val="left"/>
              <w:rPr/>
            </w:pPr>
            <w:r>
              <w:rPr/>
              <w:t>​</w:t>
            </w:r>
          </w:p>
        </w:tc>
        <w:tc>
          <w:tcPr>
            <w:tcW w:w="898" w:type="dxa"/>
            <w:tcBorders/>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35,200</w:t>
            </w:r>
          </w:p>
        </w:tc>
      </w:tr>
      <w:tr>
        <w:trPr/>
        <w:tc>
          <w:tcPr>
            <w:tcW w:w="2881"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lineRule="auto" w:line="271" w:before="0" w:after="0"/>
              <w:ind w:left="0" w:right="0" w:hanging="0"/>
              <w:jc w:val="left"/>
              <w:rPr/>
            </w:pPr>
            <w:r>
              <w:rPr/>
              <w:t>​</w:t>
            </w:r>
          </w:p>
        </w:tc>
        <w:tc>
          <w:tcPr>
            <w:tcW w:w="211" w:type="dxa"/>
            <w:tcBorders/>
            <w:shd w:fill="CCEEFF" w:val="clear"/>
            <w:vAlign w:val="center"/>
          </w:tcPr>
          <w:p>
            <w:pPr>
              <w:pStyle w:val="TableContents"/>
              <w:bidi w:val="0"/>
              <w:spacing w:lineRule="auto" w:line="271" w:before="0" w:after="0"/>
              <w:ind w:left="0" w:right="0" w:hanging="0"/>
              <w:jc w:val="left"/>
              <w:rPr/>
            </w:pPr>
            <w:r>
              <w:rPr/>
              <w:t>​</w:t>
            </w:r>
          </w:p>
        </w:tc>
        <w:tc>
          <w:tcPr>
            <w:tcW w:w="898" w:type="dxa"/>
            <w:tcBorders/>
            <w:shd w:fill="CCEEFF" w:val="cle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30,207</w:t>
            </w:r>
          </w:p>
        </w:tc>
      </w:tr>
      <w:tr>
        <w:trPr/>
        <w:tc>
          <w:tcPr>
            <w:tcW w:w="2881"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vAlign w:val="center"/>
          </w:tcPr>
          <w:p>
            <w:pPr>
              <w:pStyle w:val="TableContents"/>
              <w:bidi w:val="0"/>
              <w:spacing w:lineRule="auto" w:line="271" w:before="0" w:after="0"/>
              <w:ind w:left="0" w:right="0" w:hanging="0"/>
              <w:jc w:val="left"/>
              <w:rPr/>
            </w:pPr>
            <w:r>
              <w:rPr/>
              <w:t>​</w:t>
            </w:r>
          </w:p>
        </w:tc>
        <w:tc>
          <w:tcPr>
            <w:tcW w:w="211" w:type="dxa"/>
            <w:tcBorders/>
            <w:vAlign w:val="center"/>
          </w:tcPr>
          <w:p>
            <w:pPr>
              <w:pStyle w:val="TableContents"/>
              <w:bidi w:val="0"/>
              <w:spacing w:lineRule="auto" w:line="271" w:before="0" w:after="0"/>
              <w:ind w:left="0" w:right="0" w:hanging="0"/>
              <w:jc w:val="left"/>
              <w:rPr/>
            </w:pPr>
            <w:r>
              <w:rPr/>
              <w:t>​</w:t>
            </w:r>
          </w:p>
        </w:tc>
        <w:tc>
          <w:tcPr>
            <w:tcW w:w="898" w:type="dxa"/>
            <w:tcBorders/>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26,769</w:t>
            </w:r>
          </w:p>
        </w:tc>
      </w:tr>
      <w:tr>
        <w:trPr/>
        <w:tc>
          <w:tcPr>
            <w:tcW w:w="2881"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2032 and Thereafter (Cumulative)</w:t>
            </w:r>
          </w:p>
        </w:tc>
        <w:tc>
          <w:tcPr>
            <w:tcW w:w="346" w:type="dxa"/>
            <w:tcBorders/>
            <w:shd w:fill="CCEEFF" w:val="clear"/>
            <w:vAlign w:val="center"/>
          </w:tcPr>
          <w:p>
            <w:pPr>
              <w:pStyle w:val="TableContents"/>
              <w:bidi w:val="0"/>
              <w:spacing w:lineRule="auto" w:line="271"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95,502</w:t>
            </w:r>
          </w:p>
        </w:tc>
      </w:tr>
      <w:tr>
        <w:trPr/>
        <w:tc>
          <w:tcPr>
            <w:tcW w:w="2881"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lineRule="auto" w:line="271"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lineRule="auto" w:line="271" w:before="0" w:after="0"/>
              <w:ind w:left="0" w:right="72" w:hanging="0"/>
              <w:jc w:val="right"/>
              <w:rPr>
                <w:rFonts w:ascii="Times New Roman;Times;serif" w:hAnsi="Times New Roman;Times;serif"/>
                <w:sz w:val="20"/>
              </w:rPr>
            </w:pPr>
            <w:r>
              <w:rPr>
                <w:rFonts w:ascii="Times New Roman;Times;serif" w:hAnsi="Times New Roman;Times;serif"/>
                <w:sz w:val="20"/>
              </w:rPr>
              <w:t>286,314</w:t>
            </w:r>
          </w:p>
        </w:tc>
      </w:tr>
    </w:tbl>
    <w:p>
      <w:pPr>
        <w:pStyle w:val="TextBody"/>
        <w:bidi w:val="0"/>
        <w:spacing w:lineRule="auto" w:line="271" w:before="0" w:after="0"/>
        <w:ind w:left="0" w:right="0" w:hanging="0"/>
        <w:jc w:val="left"/>
        <w:rPr/>
      </w:pPr>
      <w:r>
        <w:rPr/>
        <w:t> </w:t>
      </w:r>
    </w:p>
    <w:p>
      <w:pPr>
        <w:pStyle w:val="TextBody"/>
        <w:bidi w:val="0"/>
        <w:spacing w:lineRule="auto" w:line="271" w:before="0" w:after="160"/>
        <w:ind w:left="0" w:right="0" w:hanging="0"/>
        <w:jc w:val="left"/>
        <w:rPr/>
      </w:pPr>
      <w:r>
        <w:rPr/>
        <w:t> </w:t>
      </w:r>
    </w:p>
    <w:p>
      <w:pPr>
        <w:pStyle w:val="TextBody"/>
        <w:bidi w:val="0"/>
        <w:spacing w:lineRule="auto" w:line="271" w:before="0" w:after="200"/>
        <w:ind w:left="0" w:right="0" w:firstLine="360"/>
        <w:jc w:val="both"/>
        <w:rPr>
          <w:rFonts w:ascii="Times New Roman;Times;serif" w:hAnsi="Times New Roman;Times;serif"/>
          <w:sz w:val="20"/>
        </w:rPr>
      </w:pPr>
      <w:r>
        <w:rPr>
          <w:rFonts w:ascii="Times New Roman;Times;serif" w:hAnsi="Times New Roman;Times;serif"/>
          <w:i/>
          <w:sz w:val="20"/>
        </w:rPr>
        <w:t xml:space="preserve">2026 Activity. </w:t>
      </w:r>
      <w:r>
        <w:rPr>
          <w:rFonts w:ascii="Times New Roman;Times;serif" w:hAnsi="Times New Roman;Times;serif"/>
          <w:sz w:val="20"/>
        </w:rPr>
        <w:t xml:space="preserve">During the nine months ended September 30, 2026, the Company acquired seven properties for a combined purchase price of $86.3 million, including capitalized acquisition costs. Of the total acquisitions, the Company acquired five properties for a combined purchase price of $60.0 million, including capitalized acquisition costs, and those five properties were subject to purchase accounting for acquisitions subject to a lease, of which $20.8 million was allocated to land, $29.9 million was allocated to buildings and improvements, $6.5 million was allocated to intangible assets pertaining to the in-place lease value, leasing fees, and above market lease value, $2.1 million was allocated to intangible liabilities for the below market lease value, and $4.9 million was allocated to the right-of-use asset for the favorable terms of an acquired operating ground lease. The weighted average amortization period for the intangible assets and liabilities was 5.3 years at acquisition. The remaining $26.3 million of total acquisition costs are attributable to (i) the acquisition of one property for a purchase price of $10.0 million through a sale-leaseback transaction that includes a tenant repurchase option (the “2026 Sale-Leaseback Property”) and (ii) the acquisition of a property subject to a ground lease for $16.3 million which qualifies as a sales-type lease (the “2026 Sales-Type Lease”). Pursuant to FASB ASC Topic 842, </w:t>
      </w:r>
      <w:r>
        <w:rPr>
          <w:rFonts w:ascii="Times New Roman;Times;serif" w:hAnsi="Times New Roman;Times;serif"/>
          <w:i/>
          <w:sz w:val="20"/>
        </w:rPr>
        <w:t>Leases</w:t>
      </w:r>
      <w:r>
        <w:rPr>
          <w:rFonts w:ascii="Times New Roman;Times;serif" w:hAnsi="Times New Roman;Times;serif"/>
          <w:sz w:val="20"/>
        </w:rPr>
        <w:t>, GAAP requires that the 2026 Sale-Leaseback Property and the 2026 Sales-Type Lease be accounted for as financing arrangements, and accordingly the related assets and corresponding revenue are included in the Company’s commercial loans and investments in the accompanying consolidated balance sheets and consolidated statement of operations. However, as the 2026 Sale-Leaseback Property and the 2026 Sales-Type Lease both constitute real estate assets for both legal and tax purposes, we include them in the property portfolio when describing our property portfolio and for purposes of providing statistics related thereto.</w:t>
      </w:r>
    </w:p>
    <w:p>
      <w:pPr>
        <w:pStyle w:val="TextBody"/>
        <w:bidi w:val="0"/>
        <w:spacing w:lineRule="auto" w:line="271" w:before="0" w:after="200"/>
        <w:ind w:left="0" w:right="0" w:firstLine="360"/>
        <w:jc w:val="both"/>
        <w:rPr>
          <w:rFonts w:ascii="Times New Roman;Times;serif" w:hAnsi="Times New Roman;Times;serif"/>
          <w:sz w:val="20"/>
        </w:rPr>
      </w:pPr>
      <w:r>
        <w:rPr>
          <w:rFonts w:ascii="Times New Roman;Times;serif" w:hAnsi="Times New Roman;Times;serif"/>
          <w:sz w:val="20"/>
        </w:rPr>
        <w:t>During the nine months ended September 30, 2026, the Company sold four properties for an aggregate sales price of $6.2 million, generating aggregate gains on sale of $0.4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0" w:before="0" w:after="200"/>
        <w:ind w:left="0" w:right="0" w:firstLine="360"/>
        <w:jc w:val="both"/>
        <w:rPr>
          <w:rFonts w:ascii="Times New Roman;Times;serif" w:hAnsi="Times New Roman;Times;serif"/>
          <w:sz w:val="20"/>
        </w:rPr>
      </w:pPr>
      <w:r>
        <w:rPr>
          <w:rFonts w:ascii="Times New Roman;Times;serif" w:hAnsi="Times New Roman;Times;serif"/>
          <w:i/>
          <w:sz w:val="20"/>
        </w:rPr>
        <w:t>2025 Activity</w:t>
      </w:r>
      <w:r>
        <w:rPr>
          <w:rFonts w:ascii="Times New Roman;Times;serif" w:hAnsi="Times New Roman;Times;serif"/>
          <w:sz w:val="20"/>
        </w:rPr>
        <w:t>. During the nine months ended September 30, 2025, the Company acquired five properties for a combined purchase price of $61.1 million, including capitalized acquisition costs. The properties are located in five different states, leased to four different tenants, and had a weighted average remaining lease term of 13.6 years at the time of acquisition. Of the total acquisition cost, $24.3 million was allocated to land, $28.8 million was allocated to buildings and improvements, and $8.0 million was allocated to intangible assets pertaining to the in-place lease value, leasing fees, and above market lease value. The weighted average amortization period for the intangible assets was 13.6 years at acquisition.</w:t>
      </w:r>
    </w:p>
    <w:p>
      <w:pPr>
        <w:pStyle w:val="TextBody"/>
        <w:bidi w:val="0"/>
        <w:spacing w:lineRule="auto" w:line="280" w:before="0" w:after="0"/>
        <w:ind w:left="0" w:right="0" w:firstLine="360"/>
        <w:jc w:val="both"/>
        <w:rPr>
          <w:rFonts w:ascii="Times New Roman;Times;serif" w:hAnsi="Times New Roman;Times;serif"/>
          <w:sz w:val="20"/>
        </w:rPr>
      </w:pPr>
      <w:r>
        <w:rPr>
          <w:rFonts w:ascii="Times New Roman;Times;serif" w:hAnsi="Times New Roman;Times;serif"/>
          <w:sz w:val="20"/>
        </w:rPr>
        <w:t>During the nine months ended September 30, 2025, the Company sold 11 properties for an aggregate sales price of $34.3 million, generating aggregate gains on sale of $2.0 million.</w:t>
      </w:r>
    </w:p>
    <w:p>
      <w:pPr>
        <w:pStyle w:val="TextBody"/>
        <w:bidi w:val="0"/>
        <w:spacing w:lineRule="auto" w:line="280"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lineRule="auto" w:line="280" w:before="0" w:after="200"/>
        <w:ind w:left="0" w:right="0" w:hanging="0"/>
        <w:jc w:val="left"/>
        <w:rPr>
          <w:rFonts w:ascii="Times New Roman;Times;serif" w:hAnsi="Times New Roman;Times;serif"/>
          <w:b/>
          <w:sz w:val="20"/>
        </w:rPr>
      </w:pPr>
      <w:r>
        <w:rPr>
          <w:rFonts w:ascii="Times New Roman;Times;serif" w:hAnsi="Times New Roman;Times;serif"/>
          <w:b/>
          <w:sz w:val="20"/>
        </w:rPr>
        <w:t>NOTE 4. COMMERCIAL LOANS AND INVESTMENTS</w:t>
      </w:r>
    </w:p>
    <w:p>
      <w:pPr>
        <w:pStyle w:val="TextBody"/>
        <w:bidi w:val="0"/>
        <w:spacing w:lineRule="auto" w:line="280"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2026 Activity. </w:t>
      </w:r>
      <w:r>
        <w:rPr>
          <w:rFonts w:ascii="Times New Roman;Times;serif" w:hAnsi="Times New Roman;Times;serif"/>
          <w:sz w:val="20"/>
        </w:rPr>
        <w:t>During the nine months ended September 30, 2026, the Company originated two commercial loans for $72.0 million with an initial yield of 11% and acquired the 2026 Sale-Leaseback Property for a purchase price of $10.0 million and the 2026 Sales-Type Lease for $16.3 million. Additionally, during the nine months ended September 30, 2026, the total face amounts of two loan investments were upsized by an aggregate of $33.7 million. In the aggregate, during the nine months ended September 30, 2026, commercial loan and investment volume totaled $132.0 million, of which $76.8 million was funded, and $1.3 million of origination fees were received. Additionally, the Company funded $24.0 million for existing loans and received $36.0 million of principal repayments from borrowers during the nine months ended September 30, 2026. Of the total amount funded, during the nine months ended September 30, 2026, $2.3 million was non-cash paid-in-kind accrued interest.</w:t>
      </w:r>
    </w:p>
    <w:p>
      <w:pPr>
        <w:pStyle w:val="TextBody"/>
        <w:bidi w:val="0"/>
        <w:spacing w:lineRule="auto" w:line="280" w:before="0" w:after="240"/>
        <w:ind w:left="0" w:right="0" w:firstLine="360"/>
        <w:jc w:val="both"/>
        <w:rPr>
          <w:rFonts w:ascii="Times New Roman;Times;serif" w:hAnsi="Times New Roman;Times;serif"/>
          <w:sz w:val="20"/>
        </w:rPr>
      </w:pPr>
      <w:r>
        <w:rPr>
          <w:rFonts w:ascii="Times New Roman;Times;serif" w:hAnsi="Times New Roman;Times;serif"/>
          <w:sz w:val="20"/>
        </w:rPr>
        <w:t>During the nine months ended September 30, 2026, the Company upsized and funded the 2025 Mortgage Note (hereinafter defined) by an additional $31.8 million and sold an additional $10.8 million A-1 participation interest in the 2025 Mortgage Note (the “2026 Loan Participation Sale”). In the aggregate, the initial 2025 Mortgage Note totaled $61.3 million and the initial A-1 participation interest, which is entitled to a 10.0% yield on its respective portion of the outstanding principal balance and has priority preference with respect to all principal and interest payments of the 2025 Mortgage Note, totaled $20.8 million. The 2026 Loan Participation Sale did not achieve sale accounting pursuant to ASC 860, Transfers and Servicing, and accordingly, is treated as a secured borrowing. See Note 12, “Obligation Under Participation Agreement” for further information.</w:t>
      </w:r>
    </w:p>
    <w:p>
      <w:pPr>
        <w:pStyle w:val="TextBody"/>
        <w:bidi w:val="0"/>
        <w:spacing w:lineRule="auto" w:line="280" w:before="0" w:after="240"/>
        <w:ind w:left="0" w:right="0" w:firstLine="360"/>
        <w:jc w:val="both"/>
        <w:rPr>
          <w:rFonts w:ascii="Times New Roman;Times;serif" w:hAnsi="Times New Roman;Times;serif"/>
          <w:sz w:val="20"/>
        </w:rPr>
      </w:pPr>
      <w:r>
        <w:rPr>
          <w:rFonts w:ascii="Times New Roman;Times;serif" w:hAnsi="Times New Roman;Times;serif"/>
          <w:i/>
          <w:sz w:val="20"/>
        </w:rPr>
        <w:t>2025 Activity.</w:t>
      </w:r>
      <w:r>
        <w:rPr>
          <w:rFonts w:ascii="Times New Roman;Times;serif" w:hAnsi="Times New Roman;Times;serif"/>
          <w:sz w:val="20"/>
        </w:rPr>
        <w:t xml:space="preserve"> During the nine months ended September 30, 2025, the Company originated six commercial loans for an investment volume of $56.3 million at a weighted average initial cash yield of 10.1% and one $2.0 million short-term mortgage note with an initial cash yield of 16.5%, that was repaid in full on July 2, 2025. Additionally, during the nine months ended September 30, 2025, the Company amended four existing commercial loan investments whereby certain maturity dates were extended and the total face amounts of three investments were upsized by an aggregate of $18.4 million. In the aggregate, during the nine months ended September 30, 2025, commercial loan and investment volume totaled $74.8 million, of which $51.0 million was funded and $0.5 million of origination fees were received during the same period. Additionally, the Company funded $12.9 million for existing construction loans and received $50.5 million of principal repayments from borrowers during the nine months ended September 30,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2025, the Company originated a $29.5 million first mortgage secured by a portfolio of assets and related improvements (the “2025 Mortgage Note”). The 2025 Mortgage Note is being repaid by the borrower as the underlying assets within the portfolio are sold. During the year ended December 31, 2025, the Company sold a $10.0 million A-1 participation interest (the “2025 Loan Participation Sale”) in its 2025 Mortgage Note, which is entitled to a 10.0% yield on its respective portion of the outstanding principal balance and has priority preference with respect to all principal and interest payments of the 2025 Mortgage Note. The 2025 Loan Participation Sale did not achieve sale accounting pursuant to ASC 860, Transfers and Servicing, and accordingly, is treated as a secured borrowing. See Note 12, “Obligation Under Participation Agreement” for further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1" w:before="0" w:after="200"/>
        <w:ind w:left="0" w:right="0" w:firstLine="360"/>
        <w:jc w:val="both"/>
        <w:rPr>
          <w:rFonts w:ascii="Times New Roman;Times;serif" w:hAnsi="Times New Roman;Times;serif"/>
          <w:sz w:val="20"/>
        </w:rPr>
      </w:pPr>
      <w:bookmarkStart w:id="949" w:name="Tc_qqWxz-kEp0SMPQeSW9x1gA_20_12"/>
      <w:bookmarkStart w:id="950" w:name="Tc_YNsZAqEZv02OxvWQVtY3PQ_20_0"/>
      <w:bookmarkStart w:id="951" w:name="Tc_JB_x3OhcNECqF3qicFXEFg_19_0"/>
      <w:bookmarkStart w:id="952" w:name="Tc_Xbg4zz23IkWDjU80zTKWNQ_18_12"/>
      <w:bookmarkStart w:id="953" w:name="Tc_CVLOzJ0se0KhVbVEec3nfA_18_9"/>
      <w:bookmarkStart w:id="954" w:name="Tc_dJuATsnat0agN0pPUz0vgQ_18_6"/>
      <w:bookmarkStart w:id="955" w:name="Tc_eVKoQNrqoUKE7K6bJgVBBw_17_4"/>
      <w:bookmarkStart w:id="956" w:name="Tc_6724rF80rEa9PEuvGpjIkw_17_2"/>
      <w:bookmarkStart w:id="957" w:name="Tc_QtFgw_YLLEqTsGZc_cW8zQ_17_0"/>
      <w:bookmarkStart w:id="958" w:name="Tc_33kILRE0GEqnffoO7Xo79A_16_4"/>
      <w:bookmarkStart w:id="959" w:name="Tc_s0SpMdD910qXzA0u7ef4yQ_16_2"/>
      <w:bookmarkStart w:id="960" w:name="Tc_iIsrIJieAEuI5a-POFufBA_16_0"/>
      <w:bookmarkStart w:id="961" w:name="Tc_UmbEf2afvkWZoF4PO4C36A_15_16"/>
      <w:bookmarkStart w:id="962" w:name="Tc_X3lwRzdg70Sq65_lgpSmwQ_15_4"/>
      <w:bookmarkStart w:id="963" w:name="Tc_CNpxyygeqU6RWwxMAVEstA_15_2"/>
      <w:bookmarkStart w:id="964" w:name="Tc_b7PhnPqjTEmOuPzjTX2Vrw_15_0"/>
      <w:bookmarkStart w:id="965" w:name="Tc_NuBOefbQQ0q10_9wdRv4pg_14_4"/>
      <w:bookmarkStart w:id="966" w:name="Tc_xfXV61VDUUOiOdDGIHmTIg_14_2"/>
      <w:bookmarkStart w:id="967" w:name="Tc_B9s0bDykn0-LhQ6wU-XYFQ_14_0"/>
      <w:bookmarkStart w:id="968" w:name="Tc_qlRoRzRUaEaCUrvlWKLh7w_13_16"/>
      <w:bookmarkStart w:id="969" w:name="Tc_R9zeC1tRN06vT-Pp4ihs4A_13_4"/>
      <w:bookmarkStart w:id="970" w:name="Tc__8D1I2NWrUCp_SQjavmSKw_13_2"/>
      <w:bookmarkStart w:id="971" w:name="Tc_p_PlbajlwkmeeVvJMx7J8A_13_0"/>
      <w:bookmarkStart w:id="972" w:name="Tc_YyqO5eOlPUKAjfihXmXYBA_12_16"/>
      <w:bookmarkStart w:id="973" w:name="Tc_o-slcMMe_ESAFOuVovYkxg_12_4"/>
      <w:bookmarkStart w:id="974" w:name="Tc_zJGw9rQaT02vb8Rpsn01_g_12_2"/>
      <w:bookmarkStart w:id="975" w:name="Tc_BEdDhRwyNEmzkJy_RBvHaw_12_0"/>
      <w:bookmarkStart w:id="976" w:name="Tc_QGh3fDZF3kWwlMNqNzXCAQ_11_4"/>
      <w:bookmarkStart w:id="977" w:name="Tc_bVkrE-fQFEWvZxshJS5_2g_11_2"/>
      <w:bookmarkStart w:id="978" w:name="Tc_Ab6b8ULP7EanavV_5aUiAA_11_0"/>
      <w:bookmarkStart w:id="979" w:name="Tc_ECWJSkkZxUW4McZezLTtvQ_10_16"/>
      <w:bookmarkStart w:id="980" w:name="Tc_6E8lFj_8N0yW6boKtddC_g_10_4"/>
      <w:bookmarkStart w:id="981" w:name="Tc_xtfZFZqVPky9A0kf3djVfw_10_2"/>
      <w:bookmarkStart w:id="982" w:name="Tc_GeVN2MvkA0KIcZrrGPgBag_10_0"/>
      <w:bookmarkStart w:id="983" w:name="Tc_7ekCydv1Y0eVhaxXS4zSew_9_16"/>
      <w:bookmarkStart w:id="984" w:name="Tc_0KLHfBmyx02qgpBFCFjIDQ_9_4"/>
      <w:bookmarkStart w:id="985" w:name="Tc_J4Ab8JX81EGIGo_GVL3IMg_9_2"/>
      <w:bookmarkStart w:id="986" w:name="Tc_BwI25e-eV0Cq2YEK9SCOmA_9_0"/>
      <w:bookmarkStart w:id="987" w:name="Tc_honT46Dhz0au2ntewejbug_8_4"/>
      <w:bookmarkStart w:id="988" w:name="Tc_Yx5nv7rVxEqUuEbS2gHCGA_8_2"/>
      <w:bookmarkStart w:id="989" w:name="Tc_6dN4l2ak30iyA3qIDUhxLA_8_0"/>
      <w:bookmarkStart w:id="990" w:name="Tc_QRnOmNZmGk2_kzdd8f11LA_7_4"/>
      <w:bookmarkStart w:id="991" w:name="Tc_RJTivuI9zUGWq-oQQZtEeQ_7_2"/>
      <w:bookmarkStart w:id="992" w:name="Tc_YUqfWL0nxUaBlpPzzRns8g_7_0"/>
      <w:bookmarkStart w:id="993" w:name="Tc_UW-3NWUHpkuLqm47s2J3dw_6_4"/>
      <w:bookmarkStart w:id="994" w:name="Tc_NwNOSGdjSEu9CjF2QYpgtg_6_2"/>
      <w:bookmarkStart w:id="995" w:name="Tc_dQyVAU2bvkqRN-EwDmZykA_6_0"/>
      <w:bookmarkStart w:id="996" w:name="Tc_c2VRZ83NVEe4Fxc2Z3NUzw_5_4"/>
      <w:bookmarkStart w:id="997" w:name="Tc_DnQDcmtGPUW8cMJtBpfXbw_5_2"/>
      <w:bookmarkStart w:id="998" w:name="Tc_yzUI_uqNtE6q7U1hYEpN-w_5_0"/>
      <w:bookmarkStart w:id="999" w:name="Tc_GDcUBMvKekWJ9nVyeLOwSA_4_4"/>
      <w:bookmarkStart w:id="1000" w:name="Tc_dGndgoYsOUGRarC-f_tTSg_4_2"/>
      <w:bookmarkStart w:id="1001" w:name="Tc_C3N3nyYQxU6L1UVKmSl61g_4_0"/>
      <w:bookmarkStart w:id="1002" w:name="Tc_3KIQH8WI9kyYQUuyxJJc0A_3_4"/>
      <w:bookmarkStart w:id="1003" w:name="Tc_InSiXFabvEmuPh3HTqCjLQ_3_2"/>
      <w:bookmarkStart w:id="1004" w:name="Tc_w7n6nFl4lUe1NS0w2jK0TA_3_0"/>
      <w:bookmarkStart w:id="1005" w:name="Tc_4_I-XlT_k0Sj4ypQFgcgJQ_2_12"/>
      <w:bookmarkStart w:id="1006" w:name="Tc_AOQb09aq4k-0Xi1kYSb-rg_2_9"/>
      <w:bookmarkStart w:id="1007" w:name="Tc_pJO-b4PMwkKDlxxiMLpOmQ_2_6"/>
      <w:bookmarkStart w:id="1008" w:name="Tc_bGM1iLGw20m5rv26ix2WEg_2_4"/>
      <w:bookmarkStart w:id="1009" w:name="Tc_Rekp4NUoMEitPoio1H64vg_2_2"/>
      <w:bookmarkStart w:id="1010" w:name="Tc_3nU0LvJZoEG2H8fFxo3J2Q_2_0"/>
      <w:bookmarkStart w:id="1011" w:name="Tc_1ficZiMJhEu43D_pmts9tA_1_15"/>
      <w:bookmarkStart w:id="1012" w:name="Tc_C45BBeL_n0OhD20J9XbTLA_1_12"/>
      <w:bookmarkStart w:id="1013" w:name="Tc_avWPZxduSUuM6ZYNk5MXBg_1_9"/>
      <w:bookmarkStart w:id="1014" w:name="Tc_MDLMwFMtpkmAG63mSV4llA_1_6"/>
      <w:bookmarkStart w:id="1015" w:name="Tc_LhtH2Pv5iEaT2WO7fYIOLg_1_4"/>
      <w:bookmarkStart w:id="1016" w:name="Tc_GY77mohQkUaus-NEl7MvyQ_1_2"/>
      <w:bookmarkStart w:id="1017" w:name="Tc_XVZfJ403hkm4ZySzKmA8sQ_1_0"/>
      <w:bookmarkStart w:id="1018" w:name="_397f6bcf_81ed_419d_a4af_0e0cc4c8e1f1"/>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r>
        <w:rPr>
          <w:rFonts w:ascii="Times New Roman;Times;serif" w:hAnsi="Times New Roman;Times;serif"/>
          <w:i/>
          <w:sz w:val="20"/>
        </w:rPr>
        <w:t>Other Activity.</w:t>
      </w:r>
      <w:r>
        <w:rPr>
          <w:rFonts w:ascii="Times New Roman;Times;serif" w:hAnsi="Times New Roman;Times;serif"/>
          <w:sz w:val="20"/>
        </w:rPr>
        <w:t xml:space="preserve"> During the year ended December 31, 2024, the Company acquired three single-tenant income properties in the greater Tampa Bay, Florida area. The acquisitions of the three properties and the 2026 Sale-Leaseback Property (collectively, the “Sale-Leaseback Properties”) were structured as sale-leaseback transactions that include tenant repurchase options. Pursuant to FASB ASC Topic 842, </w:t>
      </w:r>
      <w:r>
        <w:rPr>
          <w:rFonts w:ascii="Times New Roman;Times;serif" w:hAnsi="Times New Roman;Times;serif"/>
          <w:i/>
          <w:sz w:val="20"/>
        </w:rPr>
        <w:t>Leases</w:t>
      </w:r>
      <w:r>
        <w:rPr>
          <w:rFonts w:ascii="Times New Roman;Times;serif" w:hAnsi="Times New Roman;Times;serif"/>
          <w:sz w:val="20"/>
        </w:rPr>
        <w:t xml:space="preserve">, the future repurchase rights present in the lease agreements preclude the transactions from being accounted for as real estate acquisitions. During the nine months ended September 30, 2026, the Company acquired the 2026 Sales-Type Lease which qualifies as a sales-type lease pursuant to FASB ASC Topic 842, </w:t>
      </w:r>
      <w:r>
        <w:rPr>
          <w:rFonts w:ascii="Times New Roman;Times;serif" w:hAnsi="Times New Roman;Times;serif"/>
          <w:i/>
          <w:sz w:val="20"/>
        </w:rPr>
        <w:t xml:space="preserve">Leases. </w:t>
      </w:r>
      <w:r>
        <w:rPr>
          <w:rFonts w:ascii="Times New Roman;Times;serif" w:hAnsi="Times New Roman;Times;serif"/>
          <w:sz w:val="20"/>
        </w:rPr>
        <w:t>Accordingly, for GAAP purposes, the acquisitions of the Sale-Leaseback Properties and the 2026 Sales-Type Lease are accounted for as financing arrangements, and the related assets and corresponding revenue are included in the Company’s commercial loans and investments on its consolidated balance sheets and consolidated statements of operations. The Company has imputed interest on the leases for the properties which is recognized as interest income from commercial loans and investments on the accompanying consolidated statements of operations.</w:t>
      </w:r>
    </w:p>
    <w:p>
      <w:pPr>
        <w:pStyle w:val="TextBody"/>
        <w:bidi w:val="0"/>
        <w:spacing w:lineRule="auto" w:line="271" w:before="0" w:after="200"/>
        <w:ind w:left="0" w:right="0" w:firstLine="360"/>
        <w:jc w:val="both"/>
        <w:rPr>
          <w:rFonts w:ascii="Times New Roman;Times;serif" w:hAnsi="Times New Roman;Times;serif"/>
          <w:sz w:val="20"/>
        </w:rPr>
      </w:pPr>
      <w:r>
        <w:rPr>
          <w:rFonts w:ascii="Times New Roman;Times;serif" w:hAnsi="Times New Roman;Times;serif"/>
          <w:sz w:val="20"/>
        </w:rPr>
        <w:t>The Company’s commercial loans and investments were comprised of the following at September 30, 2026 (in thousands):</w:t>
      </w:r>
    </w:p>
    <w:tbl>
      <w:tblPr>
        <w:tblW w:w="10205" w:type="dxa"/>
        <w:jc w:val="left"/>
        <w:tblInd w:w="0" w:type="dxa"/>
        <w:tblLayout w:type="fixed"/>
        <w:tblCellMar>
          <w:top w:w="0" w:type="dxa"/>
          <w:left w:w="0" w:type="dxa"/>
          <w:bottom w:w="0" w:type="dxa"/>
          <w:right w:w="0" w:type="dxa"/>
        </w:tblCellMar>
      </w:tblPr>
      <w:tblGrid>
        <w:gridCol w:w="2019"/>
        <w:gridCol w:w="346"/>
        <w:gridCol w:w="1031"/>
        <w:gridCol w:w="346"/>
        <w:gridCol w:w="931"/>
        <w:gridCol w:w="346"/>
        <w:gridCol w:w="238"/>
        <w:gridCol w:w="839"/>
        <w:gridCol w:w="346"/>
        <w:gridCol w:w="236"/>
        <w:gridCol w:w="834"/>
        <w:gridCol w:w="346"/>
        <w:gridCol w:w="213"/>
        <w:gridCol w:w="753"/>
        <w:gridCol w:w="346"/>
        <w:gridCol w:w="763"/>
        <w:gridCol w:w="272"/>
      </w:tblGrid>
      <w:tr>
        <w:trPr/>
        <w:tc>
          <w:tcPr>
            <w:tcW w:w="2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54685" cy="175260"/>
                      <wp:effectExtent l="0" t="0" r="0" b="0"/>
                      <wp:wrapNone/>
                      <wp:docPr id="157" name="Frame157"/>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91185" cy="175260"/>
                      <wp:effectExtent l="0" t="0" r="0" b="0"/>
                      <wp:wrapNone/>
                      <wp:docPr id="159" name="Frame1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51130" cy="175260"/>
                      <wp:effectExtent l="0" t="0" r="0" b="0"/>
                      <wp:wrapNone/>
                      <wp:docPr id="161" name="Frame16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32765" cy="175260"/>
                      <wp:effectExtent l="0" t="0" r="0" b="0"/>
                      <wp:wrapNone/>
                      <wp:docPr id="162" name="Frame162"/>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49860" cy="175260"/>
                      <wp:effectExtent l="0" t="0" r="0" b="0"/>
                      <wp:wrapNone/>
                      <wp:docPr id="164" name="Frame16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29590" cy="175260"/>
                      <wp:effectExtent l="0" t="0" r="0" b="0"/>
                      <wp:wrapNone/>
                      <wp:docPr id="165" name="Frame165"/>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5255" cy="175260"/>
                      <wp:effectExtent l="0" t="0" r="0" b="0"/>
                      <wp:wrapNone/>
                      <wp:docPr id="167" name="Frame16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78155" cy="175260"/>
                      <wp:effectExtent l="0" t="0" r="0" b="0"/>
                      <wp:wrapNone/>
                      <wp:docPr id="168" name="Frame168"/>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84505" cy="175260"/>
                      <wp:effectExtent l="0" t="0" r="0" b="0"/>
                      <wp:wrapNone/>
                      <wp:docPr id="170" name="Frame170"/>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72720" cy="175260"/>
                      <wp:effectExtent l="0" t="0" r="0" b="0"/>
                      <wp:wrapNone/>
                      <wp:docPr id="171" name="Frame171"/>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46" w:type="dxa"/>
            <w:tcBorders/>
            <w:vAlign w:val="center"/>
          </w:tcPr>
          <w:p>
            <w:pPr>
              <w:pStyle w:val="TableContents"/>
              <w:bidi w:val="0"/>
              <w:spacing w:before="0" w:after="0"/>
              <w:ind w:left="0" w:right="0" w:hanging="0"/>
              <w:jc w:val="left"/>
              <w:rPr/>
            </w:pPr>
            <w:r>
              <w:rPr/>
              <w:t>  ​ ​ ​</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46" w:type="dxa"/>
            <w:tcBorders/>
            <w:vAlign w:val="center"/>
          </w:tcPr>
          <w:p>
            <w:pPr>
              <w:pStyle w:val="TableContents"/>
              <w:bidi w:val="0"/>
              <w:spacing w:before="0" w:after="0"/>
              <w:ind w:left="0" w:right="0" w:hanging="0"/>
              <w:jc w:val="left"/>
              <w:rPr/>
            </w:pPr>
            <w:r>
              <w:rPr/>
              <w:t>  ​ ​ ​</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46" w:type="dxa"/>
            <w:tcBorders/>
            <w:vAlign w:val="center"/>
          </w:tcPr>
          <w:p>
            <w:pPr>
              <w:pStyle w:val="TableContents"/>
              <w:bidi w:val="0"/>
              <w:spacing w:before="0" w:after="0"/>
              <w:ind w:left="0" w:right="0" w:hanging="0"/>
              <w:jc w:val="left"/>
              <w:rPr/>
            </w:pPr>
            <w:r>
              <w:rPr/>
              <w:t>  ​ ​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46" w:type="dxa"/>
            <w:tcBorders/>
            <w:vAlign w:val="center"/>
          </w:tcPr>
          <w:p>
            <w:pPr>
              <w:pStyle w:val="TableContents"/>
              <w:bidi w:val="0"/>
              <w:spacing w:before="0" w:after="0"/>
              <w:ind w:left="0" w:right="0" w:hanging="0"/>
              <w:jc w:val="left"/>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46" w:type="dxa"/>
            <w:tcBorders/>
            <w:vAlign w:val="center"/>
          </w:tcPr>
          <w:p>
            <w:pPr>
              <w:pStyle w:val="TableContents"/>
              <w:bidi w:val="0"/>
              <w:spacing w:before="0" w:after="0"/>
              <w:ind w:left="0" w:right="0" w:hanging="0"/>
              <w:jc w:val="left"/>
              <w:rPr/>
            </w:pPr>
            <w:r>
              <w:rPr/>
              <w:t>  ​ ​ ​</w:t>
            </w:r>
          </w:p>
        </w:tc>
        <w:tc>
          <w:tcPr>
            <w:tcW w:w="7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c>
          <w:tcPr>
            <w:tcW w:w="272" w:type="dxa"/>
            <w:tcBorders/>
            <w:vAlign w:val="center"/>
          </w:tcPr>
          <w:p>
            <w:pPr>
              <w:pStyle w:val="TableContents"/>
              <w:bidi w:val="0"/>
              <w:spacing w:before="0" w:after="0"/>
              <w:ind w:left="0" w:right="0" w:hanging="0"/>
              <w:jc w:val="center"/>
              <w:rPr/>
            </w:pPr>
            <w:r>
              <w:rPr/>
              <w:t>​</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Greenwood, IN</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2023</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2027</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16,700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14,944</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14,918</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10.00%</w:t>
            </w:r>
          </w:p>
        </w:tc>
        <w:tc>
          <w:tcPr>
            <w:tcW w:w="272" w:type="dxa"/>
            <w:tcBorders/>
            <w:shd w:fill="CCEEFF" w:val="clear"/>
            <w:vAlign w:val="center"/>
          </w:tcPr>
          <w:p>
            <w:pPr>
              <w:pStyle w:val="TableContents"/>
              <w:bidi w:val="0"/>
              <w:spacing w:before="0" w:after="0"/>
              <w:ind w:left="0" w:right="0" w:hanging="0"/>
              <w:jc w:val="center"/>
              <w:rPr/>
            </w:pPr>
            <w:r>
              <w:rPr/>
              <w:t>​</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Antioch, TN</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2023</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2026</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7,425</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7,421</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7,439</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10.25%</w:t>
            </w:r>
          </w:p>
        </w:tc>
        <w:tc>
          <w:tcPr>
            <w:tcW w:w="272" w:type="dxa"/>
            <w:tcBorders/>
            <w:vAlign w:val="center"/>
          </w:tcPr>
          <w:p>
            <w:pPr>
              <w:pStyle w:val="TableContents"/>
              <w:bidi w:val="0"/>
              <w:spacing w:before="0" w:after="0"/>
              <w:ind w:left="0" w:right="0" w:hanging="0"/>
              <w:jc w:val="center"/>
              <w:rPr/>
            </w:pPr>
            <w:r>
              <w:rPr/>
              <w:t>​</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Bradenton Beach, FL</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9,608</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9,452</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9,452</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c>
          <w:tcPr>
            <w:tcW w:w="272" w:type="dxa"/>
            <w:tcBorders/>
            <w:shd w:fill="CCEEFF" w:val="clear"/>
            <w:vAlign w:val="center"/>
          </w:tcPr>
          <w:p>
            <w:pPr>
              <w:pStyle w:val="TableContents"/>
              <w:bidi w:val="0"/>
              <w:spacing w:before="0" w:after="0"/>
              <w:ind w:left="0" w:right="0" w:hanging="0"/>
              <w:jc w:val="center"/>
              <w:rPr/>
            </w:pPr>
            <w:r>
              <w:rPr/>
              <w:t>​</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Anna Maria, FL</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16,408</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16,141</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16,141</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c>
          <w:tcPr>
            <w:tcW w:w="272" w:type="dxa"/>
            <w:tcBorders/>
            <w:vAlign w:val="center"/>
          </w:tcPr>
          <w:p>
            <w:pPr>
              <w:pStyle w:val="TableContents"/>
              <w:bidi w:val="0"/>
              <w:spacing w:before="0" w:after="0"/>
              <w:ind w:left="0" w:right="0" w:hanging="0"/>
              <w:jc w:val="center"/>
              <w:rPr/>
            </w:pPr>
            <w:r>
              <w:rPr/>
              <w:t>​</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Long Boat Key, FL</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5,408</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5,321</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5,321</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c>
          <w:tcPr>
            <w:tcW w:w="272" w:type="dxa"/>
            <w:tcBorders/>
            <w:shd w:fill="CCEEFF" w:val="clear"/>
            <w:vAlign w:val="center"/>
          </w:tcPr>
          <w:p>
            <w:pPr>
              <w:pStyle w:val="TableContents"/>
              <w:bidi w:val="0"/>
              <w:spacing w:before="0" w:after="0"/>
              <w:ind w:left="0" w:right="0" w:hanging="0"/>
              <w:jc w:val="center"/>
              <w:rPr/>
            </w:pPr>
            <w:r>
              <w:rPr/>
              <w:t>​</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Cornerstone Exchange – Daytona Beach, FL</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2025</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2027</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23,905</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10,306</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10,246</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10.00%</w:t>
            </w:r>
          </w:p>
        </w:tc>
        <w:tc>
          <w:tcPr>
            <w:tcW w:w="272" w:type="dxa"/>
            <w:tcBorders/>
            <w:vAlign w:val="center"/>
          </w:tcPr>
          <w:p>
            <w:pPr>
              <w:pStyle w:val="TableContents"/>
              <w:bidi w:val="0"/>
              <w:spacing w:before="0" w:after="0"/>
              <w:ind w:left="0" w:right="0" w:hanging="0"/>
              <w:jc w:val="center"/>
              <w:rPr/>
            </w:pPr>
            <w:r>
              <w:rPr/>
              <w:t>​</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Industrial – Fremont, CA</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2027</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23,863</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c>
          <w:tcPr>
            <w:tcW w:w="272" w:type="dxa"/>
            <w:tcBorders/>
            <w:shd w:fill="CCEEFF" w:val="clear"/>
            <w:vAlign w:val="center"/>
          </w:tcPr>
          <w:p>
            <w:pPr>
              <w:pStyle w:val="TableContents"/>
              <w:bidi w:val="0"/>
              <w:spacing w:before="0" w:after="0"/>
              <w:ind w:left="0" w:right="0" w:hanging="0"/>
              <w:jc w:val="center"/>
              <w:rPr/>
            </w:pPr>
            <w:r>
              <w:rPr/>
              <w:t>​</w:t>
            </w:r>
          </w:p>
        </w:tc>
      </w:tr>
      <w:tr>
        <w:trPr/>
        <w:tc>
          <w:tcPr>
            <w:tcW w:w="2019"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 xml:space="preserve">Mortgage Note – Luxury Residential Development – Austin, TX </w:t>
            </w:r>
            <w:r>
              <w:rPr>
                <w:rFonts w:ascii="Times New Roman;Times;serif" w:hAnsi="Times New Roman;Times;serif"/>
                <w:sz w:val="13"/>
              </w:rPr>
              <w:t>(2)</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2028</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61,250</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59,717</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58,811</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16.00%</w:t>
            </w:r>
          </w:p>
        </w:tc>
        <w:tc>
          <w:tcPr>
            <w:tcW w:w="272" w:type="dxa"/>
            <w:tcBorders/>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(3)</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Mixed-Use Development – Lake Toxaway, NC</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2027</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13,500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11,279</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11,206</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16.00%</w:t>
            </w:r>
          </w:p>
        </w:tc>
        <w:tc>
          <w:tcPr>
            <w:tcW w:w="2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(4)</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Costco Mixed-Use Development – Atlanta, GA</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2027</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4,500</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2,452</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2,427</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c>
          <w:tcPr>
            <w:tcW w:w="272" w:type="dxa"/>
            <w:tcBorders/>
            <w:vAlign w:val="center"/>
          </w:tcPr>
          <w:p>
            <w:pPr>
              <w:pStyle w:val="TableContents"/>
              <w:bidi w:val="0"/>
              <w:spacing w:before="0" w:after="0"/>
              <w:ind w:left="0" w:right="0" w:hanging="0"/>
              <w:jc w:val="left"/>
              <w:rPr/>
            </w:pPr>
            <w:r>
              <w:rPr/>
              <w:t>​</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Redevelopment Loan – Mixed-Use Redevelopment – Denver, CO</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2028</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13,500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9,364</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9,212</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12.00%</w:t>
            </w:r>
          </w:p>
        </w:tc>
        <w:tc>
          <w:tcPr>
            <w:tcW w:w="2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(5)</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Mixed-Use Development – Herndon, VA</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2025</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2028</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20,000</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20,307</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20,143</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12.00%</w:t>
            </w:r>
          </w:p>
        </w:tc>
        <w:tc>
          <w:tcPr>
            <w:tcW w:w="272" w:type="dxa"/>
            <w:tcBorders/>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(6)</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Aspen, CO</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2026</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June 2027 </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9,995</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9,995</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8.39%</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Retail Development – Covington, GA</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2026</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2028</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32,000</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10,118</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9,888</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13.00%</w:t>
            </w:r>
          </w:p>
        </w:tc>
        <w:tc>
          <w:tcPr>
            <w:tcW w:w="272" w:type="dxa"/>
            <w:tcBorders/>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(7)</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Retail Development – Lexington, KY</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2026</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2028</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8,718</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8,471</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10.00%</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Sales-Type Lease – Denver, CO</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2026</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2039</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16,257</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16,246</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16,246</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8.11%</w:t>
            </w:r>
          </w:p>
        </w:tc>
        <w:tc>
          <w:tcPr>
            <w:tcW w:w="272" w:type="dxa"/>
            <w:tcBorders/>
            <w:vAlign w:val="center"/>
          </w:tcPr>
          <w:p>
            <w:pPr>
              <w:pStyle w:val="TableContents"/>
              <w:bidi w:val="0"/>
              <w:spacing w:before="0" w:after="0"/>
              <w:ind w:left="0" w:right="0" w:hanging="0"/>
              <w:jc w:val="left"/>
              <w:rPr/>
            </w:pPr>
            <w:r>
              <w:rPr/>
              <w:t>​</w:t>
            </w:r>
          </w:p>
        </w:tc>
      </w:tr>
      <w:tr>
        <w:trPr/>
        <w:tc>
          <w:tcPr>
            <w:tcW w:w="201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314,461</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235,780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233,779</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(2,358)</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pPr>
            <w:r>
              <w:rPr/>
              <w:t>​</w:t>
            </w:r>
          </w:p>
        </w:tc>
        <w:tc>
          <w:tcPr>
            <w:tcW w:w="272" w:type="dxa"/>
            <w:tcBorders/>
            <w:vAlign w:val="center"/>
          </w:tcPr>
          <w:p>
            <w:pPr>
              <w:pStyle w:val="TableContents"/>
              <w:bidi w:val="0"/>
              <w:spacing w:before="0" w:after="0"/>
              <w:ind w:left="0" w:right="0" w:hanging="0"/>
              <w:jc w:val="center"/>
              <w:rPr/>
            </w:pPr>
            <w:r>
              <w:rPr/>
              <w:t>​</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231,421</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pPr>
            <w:r>
              <w:rPr/>
              <w:t>​</w:t>
            </w:r>
          </w:p>
        </w:tc>
        <w:tc>
          <w:tcPr>
            <w:tcW w:w="272" w:type="dxa"/>
            <w:tcBorders/>
            <w:shd w:fill="CCEEFF" w:val="clear"/>
            <w:vAlign w:val="center"/>
          </w:tcPr>
          <w:p>
            <w:pPr>
              <w:pStyle w:val="TableContents"/>
              <w:bidi w:val="0"/>
              <w:spacing w:before="0" w:after="0"/>
              <w:ind w:left="0" w:right="0" w:hanging="0"/>
              <w:jc w:val="center"/>
              <w:rPr/>
            </w:pPr>
            <w:r>
              <w:rPr/>
              <w:t>​</w:t>
            </w:r>
          </w:p>
        </w:tc>
      </w:tr>
    </w:tbl>
    <w:tbl>
      <w:tblPr>
        <w:tblW w:w="8822" w:type="dxa"/>
        <w:jc w:val="left"/>
        <w:tblInd w:w="0" w:type="dxa"/>
        <w:tblLayout w:type="fixed"/>
        <w:tblCellMar>
          <w:top w:w="0" w:type="dxa"/>
          <w:left w:w="0" w:type="dxa"/>
          <w:bottom w:w="0" w:type="dxa"/>
          <w:right w:w="0" w:type="dxa"/>
        </w:tblCellMar>
      </w:tblPr>
      <w:tblGrid>
        <w:gridCol w:w="271"/>
        <w:gridCol w:w="855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8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maturity date reflects the date the tenant’s repurchase right first becomes exercisable pursuant to the lease agreement.</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2026, after adjusting for the A-1 participation interests, as described in Note 12, “Obligation Under Participation Agreement”, the Company’s net remaining investment, at face value, in the 2025 Mortgage Note is $41.2</w:t>
            </w:r>
            <w:r>
              <w:rPr>
                <w:caps w:val="false"/>
                <w:smallCaps w:val="false"/>
              </w:rPr>
              <w:t xml:space="preserve"> </w:t>
            </w:r>
            <w:r>
              <w:rPr>
                <w:rFonts w:ascii="Times New Roman;Times;serif" w:hAnsi="Times New Roman;Times;serif"/>
                <w:b w:val="false"/>
                <w:i w:val="false"/>
                <w:caps w:val="false"/>
                <w:smallCaps w:val="false"/>
                <w:sz w:val="16"/>
              </w:rPr>
              <w:t>million.</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12.00%</w:t>
            </w:r>
            <w:r>
              <w:rPr>
                <w:caps w:val="false"/>
                <w:smallCaps w:val="false"/>
              </w:rPr>
              <w:t xml:space="preserve"> </w:t>
            </w:r>
            <w:r>
              <w:rPr>
                <w:rFonts w:ascii="Times New Roman;Times;serif" w:hAnsi="Times New Roman;Times;serif"/>
                <w:b w:val="false"/>
                <w:i w:val="false"/>
                <w:caps w:val="false"/>
                <w:smallCaps w:val="false"/>
                <w:sz w:val="16"/>
              </w:rPr>
              <w:t>cash interest and 4.00%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13.00%</w:t>
            </w:r>
            <w:r>
              <w:rPr>
                <w:caps w:val="false"/>
                <w:smallCaps w:val="false"/>
              </w:rPr>
              <w:t xml:space="preserve"> </w:t>
            </w:r>
            <w:r>
              <w:rPr>
                <w:rFonts w:ascii="Times New Roman;Times;serif" w:hAnsi="Times New Roman;Times;serif"/>
                <w:b w:val="false"/>
                <w:i w:val="false"/>
                <w:caps w:val="false"/>
                <w:smallCaps w:val="false"/>
                <w:sz w:val="16"/>
              </w:rPr>
              <w:t>cash interest and 3.00%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837" w:type="dxa"/>
        <w:jc w:val="left"/>
        <w:tblInd w:w="0" w:type="dxa"/>
        <w:tblLayout w:type="fixed"/>
        <w:tblCellMar>
          <w:top w:w="0" w:type="dxa"/>
          <w:left w:w="0" w:type="dxa"/>
          <w:bottom w:w="0" w:type="dxa"/>
          <w:right w:w="0" w:type="dxa"/>
        </w:tblCellMar>
      </w:tblPr>
      <w:tblGrid>
        <w:gridCol w:w="271"/>
        <w:gridCol w:w="556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(5)</w:t>
            </w:r>
          </w:p>
        </w:tc>
        <w:tc>
          <w:tcPr>
            <w:tcW w:w="556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9.00%</w:t>
            </w:r>
            <w:r>
              <w:rPr>
                <w:caps w:val="false"/>
                <w:smallCaps w:val="false"/>
              </w:rPr>
              <w:t xml:space="preserve"> </w:t>
            </w:r>
            <w:r>
              <w:rPr>
                <w:rFonts w:ascii="Times New Roman;Times;serif" w:hAnsi="Times New Roman;Times;serif"/>
                <w:b w:val="false"/>
                <w:i w:val="false"/>
                <w:caps w:val="false"/>
                <w:smallCaps w:val="false"/>
                <w:sz w:val="16"/>
              </w:rPr>
              <w:t>cash interest and 3.00%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(6)</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10.00%</w:t>
            </w:r>
            <w:r>
              <w:rPr>
                <w:caps w:val="false"/>
                <w:smallCaps w:val="false"/>
              </w:rPr>
              <w:t xml:space="preserve"> </w:t>
            </w:r>
            <w:r>
              <w:rPr>
                <w:rFonts w:ascii="Times New Roman;Times;serif" w:hAnsi="Times New Roman;Times;serif"/>
                <w:b w:val="false"/>
                <w:i w:val="false"/>
                <w:caps w:val="false"/>
                <w:smallCaps w:val="false"/>
                <w:sz w:val="16"/>
              </w:rPr>
              <w:t>cash interest and 2.00%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(7)</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11.50%</w:t>
            </w:r>
            <w:r>
              <w:rPr>
                <w:caps w:val="false"/>
                <w:smallCaps w:val="false"/>
              </w:rPr>
              <w:t xml:space="preserve"> </w:t>
            </w:r>
            <w:r>
              <w:rPr>
                <w:rFonts w:ascii="Times New Roman;Times;serif" w:hAnsi="Times New Roman;Times;serif"/>
                <w:b w:val="false"/>
                <w:i w:val="false"/>
                <w:caps w:val="false"/>
                <w:smallCaps w:val="false"/>
                <w:sz w:val="16"/>
              </w:rPr>
              <w:t>cash interest and 1.50%</w:t>
            </w:r>
            <w:r>
              <w:rPr>
                <w:caps w:val="false"/>
                <w:smallCaps w:val="false"/>
              </w:rPr>
              <w:t xml:space="preserve"> </w:t>
            </w:r>
            <w:r>
              <w:rPr>
                <w:rFonts w:ascii="Times New Roman;Times;serif" w:hAnsi="Times New Roman;Times;serif"/>
                <w:b w:val="false"/>
                <w:i w:val="false"/>
                <w:caps w:val="false"/>
                <w:smallCaps w:val="false"/>
                <w:sz w:val="16"/>
              </w:rPr>
              <w:t>paid-in-kind.</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bookmarkStart w:id="1019" w:name="Tc_yqZuLchy40acNtpw8cFHTg_6_5"/>
      <w:bookmarkStart w:id="1020" w:name="Tc_pIsYlNXJJUKszOWmyiKlIA_6_2"/>
      <w:bookmarkStart w:id="1021" w:name="Tc_VGDuLJzeEUGfsq4u5250Cg_6_0"/>
      <w:bookmarkStart w:id="1022" w:name="Tc_M8VJhC-nH0GYWcaE5U2YdQ_5_0"/>
      <w:bookmarkStart w:id="1023" w:name="Tc_ywwxloluB0aKZgyKl_LCBA_4_0"/>
      <w:bookmarkStart w:id="1024" w:name="Tc_WF4apNZn10O4K9qYXZR0ZQ_3_5"/>
      <w:bookmarkStart w:id="1025" w:name="Tc_3Bmhnn0a8EOMFki8vmLXjg_3_2"/>
      <w:bookmarkStart w:id="1026" w:name="Tc_nEoFjK0ywkKw2spi63CFaA_3_0"/>
      <w:bookmarkStart w:id="1027" w:name="Tc_cLcpLWuvz0qHGe6Y3T7VbA_2_5"/>
      <w:bookmarkStart w:id="1028" w:name="Tc_Cz6r65BIREG1EtKCGr7LPQ_2_2"/>
      <w:bookmarkStart w:id="1029" w:name="Tc_5FfercqJUECRNhxKTcuEkQ_1_2"/>
      <w:bookmarkStart w:id="1030" w:name="_f1147354_6f40_4d0f_af5b_a56592e8a870"/>
      <w:bookmarkStart w:id="1031" w:name="Tc_V1Auk26guEu5Kdkgb7OY6Q_22_12"/>
      <w:bookmarkStart w:id="1032" w:name="Tc__nOGHS43lUah5CUIVI92hQ_22_0"/>
      <w:bookmarkStart w:id="1033" w:name="Tc_h68jy0k6S0CVSZyJZfqVlA_21_0"/>
      <w:bookmarkStart w:id="1034" w:name="Tc_nvMjD4sD9ECYduYMIuOixw_20_12"/>
      <w:bookmarkStart w:id="1035" w:name="Tc_1LzECc2L3EeOZA7-flKzaA_20_9"/>
      <w:bookmarkStart w:id="1036" w:name="Tc_UUb44x53IUKugPfvtm12JQ_20_6"/>
      <w:bookmarkStart w:id="1037" w:name="Tc_S6PYPRFGtEOhyuwIW3dzFQ_19_16"/>
      <w:bookmarkStart w:id="1038" w:name="Tc_Q-4FvIJI30SWV5CLFKDJ3w_19_4"/>
      <w:bookmarkStart w:id="1039" w:name="Tc_nRcX2tFv_UOlE0RAVpf2EA_19_2"/>
      <w:bookmarkStart w:id="1040" w:name="Tc_Ol7u5_-lx0iV6IQU9h5f2g_19_0"/>
      <w:bookmarkStart w:id="1041" w:name="Tc_XqcbLhtBpUq4dV4O_X3wyA_18_16"/>
      <w:bookmarkStart w:id="1042" w:name="Tc_jkg0g25kvEKTDdurhvBQDA_18_4"/>
      <w:bookmarkStart w:id="1043" w:name="Tc_l35OlMU9tECvxepQTyRQvg_18_2"/>
      <w:bookmarkStart w:id="1044" w:name="Tc_bs0cehpI3USj4i2Liyla1A_18_0"/>
      <w:bookmarkStart w:id="1045" w:name="Tc_z41yGBkF5UyxMvxdOu1lRg_17_4"/>
      <w:bookmarkStart w:id="1046" w:name="Tc_zRM16daaL0Swh4RTnyjkoQ_17_2"/>
      <w:bookmarkStart w:id="1047" w:name="Tc_4pictwHgvkOcpPxUwMx7Ww_17_0"/>
      <w:bookmarkStart w:id="1048" w:name="Tc_piIOQkwaCEKvVc0iwe1SCw_16_16"/>
      <w:bookmarkStart w:id="1049" w:name="Tc_SSOnTN4Xv0KIIVu1QaBQGg_16_4"/>
      <w:bookmarkStart w:id="1050" w:name="Tc_H8Jl5fm4Dk-9fk2MRa3_iw_16_2"/>
      <w:bookmarkStart w:id="1051" w:name="Tc_reWWPYxCnUCNlCRFdaEPhA_16_0"/>
      <w:bookmarkStart w:id="1052" w:name="Tc_-divXHR3U0S8oPS6It7OXg_15_16"/>
      <w:bookmarkStart w:id="1053" w:name="Tc_vfZJJ6oCRUOzBJHxcm2qDg_15_4"/>
      <w:bookmarkStart w:id="1054" w:name="Tc_DHDtqpmDhkut75Fd3vuJuQ_15_2"/>
      <w:bookmarkStart w:id="1055" w:name="Tc_yfOaOIrL9kW_NSJ4UNadWg_15_0"/>
      <w:bookmarkStart w:id="1056" w:name="Tc_kbH4wGUPl0OUxoOUmA3Wqw_14_4"/>
      <w:bookmarkStart w:id="1057" w:name="Tc_LuEuTqbfLUKQrOv6rfJ-Ng_14_2"/>
      <w:bookmarkStart w:id="1058" w:name="Tc_ivsN-g6aW02VGYXCCaR6QA_14_0"/>
      <w:bookmarkStart w:id="1059" w:name="Tc_0CXDuHQO6EWoryp4KV_dbA_13_4"/>
      <w:bookmarkStart w:id="1060" w:name="Tc_kH492F7sPkqrBCDfqf_JXA_13_2"/>
      <w:bookmarkStart w:id="1061" w:name="Tc_ytZXDQNcz0mrwxuRyPtktA_13_0"/>
      <w:bookmarkStart w:id="1062" w:name="Tc_4EzYQm27IkSSzWQxS9A0eQ_12_4"/>
      <w:bookmarkStart w:id="1063" w:name="Tc_HEBDOW_Ysk6mu5y6aIThAQ_12_2"/>
      <w:bookmarkStart w:id="1064" w:name="Tc_dyyRxUoGsUiGmcXD3NMF6A_12_0"/>
      <w:bookmarkStart w:id="1065" w:name="Tc_CwPTMjz4XUiyHKKdpJGYDA_11_4"/>
      <w:bookmarkStart w:id="1066" w:name="Tc_1NF2PXIgVUO7BPbNYN2i5A_11_2"/>
      <w:bookmarkStart w:id="1067" w:name="Tc_U0-U8Rch4kCSOim5rxq-VQ_11_0"/>
      <w:bookmarkStart w:id="1068" w:name="Tc_BAuH7KGsZ0yKoqoVN3odjA_10_4"/>
      <w:bookmarkStart w:id="1069" w:name="Tc_ReduSrAJoESNShQ3SigqYg_10_2"/>
      <w:bookmarkStart w:id="1070" w:name="Tc_PAqMusf6r0mvZU-2pAYpFQ_10_0"/>
      <w:bookmarkStart w:id="1071" w:name="Tc_gF0s8BQCC0a_CubbKNRrkw_9_4"/>
      <w:bookmarkStart w:id="1072" w:name="Tc_v0kMAyJQzkqzrSA9hQFpkw_9_2"/>
      <w:bookmarkStart w:id="1073" w:name="Tc_xsD0dFWp_UqWCG3pEWswCg_9_0"/>
      <w:bookmarkStart w:id="1074" w:name="Tc_HasXCgiIc0-Xf0vvbFLcWw_8_4"/>
      <w:bookmarkStart w:id="1075" w:name="Tc_O3ep09dJskqwVq7uqvblOg_8_2"/>
      <w:bookmarkStart w:id="1076" w:name="Tc_Y2ZpbfPZLki_2QiwujP3Fg_8_0"/>
      <w:bookmarkStart w:id="1077" w:name="Tc_JMY08cddvEWP_8R9IxJVFQ_7_4"/>
      <w:bookmarkStart w:id="1078" w:name="Tc_iYx0UqVMgEK_UAw2jEeyHA_7_2"/>
      <w:bookmarkStart w:id="1079" w:name="Tc_AE8WP_5liUWCbCWq1MS03g_7_0"/>
      <w:bookmarkStart w:id="1080" w:name="Tc_EoOJLyDgOk6e2V4KQVBb8Q_6_4"/>
      <w:bookmarkStart w:id="1081" w:name="Tc_5yduqH_ODEu_NP_LstXiYg_6_2"/>
      <w:bookmarkStart w:id="1082" w:name="Tc_BKDofD2-CUmpHJ3d8ERBsw_6_0"/>
      <w:bookmarkStart w:id="1083" w:name="Tc_Y90Xz_JhnUywMpP9PoWGuQ_5_4"/>
      <w:bookmarkStart w:id="1084" w:name="Tc_-1T49n1xAUKNw6Z0P_5rNQ_5_2"/>
      <w:bookmarkStart w:id="1085" w:name="Tc_jFSy6_Ek4k2o-0SizLAbfw_5_0"/>
      <w:bookmarkStart w:id="1086" w:name="Tc_u5j6xwzFTEqqqZBDDsGYcA_4_4"/>
      <w:bookmarkStart w:id="1087" w:name="Tc_aCrc5d11BEWWWSviWV_aGw_4_2"/>
      <w:bookmarkStart w:id="1088" w:name="Tc_L7Dbo2Nu0UeN29PzpPA8Jg_4_0"/>
      <w:bookmarkStart w:id="1089" w:name="Tc_JXSig90tyUOiqE79vsbW6g_3_4"/>
      <w:bookmarkStart w:id="1090" w:name="Tc_H_TYQasSCE6TY7est4e0sw_3_2"/>
      <w:bookmarkStart w:id="1091" w:name="Tc_iwwneQ2vhU-CoSj6nI-TSA_3_0"/>
      <w:bookmarkStart w:id="1092" w:name="Tc_A0jnpjvcNkKhRzFE63bylw_2_12"/>
      <w:bookmarkStart w:id="1093" w:name="Tc_PLwoLz3YIU68P7dwBqgDyQ_2_9"/>
      <w:bookmarkStart w:id="1094" w:name="Tc_5rIHqrd4CU-pLZGwSB2IfA_2_6"/>
      <w:bookmarkStart w:id="1095" w:name="Tc_T974k2QoHUSL-IHeV1I-gA_2_4"/>
      <w:bookmarkStart w:id="1096" w:name="Tc_o8w4sI3aqEe-10ABqUpChg_2_2"/>
      <w:bookmarkStart w:id="1097" w:name="Tc_fkzjLVAYL06QECRcs3nhbQ_2_0"/>
      <w:bookmarkStart w:id="1098" w:name="Tc_IhKJ3AuP2kuAYKl81eD5Sw_1_15"/>
      <w:bookmarkStart w:id="1099" w:name="Tc_CDKI083ntE-3fxkLwQ784w_1_12"/>
      <w:bookmarkStart w:id="1100" w:name="Tc_nxYcmpKse0m9IeNcDGU6eg_1_9"/>
      <w:bookmarkStart w:id="1101" w:name="Tc_b9iMK__9CkqgneFV5TwNWA_1_6"/>
      <w:bookmarkStart w:id="1102" w:name="Tc_VKPvsUDfFEa8gh2rdAbuHw_1_4"/>
      <w:bookmarkStart w:id="1103" w:name="Tc_ntV85oRAzECmc6uFFh349A_1_2"/>
      <w:bookmarkStart w:id="1104" w:name="Tc_F9uR9PRbY02uPRheuF4JKg_1_0"/>
      <w:bookmarkStart w:id="1105" w:name="_cc3ff1ad_78de_4316_9946_a82910a4af2d"/>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r>
        <w:rPr>
          <w:rFonts w:ascii="Times New Roman;Times;serif" w:hAnsi="Times New Roman;Times;serif"/>
          <w:sz w:val="20"/>
        </w:rPr>
        <w:t>The Company’s commercial loans and investments were comprised of the following at December 31, 2025 (in thousands):</w:t>
      </w:r>
    </w:p>
    <w:tbl>
      <w:tblPr>
        <w:tblW w:w="10205" w:type="dxa"/>
        <w:jc w:val="left"/>
        <w:tblInd w:w="0" w:type="dxa"/>
        <w:tblLayout w:type="fixed"/>
        <w:tblCellMar>
          <w:top w:w="0" w:type="dxa"/>
          <w:left w:w="0" w:type="dxa"/>
          <w:bottom w:w="0" w:type="dxa"/>
          <w:right w:w="0" w:type="dxa"/>
        </w:tblCellMar>
      </w:tblPr>
      <w:tblGrid>
        <w:gridCol w:w="2053"/>
        <w:gridCol w:w="346"/>
        <w:gridCol w:w="1026"/>
        <w:gridCol w:w="346"/>
        <w:gridCol w:w="927"/>
        <w:gridCol w:w="346"/>
        <w:gridCol w:w="236"/>
        <w:gridCol w:w="833"/>
        <w:gridCol w:w="346"/>
        <w:gridCol w:w="234"/>
        <w:gridCol w:w="828"/>
        <w:gridCol w:w="346"/>
        <w:gridCol w:w="212"/>
        <w:gridCol w:w="750"/>
        <w:gridCol w:w="346"/>
        <w:gridCol w:w="759"/>
        <w:gridCol w:w="271"/>
      </w:tblGrid>
      <w:tr>
        <w:trPr/>
        <w:tc>
          <w:tcPr>
            <w:tcW w:w="20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51510" cy="175260"/>
                      <wp:effectExtent l="0" t="0" r="0" b="0"/>
                      <wp:wrapNone/>
                      <wp:docPr id="172" name="Frame172"/>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88645" cy="175260"/>
                      <wp:effectExtent l="0" t="0" r="0" b="0"/>
                      <wp:wrapNone/>
                      <wp:docPr id="174" name="Frame174"/>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49860" cy="175260"/>
                      <wp:effectExtent l="0" t="0" r="0" b="0"/>
                      <wp:wrapNone/>
                      <wp:docPr id="176" name="Frame17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28955" cy="175260"/>
                      <wp:effectExtent l="0" t="0" r="0" b="0"/>
                      <wp:wrapNone/>
                      <wp:docPr id="177" name="Frame177"/>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48590" cy="175260"/>
                      <wp:effectExtent l="0" t="0" r="0" b="0"/>
                      <wp:wrapNone/>
                      <wp:docPr id="179" name="Frame179"/>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25780" cy="175260"/>
                      <wp:effectExtent l="0" t="0" r="0" b="0"/>
                      <wp:wrapNone/>
                      <wp:docPr id="180" name="Frame180"/>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4620" cy="175260"/>
                      <wp:effectExtent l="0" t="0" r="0" b="0"/>
                      <wp:wrapNone/>
                      <wp:docPr id="182" name="Frame182"/>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76250" cy="175260"/>
                      <wp:effectExtent l="0" t="0" r="0" b="0"/>
                      <wp:wrapNone/>
                      <wp:docPr id="183" name="Frame183"/>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81965" cy="175260"/>
                      <wp:effectExtent l="0" t="0" r="0" b="0"/>
                      <wp:wrapNone/>
                      <wp:docPr id="185" name="Frame185"/>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72085" cy="175260"/>
                      <wp:effectExtent l="0" t="0" r="0" b="0"/>
                      <wp:wrapNone/>
                      <wp:docPr id="186" name="Frame18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46" w:type="dxa"/>
            <w:tcBorders/>
            <w:vAlign w:val="center"/>
          </w:tcPr>
          <w:p>
            <w:pPr>
              <w:pStyle w:val="TableContents"/>
              <w:bidi w:val="0"/>
              <w:spacing w:before="0" w:after="0"/>
              <w:ind w:left="0" w:right="0" w:hanging="0"/>
              <w:jc w:val="left"/>
              <w:rPr/>
            </w:pPr>
            <w:r>
              <w:rPr/>
              <w:t>  ​ ​ ​</w:t>
            </w:r>
          </w:p>
        </w:tc>
        <w:tc>
          <w:tcPr>
            <w:tcW w:w="10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46" w:type="dxa"/>
            <w:tcBorders/>
            <w:vAlign w:val="center"/>
          </w:tcPr>
          <w:p>
            <w:pPr>
              <w:pStyle w:val="TableContents"/>
              <w:bidi w:val="0"/>
              <w:spacing w:before="0" w:after="0"/>
              <w:ind w:left="0" w:right="0" w:hanging="0"/>
              <w:jc w:val="left"/>
              <w:rPr/>
            </w:pPr>
            <w:r>
              <w:rPr/>
              <w:t>  ​ ​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46" w:type="dxa"/>
            <w:tcBorders/>
            <w:vAlign w:val="center"/>
          </w:tcPr>
          <w:p>
            <w:pPr>
              <w:pStyle w:val="TableContents"/>
              <w:bidi w:val="0"/>
              <w:spacing w:before="0" w:after="0"/>
              <w:ind w:left="0" w:right="0" w:hanging="0"/>
              <w:jc w:val="left"/>
              <w:rPr/>
            </w:pPr>
            <w:r>
              <w:rPr/>
              <w:t>  ​ ​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46" w:type="dxa"/>
            <w:tcBorders/>
            <w:vAlign w:val="center"/>
          </w:tcPr>
          <w:p>
            <w:pPr>
              <w:pStyle w:val="TableContents"/>
              <w:bidi w:val="0"/>
              <w:spacing w:before="0" w:after="0"/>
              <w:ind w:left="0" w:right="0" w:hanging="0"/>
              <w:jc w:val="left"/>
              <w:rPr/>
            </w:pPr>
            <w:r>
              <w:rPr/>
              <w:t>  ​ ​ ​</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46" w:type="dxa"/>
            <w:tcBorders/>
            <w:vAlign w:val="center"/>
          </w:tcPr>
          <w:p>
            <w:pPr>
              <w:pStyle w:val="TableContents"/>
              <w:bidi w:val="0"/>
              <w:spacing w:before="0" w:after="0"/>
              <w:ind w:left="0" w:right="0" w:hanging="0"/>
              <w:jc w:val="left"/>
              <w:rPr/>
            </w:pPr>
            <w:r>
              <w:rPr/>
              <w:t>  ​ ​ ​</w:t>
            </w:r>
          </w:p>
        </w:tc>
        <w:tc>
          <w:tcPr>
            <w:tcW w:w="7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Greenwood, IN</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2023</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2026</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14,800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9,144</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9,165</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9.50%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Antioch, TN</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2023</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2026</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7,425</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6,309</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6,317</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10.25%</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Retail Outparcels – Lawrenceville, GA</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2024</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2026</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1,095</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11.25%</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Mount Carmel, OH</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2024</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2026</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6,127</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6,127</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11.50%</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Bradenton Beach, FL</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9,608</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9,519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9,519</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Anna Maria, FL</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16,408</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16,256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16,256</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Long Boat Key, FL</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5,408</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5,358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5,358</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At Home Plaza – North Canton, OH</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2028</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6,200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6,200</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6,200</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8.65%</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Retail Land Development – Stuart, FL</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2027</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15,500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7,084</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6,987</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10.00%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Cornerstone Exchange – Daytona Beach, FL</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2027</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23,905</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6,886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6,747</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10.00%</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Old Time Pottery – Orange Park, FL</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2028</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8.00%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Industrial – Fremont, CA</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2027</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23,751</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Commercial Building – Reno, NV</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2027</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8.00%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 xml:space="preserve">Mortgage Note – Luxury Residential Development – Austin, TX </w:t>
            </w:r>
            <w:r>
              <w:rPr>
                <w:rFonts w:ascii="Times New Roman;Times;serif" w:hAnsi="Times New Roman;Times;serif"/>
                <w:sz w:val="13"/>
              </w:rPr>
              <w:t>(2)</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2028</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29,500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28,627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28,070</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17.00%</w:t>
            </w:r>
          </w:p>
        </w:tc>
        <w:tc>
          <w:tcPr>
            <w:tcW w:w="271" w:type="dxa"/>
            <w:tcBorders/>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(3)</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Mixed-Use Development – Lake Toxaway, NC</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2027</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6,938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6,813</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16.00%</w:t>
            </w:r>
          </w:p>
        </w:tc>
        <w:tc>
          <w:tcPr>
            <w:tcW w:w="2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(4)</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Costco Mixed-Use Development – Atlanta, GA</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2027</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4,500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879</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838</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c>
          <w:tcPr>
            <w:tcW w:w="271" w:type="dxa"/>
            <w:tcBorders/>
            <w:vAlign w:val="center"/>
          </w:tcPr>
          <w:p>
            <w:pPr>
              <w:pStyle w:val="TableContents"/>
              <w:bidi w:val="0"/>
              <w:spacing w:before="0" w:after="0"/>
              <w:ind w:left="0" w:right="0" w:hanging="0"/>
              <w:jc w:val="left"/>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Redevelopment Loan – Mixed-Use Redevelopment – Denver, CO</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2028</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8,519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8,317</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12.00%</w:t>
            </w:r>
          </w:p>
        </w:tc>
        <w:tc>
          <w:tcPr>
            <w:tcW w:w="2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(5)</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Mixed-Use Development – Herndon, VA</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2028</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20,000</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20,001</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19,702</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12.00%</w:t>
            </w:r>
          </w:p>
        </w:tc>
        <w:tc>
          <w:tcPr>
            <w:tcW w:w="271" w:type="dxa"/>
            <w:tcBorders/>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(6)</w:t>
            </w:r>
          </w:p>
        </w:tc>
      </w:tr>
      <w:tr>
        <w:trPr/>
        <w:tc>
          <w:tcPr>
            <w:tcW w:w="20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225,581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170,946</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169,262</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(1,709)</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167,553</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bl>
    <w:tbl>
      <w:tblPr>
        <w:tblW w:w="8822" w:type="dxa"/>
        <w:jc w:val="left"/>
        <w:tblInd w:w="0" w:type="dxa"/>
        <w:tblLayout w:type="fixed"/>
        <w:tblCellMar>
          <w:top w:w="0" w:type="dxa"/>
          <w:left w:w="0" w:type="dxa"/>
          <w:bottom w:w="0" w:type="dxa"/>
          <w:right w:w="0" w:type="dxa"/>
        </w:tblCellMar>
      </w:tblPr>
      <w:tblGrid>
        <w:gridCol w:w="271"/>
        <w:gridCol w:w="855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8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maturity date reflects the date the tenant’s repurchase right first becomes exercisable pursuant to the lease agreement.</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after adjusting for the A-1 participation interests, as described in Note 12, "Obligation Under Participation Agreement", the Company's net remaining investment, at face value, in the 2025 Mortgage Note is $18.6</w:t>
            </w:r>
            <w:r>
              <w:rPr>
                <w:caps w:val="false"/>
                <w:smallCaps w:val="false"/>
              </w:rPr>
              <w:t xml:space="preserve"> </w:t>
            </w:r>
            <w:r>
              <w:rPr>
                <w:rFonts w:ascii="Times New Roman;Times;serif" w:hAnsi="Times New Roman;Times;serif"/>
                <w:b w:val="false"/>
                <w:i w:val="false"/>
                <w:caps w:val="false"/>
                <w:smallCaps w:val="false"/>
                <w:sz w:val="16"/>
              </w:rPr>
              <w:t>million.</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13.00%</w:t>
            </w:r>
            <w:r>
              <w:rPr>
                <w:caps w:val="false"/>
                <w:smallCaps w:val="false"/>
              </w:rPr>
              <w:t xml:space="preserve"> </w:t>
            </w:r>
            <w:r>
              <w:rPr>
                <w:rFonts w:ascii="Times New Roman;Times;serif" w:hAnsi="Times New Roman;Times;serif"/>
                <w:b w:val="false"/>
                <w:i w:val="false"/>
                <w:caps w:val="false"/>
                <w:smallCaps w:val="false"/>
                <w:sz w:val="16"/>
              </w:rPr>
              <w:t>cash interest and 4.00%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13.00%</w:t>
            </w:r>
            <w:r>
              <w:rPr>
                <w:caps w:val="false"/>
                <w:smallCaps w:val="false"/>
              </w:rPr>
              <w:t xml:space="preserve"> </w:t>
            </w:r>
            <w:r>
              <w:rPr>
                <w:rFonts w:ascii="Times New Roman;Times;serif" w:hAnsi="Times New Roman;Times;serif"/>
                <w:b w:val="false"/>
                <w:i w:val="false"/>
                <w:caps w:val="false"/>
                <w:smallCaps w:val="false"/>
                <w:sz w:val="16"/>
              </w:rPr>
              <w:t>cash interest and 3.00%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837" w:type="dxa"/>
        <w:jc w:val="left"/>
        <w:tblInd w:w="0" w:type="dxa"/>
        <w:tblLayout w:type="fixed"/>
        <w:tblCellMar>
          <w:top w:w="0" w:type="dxa"/>
          <w:left w:w="0" w:type="dxa"/>
          <w:bottom w:w="0" w:type="dxa"/>
          <w:right w:w="0" w:type="dxa"/>
        </w:tblCellMar>
      </w:tblPr>
      <w:tblGrid>
        <w:gridCol w:w="271"/>
        <w:gridCol w:w="556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(5)</w:t>
            </w:r>
          </w:p>
        </w:tc>
        <w:tc>
          <w:tcPr>
            <w:tcW w:w="556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9.00%</w:t>
            </w:r>
            <w:r>
              <w:rPr>
                <w:caps w:val="false"/>
                <w:smallCaps w:val="false"/>
              </w:rPr>
              <w:t xml:space="preserve"> </w:t>
            </w:r>
            <w:r>
              <w:rPr>
                <w:rFonts w:ascii="Times New Roman;Times;serif" w:hAnsi="Times New Roman;Times;serif"/>
                <w:b w:val="false"/>
                <w:i w:val="false"/>
                <w:caps w:val="false"/>
                <w:smallCaps w:val="false"/>
                <w:sz w:val="16"/>
              </w:rPr>
              <w:t>cash interest and 3.00%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(6)</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10.00%</w:t>
            </w:r>
            <w:r>
              <w:rPr>
                <w:caps w:val="false"/>
                <w:smallCaps w:val="false"/>
              </w:rPr>
              <w:t xml:space="preserve"> </w:t>
            </w:r>
            <w:r>
              <w:rPr>
                <w:rFonts w:ascii="Times New Roman;Times;serif" w:hAnsi="Times New Roman;Times;serif"/>
                <w:b w:val="false"/>
                <w:i w:val="false"/>
                <w:caps w:val="false"/>
                <w:smallCaps w:val="false"/>
                <w:sz w:val="16"/>
              </w:rPr>
              <w:t>cash interest and 2.00%</w:t>
            </w:r>
            <w:r>
              <w:rPr>
                <w:caps w:val="false"/>
                <w:smallCaps w:val="false"/>
              </w:rPr>
              <w:t xml:space="preserve"> </w:t>
            </w:r>
            <w:r>
              <w:rPr>
                <w:rFonts w:ascii="Times New Roman;Times;serif" w:hAnsi="Times New Roman;Times;serif"/>
                <w:b w:val="false"/>
                <w:i w:val="false"/>
                <w:caps w:val="false"/>
                <w:smallCaps w:val="false"/>
                <w:sz w:val="16"/>
              </w:rPr>
              <w:t>paid-in-kind.</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200"/>
        <w:ind w:left="0" w:right="0" w:firstLine="432"/>
        <w:jc w:val="left"/>
        <w:rPr>
          <w:rFonts w:ascii="Times New Roman;Times;serif" w:hAnsi="Times New Roman;Times;serif"/>
          <w:sz w:val="20"/>
        </w:rPr>
      </w:pPr>
      <w:r>
        <w:rPr>
          <w:rFonts w:ascii="Times New Roman;Times;serif" w:hAnsi="Times New Roman;Times;serif"/>
          <w:sz w:val="20"/>
        </w:rPr>
        <w:t>The carrying value of the commercial loans and investments consisted of the following at September 30, 2026 and December 31, 2025 (in thousands).</w:t>
      </w:r>
    </w:p>
    <w:p>
      <w:pPr>
        <w:pStyle w:val="TextBody"/>
        <w:bidi w:val="0"/>
        <w:spacing w:before="0" w:after="0"/>
        <w:ind w:left="0" w:right="0" w:hanging="0"/>
        <w:jc w:val="left"/>
        <w:rPr/>
      </w:pPr>
      <w:r>
        <w:rPr/>
        <w:t>​</w:t>
      </w:r>
    </w:p>
    <w:tbl>
      <w:tblPr>
        <w:tblW w:w="7728" w:type="dxa"/>
        <w:jc w:val="left"/>
        <w:tblInd w:w="0" w:type="dxa"/>
        <w:tblLayout w:type="fixed"/>
        <w:tblCellMar>
          <w:top w:w="0" w:type="dxa"/>
          <w:left w:w="0" w:type="dxa"/>
          <w:bottom w:w="0" w:type="dxa"/>
          <w:right w:w="0" w:type="dxa"/>
        </w:tblCellMar>
      </w:tblPr>
      <w:tblGrid>
        <w:gridCol w:w="3496"/>
        <w:gridCol w:w="346"/>
        <w:gridCol w:w="375"/>
        <w:gridCol w:w="1395"/>
        <w:gridCol w:w="346"/>
        <w:gridCol w:w="336"/>
        <w:gridCol w:w="1434"/>
      </w:tblGrid>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3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1434" w:type="dxa"/>
            <w:tcBorders/>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8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346" w:type="dxa"/>
            <w:tcBorders/>
            <w:vAlign w:val="center"/>
          </w:tcPr>
          <w:p>
            <w:pPr>
              <w:pStyle w:val="TableContents"/>
              <w:bidi w:val="0"/>
              <w:spacing w:before="0" w:after="1"/>
              <w:ind w:left="0" w:right="0" w:hanging="0"/>
              <w:jc w:val="lef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34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235,780</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170,946</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Unaccreted Origination Fees</w:t>
            </w:r>
          </w:p>
        </w:tc>
        <w:tc>
          <w:tcPr>
            <w:tcW w:w="34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3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(2,001)</w:t>
            </w:r>
          </w:p>
        </w:tc>
        <w:tc>
          <w:tcPr>
            <w:tcW w:w="346"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14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(1,684)</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CECL Reserve</w:t>
            </w:r>
          </w:p>
        </w:tc>
        <w:tc>
          <w:tcPr>
            <w:tcW w:w="346" w:type="dxa"/>
            <w:tcBorders/>
            <w:shd w:fill="CCEEFF" w:val="cle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(2,358)</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(1,709)</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Commercial Loans and Investments</w:t>
            </w:r>
          </w:p>
        </w:tc>
        <w:tc>
          <w:tcPr>
            <w:tcW w:w="346" w:type="dxa"/>
            <w:tcBorders/>
            <w:vAlign w:val="center"/>
          </w:tcPr>
          <w:p>
            <w:pPr>
              <w:pStyle w:val="TableContents"/>
              <w:bidi w:val="0"/>
              <w:spacing w:before="0" w:after="1"/>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231,421</w:t>
            </w:r>
          </w:p>
        </w:tc>
        <w:tc>
          <w:tcPr>
            <w:tcW w:w="346" w:type="dxa"/>
            <w:tcBorders/>
            <w:vAlign w:val="center"/>
          </w:tcPr>
          <w:p>
            <w:pPr>
              <w:pStyle w:val="TableContents"/>
              <w:bidi w:val="0"/>
              <w:spacing w:before="0" w:after="1"/>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34"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167,553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106" w:name="Tc_K98q8M3MEE6gXthm3Zz7qg_10_12"/>
      <w:bookmarkStart w:id="1107" w:name="Tc_kZrFv0VDdEWfKa5Mz2hrMg_10_11"/>
      <w:bookmarkStart w:id="1108" w:name="Tc_JWIFhQF1NUqkCKm4XJgQTw_10_8"/>
      <w:bookmarkStart w:id="1109" w:name="Tc_wknuB__LV06LqbFiCCUjDQ_10_6"/>
      <w:bookmarkStart w:id="1110" w:name="Tc_8eRhZijyF0y9CDIbZ3lrDg_10_5"/>
      <w:bookmarkStart w:id="1111" w:name="Tc_5Q-rNVaq4kiuqIYopdMgeQ_10_2"/>
      <w:bookmarkStart w:id="1112" w:name="Tc_b0uRW2sdjUmUHbQW2W7i_w_10_0"/>
      <w:bookmarkStart w:id="1113" w:name="Tc__Yb_L5ZZG06ekup8YZj0Hw_9_12"/>
      <w:bookmarkStart w:id="1114" w:name="Tc_DS93HWPP_kCzqypi9xke_g_9_11"/>
      <w:bookmarkStart w:id="1115" w:name="Tc_6bMinRskrkiGi06smeFP4A_9_8"/>
      <w:bookmarkStart w:id="1116" w:name="Tc_3_nJtkipOUGnaUyuxP8P5Q_9_6"/>
      <w:bookmarkStart w:id="1117" w:name="Tc_LlxRkIRpnEGa6BFEmOblGA_9_5"/>
      <w:bookmarkStart w:id="1118" w:name="Tc_QUbAhYDXiEC3lXwEoZzu8w_9_2"/>
      <w:bookmarkStart w:id="1119" w:name="Tc_MGjU4immwEWyQ65y4sZ6Tg_9_0"/>
      <w:bookmarkStart w:id="1120" w:name="Tc_XWIexS9aJ0WwwEkqWJmI9w_8_12"/>
      <w:bookmarkStart w:id="1121" w:name="Tc_zTbhR5rNX0aX4xrfl9hFFA_8_11"/>
      <w:bookmarkStart w:id="1122" w:name="Tc_ZbYa-lb3tUOJNEpi0bLxRQ_8_8"/>
      <w:bookmarkStart w:id="1123" w:name="Tc_HbS40QXZQk-z32HEiCH94Q_8_6"/>
      <w:bookmarkStart w:id="1124" w:name="Tc_2WZoI_q0hkyvVZUUH4wa8A_8_5"/>
      <w:bookmarkStart w:id="1125" w:name="Tc_wvwtJ45QNkWOK9rPlVyxcA_8_2"/>
      <w:bookmarkStart w:id="1126" w:name="Tc_cs0Fvf_XX0e2DHD89VRfew_8_0"/>
      <w:bookmarkStart w:id="1127" w:name="Tc__Ad3uMEZPUCAY-qZCvY9sw_7_0"/>
      <w:bookmarkStart w:id="1128" w:name="Tc_119rzVVzG0mk66pnGF6bAg_6_12"/>
      <w:bookmarkStart w:id="1129" w:name="Tc_Mg0PQ3jyhkurfsFxjNQLfQ_6_11"/>
      <w:bookmarkStart w:id="1130" w:name="Tc_O5dGavbYqEu4QsxogLJCOA_6_8"/>
      <w:bookmarkStart w:id="1131" w:name="Tc_1u_9DEfwVEOtb3wGYBgVEw_6_6"/>
      <w:bookmarkStart w:id="1132" w:name="Tc_1US8Dzq1IUWg37ERDadANA_6_5"/>
      <w:bookmarkStart w:id="1133" w:name="Tc_g30KbPG2M0SkusHrz78-4g_6_2"/>
      <w:bookmarkStart w:id="1134" w:name="Tc_Agod9Pg0o0G6evTe2hFB5g_6_0"/>
      <w:bookmarkStart w:id="1135" w:name="Tc_hgAo7MilcEa--E_g4vpJoQ_5_12"/>
      <w:bookmarkStart w:id="1136" w:name="Tc_usblfu66lka-dF3D_vJ7VA_5_11"/>
      <w:bookmarkStart w:id="1137" w:name="Tc_DGzD89kaXU2PFcPDLODpPw_5_8"/>
      <w:bookmarkStart w:id="1138" w:name="Tc_zu4797RQb0SJP9Ho-mwbYw_5_6"/>
      <w:bookmarkStart w:id="1139" w:name="Tc_-v8UZl8B7U23wHoc5H2gLA_5_5"/>
      <w:bookmarkStart w:id="1140" w:name="Tc_-UNyGxeN-0C_OFTCWIuwwA_5_2"/>
      <w:bookmarkStart w:id="1141" w:name="Tc_P8RlRIeZpEiGxX0I1n2mYg_5_0"/>
      <w:bookmarkStart w:id="1142" w:name="Tc_xaImxblASUuICW3lCZ7e8w_4_12"/>
      <w:bookmarkStart w:id="1143" w:name="Tc_EhmJO_VAoUO18WXzLftgow_4_11"/>
      <w:bookmarkStart w:id="1144" w:name="Tc_k01y6PIdHES0l1W4VkeY9g_4_8"/>
      <w:bookmarkStart w:id="1145" w:name="Tc_oY0tdQOQt0ibmO97yxEwFA_4_6"/>
      <w:bookmarkStart w:id="1146" w:name="Tc_17HwrQJzwE-1RUZgVRyuCA_4_5"/>
      <w:bookmarkStart w:id="1147" w:name="Tc_Tsz0K5BwWEO0Nq87YjP_9w_4_2"/>
      <w:bookmarkStart w:id="1148" w:name="Tc_AVbP3tNsBUWRqAaR-ChZfQ_4_0"/>
      <w:bookmarkStart w:id="1149" w:name="Tc_vE3BnzrEjU6btd-Wl0LmEg_3_0"/>
      <w:bookmarkStart w:id="1150" w:name="Tc_ycZK00ZEH0CRPnqvJz6f_g_2_11"/>
      <w:bookmarkStart w:id="1151" w:name="Tc_56Gdpd_LXEOLn-2DwAcZ4Q_2_8"/>
      <w:bookmarkStart w:id="1152" w:name="Tc_RDlQ3C9pkEu0Se4pjM_E6w_2_5"/>
      <w:bookmarkStart w:id="1153" w:name="Tc_QLU057EkW0iSKzb6YV5yoA_2_2"/>
      <w:bookmarkStart w:id="1154" w:name="Tc_vYjUHZvKxUml6X5ndma9RQ_1_5"/>
      <w:bookmarkStart w:id="1155" w:name="_d2a09599_84f9_4581_9e8b_b5b5a67ed9f7"/>
      <w:bookmarkStart w:id="1156" w:name="Tc_-AXovgZpLk26waNYvC4ZxA_7_11"/>
      <w:bookmarkStart w:id="1157" w:name="Tc_wLSkZtrXlU6HaXJt6jygkQ_7_8"/>
      <w:bookmarkStart w:id="1158" w:name="Tc_-5ENhG0tyUKip2I0-JUwug_7_5"/>
      <w:bookmarkStart w:id="1159" w:name="Tc_RBO75lz52kOp8WF4iLRZWA_7_2"/>
      <w:bookmarkStart w:id="1160" w:name="Tc_4Qb6LTo93Uac_iK9h7JK3Q_7_0"/>
      <w:bookmarkStart w:id="1161" w:name="Tc_RXZFDvq2KkuGpg1-5Eqn9g_6_11"/>
      <w:bookmarkStart w:id="1162" w:name="Tc_Tajm-bw5Ok2PdHVJrnFRrw_6_8"/>
      <w:bookmarkStart w:id="1163" w:name="Tc_WPiDEgWKnESdYoz1_Gf85w_6_5"/>
      <w:bookmarkStart w:id="1164" w:name="Tc_acbBB5C3skmttLHmwjcIzg_6_2"/>
      <w:bookmarkStart w:id="1165" w:name="Tc_9LX4_HVTRkW5QKkx-fXvBg_6_0"/>
      <w:bookmarkStart w:id="1166" w:name="Tc_PELCzdIdCkSbB2d_T3dkZw_5_11"/>
      <w:bookmarkStart w:id="1167" w:name="Tc_wsgoUZycTkKdi3sK1jouTA_5_8"/>
      <w:bookmarkStart w:id="1168" w:name="Tc_k3bZxpdd6U-KKcWzNGN8Rw_5_5"/>
      <w:bookmarkStart w:id="1169" w:name="Tc_w-L0EiXbJUedkQogAo5e-A_5_2"/>
      <w:bookmarkStart w:id="1170" w:name="Tc_NWOjM2BvTUOkEVZqewC0dQ_5_0"/>
      <w:bookmarkStart w:id="1171" w:name="Tc__S9usDSIeEGmwLD0G8c8-g_4_11"/>
      <w:bookmarkStart w:id="1172" w:name="Tc_H0Otxmy6ekadhX-ThIlgHw_4_8"/>
      <w:bookmarkStart w:id="1173" w:name="Tc_V2x30MOT70qHad0aFvZOKg_4_5"/>
      <w:bookmarkStart w:id="1174" w:name="Tc_XRy3T6HC3kmvj7XgGAMtWw_4_2"/>
      <w:bookmarkStart w:id="1175" w:name="Tc_-Cqf0n2WlEauDnOQkdCWXg_4_0"/>
      <w:bookmarkStart w:id="1176" w:name="Tc_kMmHgIX160WKd0EavnxnmA_3_11"/>
      <w:bookmarkStart w:id="1177" w:name="Tc_524Ifa9Yb0qt4wJ195_WGA_3_8"/>
      <w:bookmarkStart w:id="1178" w:name="Tc__5njhj_voUGeJ-j2ezbl1w_3_5"/>
      <w:bookmarkStart w:id="1179" w:name="Tc_XWmWQ5UgFUqmjUpUpOP87w_3_2"/>
      <w:bookmarkStart w:id="1180" w:name="Tc_3prUqXQAMkafuXA9mLoVmQ_3_0"/>
      <w:bookmarkStart w:id="1181" w:name="Tc_pSGNEunmL02c0i9NqH9_Uw_2_11"/>
      <w:bookmarkStart w:id="1182" w:name="Tc_PP--WTBtqkyydWICmDH8fg_2_8"/>
      <w:bookmarkStart w:id="1183" w:name="Tc_HUCg40Nu10qL6QBLFLd3Xg_2_5"/>
      <w:bookmarkStart w:id="1184" w:name="Tc_CFwxeyXZ3UmBcjhWcaFbnQ_2_2"/>
      <w:bookmarkStart w:id="1185" w:name="Tc_61NJ6-vOVUi0RE0J3wXMdg_1_8"/>
      <w:bookmarkStart w:id="1186" w:name="Tc_WcMQ8eIuq0eNgEVoeaEtcg_1_2"/>
      <w:bookmarkStart w:id="1187" w:name="_05634ae2_d568_437c_a720_3b9b2ba7704b"/>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r>
        <w:rPr>
          <w:rFonts w:ascii="Times New Roman;Times;serif" w:hAnsi="Times New Roman;Times;serif"/>
          <w:b/>
          <w:sz w:val="20"/>
        </w:rPr>
        <w:t>NOTE 5. FAIR VALUE OF FINANCIAL INSTRUMENTS</w:t>
      </w:r>
    </w:p>
    <w:p>
      <w:pPr>
        <w:pStyle w:val="TextBody"/>
        <w:bidi w:val="0"/>
        <w:spacing w:lineRule="auto" w:line="256" w:before="0" w:after="200"/>
        <w:ind w:left="0" w:right="0" w:firstLine="360"/>
        <w:jc w:val="both"/>
        <w:rPr>
          <w:rFonts w:ascii="Times New Roman;Times;serif" w:hAnsi="Times New Roman;Times;serif"/>
          <w:sz w:val="20"/>
        </w:rPr>
      </w:pPr>
      <w:r>
        <w:rPr>
          <w:rFonts w:ascii="Times New Roman;Times;serif" w:hAnsi="Times New Roman;Times;serif"/>
          <w:sz w:val="20"/>
        </w:rPr>
        <w:t>The following table presents the carrying value and estimated fair value of the Company’s financial instruments not carried at fair value on the consolidated balance sheets at September 30, 2026 and December 31, 2025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51"/>
        <w:gridCol w:w="346"/>
        <w:gridCol w:w="273"/>
        <w:gridCol w:w="1011"/>
        <w:gridCol w:w="346"/>
        <w:gridCol w:w="335"/>
        <w:gridCol w:w="1246"/>
        <w:gridCol w:w="346"/>
        <w:gridCol w:w="273"/>
        <w:gridCol w:w="1011"/>
        <w:gridCol w:w="346"/>
        <w:gridCol w:w="307"/>
        <w:gridCol w:w="1314"/>
      </w:tblGrid>
      <w:tr>
        <w:trPr/>
        <w:tc>
          <w:tcPr>
            <w:tcW w:w="3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73355" cy="175260"/>
                      <wp:effectExtent l="0" t="0" r="0" b="0"/>
                      <wp:wrapNone/>
                      <wp:docPr id="188" name="Frame188"/>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1985" cy="175260"/>
                      <wp:effectExtent l="0" t="0" r="0" b="0"/>
                      <wp:wrapNone/>
                      <wp:docPr id="189" name="Frame189"/>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2725" cy="175260"/>
                      <wp:effectExtent l="0" t="0" r="0" b="0"/>
                      <wp:wrapNone/>
                      <wp:docPr id="191" name="Frame19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791210" cy="175260"/>
                      <wp:effectExtent l="0" t="0" r="0" b="0"/>
                      <wp:wrapNone/>
                      <wp:docPr id="192" name="Frame192"/>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73355" cy="175260"/>
                      <wp:effectExtent l="0" t="0" r="0" b="0"/>
                      <wp:wrapNone/>
                      <wp:docPr id="194" name="Frame194"/>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1985" cy="175260"/>
                      <wp:effectExtent l="0" t="0" r="0" b="0"/>
                      <wp:wrapNone/>
                      <wp:docPr id="195" name="Frame195"/>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94945" cy="175260"/>
                      <wp:effectExtent l="0" t="0" r="0" b="0"/>
                      <wp:wrapNone/>
                      <wp:docPr id="197" name="Frame197"/>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834390" cy="175260"/>
                      <wp:effectExtent l="0" t="0" r="0" b="0"/>
                      <wp:wrapNone/>
                      <wp:docPr id="198" name="Frame198"/>
                      <a:graphic xmlns:a="http://schemas.openxmlformats.org/drawingml/2006/main">
                        <a:graphicData uri="http://schemas.microsoft.com/office/word/2010/wordprocessingShape">
                          <wps:wsp>
                            <wps:cNvSpPr txBox="1"/>
                            <wps:spPr>
                              <a:xfrm>
                                <a:off x="0" y="0"/>
                                <a:ext cx="834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346" w:type="dxa"/>
            <w:tcBorders/>
            <w:vAlign w:val="center"/>
          </w:tcPr>
          <w:p>
            <w:pPr>
              <w:pStyle w:val="TableContents"/>
              <w:bidi w:val="0"/>
              <w:spacing w:before="0" w:after="0"/>
              <w:ind w:left="0" w:right="0" w:hanging="0"/>
              <w:jc w:val="left"/>
              <w:rPr/>
            </w:pPr>
            <w:r>
              <w:rPr/>
              <w:t>​</w:t>
            </w:r>
          </w:p>
        </w:tc>
        <w:tc>
          <w:tcPr>
            <w:tcW w:w="32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Value </w:t>
            </w:r>
          </w:p>
        </w:tc>
        <w:tc>
          <w:tcPr>
            <w:tcW w:w="346" w:type="dxa"/>
            <w:tcBorders/>
            <w:vAlign w:val="center"/>
          </w:tcPr>
          <w:p>
            <w:pPr>
              <w:pStyle w:val="TableContents"/>
              <w:bidi w:val="0"/>
              <w:spacing w:before="0" w:after="0"/>
              <w:ind w:left="0" w:right="0" w:hanging="0"/>
              <w:jc w:val="left"/>
              <w:rPr/>
            </w:pPr>
            <w:r>
              <w:rPr/>
              <w:t>  ​ ​ ​</w:t>
            </w:r>
          </w:p>
        </w:tc>
        <w:tc>
          <w:tcPr>
            <w:tcW w:w="15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Estimated Fair Value </w:t>
            </w:r>
          </w:p>
        </w:tc>
        <w:tc>
          <w:tcPr>
            <w:tcW w:w="346" w:type="dxa"/>
            <w:tcBorders/>
            <w:vAlign w:val="center"/>
          </w:tcPr>
          <w:p>
            <w:pPr>
              <w:pStyle w:val="TableContents"/>
              <w:bidi w:val="0"/>
              <w:spacing w:before="0" w:after="0"/>
              <w:ind w:left="0" w:right="0" w:hanging="0"/>
              <w:jc w:val="left"/>
              <w:rPr/>
            </w:pPr>
            <w:r>
              <w:rPr/>
              <w:t>  ​ ​ ​</w:t>
            </w:r>
          </w:p>
        </w:tc>
        <w:tc>
          <w:tcPr>
            <w:tcW w:w="1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Value </w:t>
            </w:r>
          </w:p>
        </w:tc>
        <w:tc>
          <w:tcPr>
            <w:tcW w:w="346" w:type="dxa"/>
            <w:tcBorders/>
            <w:vAlign w:val="center"/>
          </w:tcPr>
          <w:p>
            <w:pPr>
              <w:pStyle w:val="TableContents"/>
              <w:bidi w:val="0"/>
              <w:spacing w:before="0" w:after="0"/>
              <w:ind w:left="0" w:right="0" w:hanging="0"/>
              <w:jc w:val="left"/>
              <w:rPr/>
            </w:pPr>
            <w:r>
              <w:rPr/>
              <w:t>  ​ ​ ​</w:t>
            </w:r>
          </w:p>
        </w:tc>
        <w:tc>
          <w:tcPr>
            <w:tcW w:w="16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r>
      <w:tr>
        <w:trPr/>
        <w:tc>
          <w:tcPr>
            <w:tcW w:w="3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Level 1</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11,722</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11,722</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w:t>
            </w:r>
          </w:p>
        </w:tc>
      </w:tr>
      <w:tr>
        <w:trPr/>
        <w:tc>
          <w:tcPr>
            <w:tcW w:w="3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Level 1</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19,139</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19,139</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34,410</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34,410</w:t>
            </w:r>
          </w:p>
        </w:tc>
      </w:tr>
      <w:tr>
        <w:trPr/>
        <w:tc>
          <w:tcPr>
            <w:tcW w:w="3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 - Level 2</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231,421</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241,007</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167,553</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179,214</w:t>
            </w:r>
          </w:p>
        </w:tc>
      </w:tr>
      <w:tr>
        <w:trPr/>
        <w:tc>
          <w:tcPr>
            <w:tcW w:w="3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Obligation Under Participation Agreement - Level 2</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18,519</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18,873</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10,222</w:t>
            </w:r>
          </w:p>
        </w:tc>
      </w:tr>
      <w:tr>
        <w:trPr/>
        <w:tc>
          <w:tcPr>
            <w:tcW w:w="3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 Level 2</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396,676</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390,613</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377,739</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4"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376,286</w:t>
            </w:r>
          </w:p>
        </w:tc>
      </w:tr>
    </w:tbl>
    <w:p>
      <w:pPr>
        <w:pStyle w:val="TextBody"/>
        <w:bidi w:val="0"/>
        <w:spacing w:lineRule="auto" w:line="256" w:before="0" w:after="0"/>
        <w:ind w:left="0" w:right="0" w:hanging="0"/>
        <w:jc w:val="both"/>
        <w:rPr/>
      </w:pPr>
      <w:r>
        <w:rPr/>
        <w:t> </w:t>
      </w:r>
    </w:p>
    <w:p>
      <w:pPr>
        <w:pStyle w:val="TextBody"/>
        <w:bidi w:val="0"/>
        <w:spacing w:lineRule="auto" w:line="256" w:before="0" w:after="160"/>
        <w:ind w:left="0" w:right="0" w:hanging="0"/>
        <w:jc w:val="both"/>
        <w:rPr/>
      </w:pPr>
      <w:r>
        <w:rPr/>
        <w:t> </w:t>
      </w:r>
    </w:p>
    <w:p>
      <w:pPr>
        <w:pStyle w:val="TextBody"/>
        <w:bidi w:val="0"/>
        <w:spacing w:lineRule="auto" w:line="256" w:before="0" w:after="200"/>
        <w:ind w:left="0" w:right="0" w:firstLine="360"/>
        <w:jc w:val="both"/>
        <w:rPr>
          <w:rFonts w:ascii="Times New Roman;Times;serif" w:hAnsi="Times New Roman;Times;serif"/>
          <w:sz w:val="20"/>
        </w:rPr>
      </w:pPr>
      <w:r>
        <w:rPr>
          <w:rFonts w:ascii="Times New Roman;Times;serif" w:hAnsi="Times New Roman;Times;serif"/>
          <w:sz w:val="20"/>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pStyle w:val="TextBody"/>
        <w:bidi w:val="0"/>
        <w:spacing w:lineRule="auto" w:line="256" w:before="0" w:after="200"/>
        <w:ind w:left="0" w:right="0" w:firstLine="360"/>
        <w:jc w:val="both"/>
        <w:rPr>
          <w:rFonts w:ascii="Times New Roman;Times;serif" w:hAnsi="Times New Roman;Times;serif"/>
          <w:sz w:val="20"/>
        </w:rPr>
      </w:pPr>
      <w:r>
        <w:rPr>
          <w:rFonts w:ascii="Times New Roman;Times;serif" w:hAnsi="Times New Roman;Times;serif"/>
          <w:sz w:val="20"/>
        </w:rPr>
        <w:t>The following tables present the fair value of assets measured on a recurring basis by level as of September 30, 2026 and December 31, 2025 (in thousands). See Note 14, “Interest Rate Swaps” for further disclosure related to the Company’s interest rate swaps.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23"/>
        <w:gridCol w:w="346"/>
        <w:gridCol w:w="229"/>
        <w:gridCol w:w="620"/>
        <w:gridCol w:w="346"/>
        <w:gridCol w:w="804"/>
        <w:gridCol w:w="1320"/>
        <w:gridCol w:w="361"/>
        <w:gridCol w:w="512"/>
        <w:gridCol w:w="1390"/>
        <w:gridCol w:w="361"/>
        <w:gridCol w:w="621"/>
        <w:gridCol w:w="1372"/>
      </w:tblGrid>
      <w:tr>
        <w:trPr/>
        <w:tc>
          <w:tcPr>
            <w:tcW w:w="1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221105" cy="175260"/>
                      <wp:effectExtent l="0" t="0" r="0" b="0"/>
                      <wp:wrapNone/>
                      <wp:docPr id="199" name="Frame199"/>
                      <a:graphic xmlns:a="http://schemas.openxmlformats.org/drawingml/2006/main">
                        <a:graphicData uri="http://schemas.microsoft.com/office/word/2010/wordprocessingShape">
                          <wps:wsp>
                            <wps:cNvSpPr txBox="1"/>
                            <wps:spPr>
                              <a:xfrm>
                                <a:off x="0" y="0"/>
                                <a:ext cx="1221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45415" cy="175260"/>
                      <wp:effectExtent l="0" t="0" r="0" b="0"/>
                      <wp:wrapNone/>
                      <wp:docPr id="201" name="Frame201"/>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93700" cy="175260"/>
                      <wp:effectExtent l="0" t="0" r="0" b="0"/>
                      <wp:wrapNone/>
                      <wp:docPr id="202" name="Frame202"/>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10540" cy="175260"/>
                      <wp:effectExtent l="0" t="0" r="0" b="0"/>
                      <wp:wrapNone/>
                      <wp:docPr id="204" name="Frame204"/>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838200" cy="175260"/>
                      <wp:effectExtent l="0" t="0" r="0" b="0"/>
                      <wp:wrapNone/>
                      <wp:docPr id="205" name="Frame205"/>
                      <a:graphic xmlns:a="http://schemas.openxmlformats.org/drawingml/2006/main">
                        <a:graphicData uri="http://schemas.microsoft.com/office/word/2010/wordprocessingShape">
                          <wps:wsp>
                            <wps:cNvSpPr txBox="1"/>
                            <wps:spPr>
                              <a:xfrm>
                                <a:off x="0" y="0"/>
                                <a:ext cx="838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29235" cy="175260"/>
                      <wp:effectExtent l="0" t="0" r="0" b="0"/>
                      <wp:wrapNone/>
                      <wp:docPr id="206" name="Frame20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25120" cy="175260"/>
                      <wp:effectExtent l="0" t="0" r="0" b="0"/>
                      <wp:wrapNone/>
                      <wp:docPr id="207" name="Frame207"/>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82650" cy="175260"/>
                      <wp:effectExtent l="0" t="0" r="0" b="0"/>
                      <wp:wrapNone/>
                      <wp:docPr id="208" name="Frame208"/>
                      <a:graphic xmlns:a="http://schemas.openxmlformats.org/drawingml/2006/main">
                        <a:graphicData uri="http://schemas.microsoft.com/office/word/2010/wordprocessingShape">
                          <wps:wsp>
                            <wps:cNvSpPr txBox="1"/>
                            <wps:spPr>
                              <a:xfrm>
                                <a:off x="0" y="0"/>
                                <a:ext cx="882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29235" cy="175260"/>
                      <wp:effectExtent l="0" t="0" r="0" b="0"/>
                      <wp:wrapNone/>
                      <wp:docPr id="209" name="Frame20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94335" cy="175260"/>
                      <wp:effectExtent l="0" t="0" r="0" b="0"/>
                      <wp:wrapNone/>
                      <wp:docPr id="210" name="Frame210"/>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871220" cy="175260"/>
                      <wp:effectExtent l="0" t="0" r="0" b="0"/>
                      <wp:wrapNone/>
                      <wp:docPr id="211" name="Frame211"/>
                      <a:graphic xmlns:a="http://schemas.openxmlformats.org/drawingml/2006/main">
                        <a:graphicData uri="http://schemas.microsoft.com/office/word/2010/wordprocessingShape">
                          <wps:wsp>
                            <wps:cNvSpPr txBox="1"/>
                            <wps:spPr>
                              <a:xfrm>
                                <a:off x="0" y="0"/>
                                <a:ext cx="871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4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at Reporting Date Using</w:t>
            </w:r>
          </w:p>
        </w:tc>
      </w:tr>
      <w:tr>
        <w:trPr/>
        <w:tc>
          <w:tcPr>
            <w:tcW w:w="19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46" w:type="dxa"/>
            <w:tcBorders/>
            <w:vAlign w:val="center"/>
          </w:tcPr>
          <w:p>
            <w:pPr>
              <w:pStyle w:val="TableContents"/>
              <w:bidi w:val="0"/>
              <w:spacing w:before="0" w:after="0"/>
              <w:ind w:left="0" w:right="0" w:hanging="0"/>
              <w:jc w:val="left"/>
              <w:rPr/>
            </w:pPr>
            <w:r>
              <w:rPr/>
              <w:t>  ​ ​ ​</w:t>
            </w:r>
          </w:p>
        </w:tc>
        <w:tc>
          <w:tcPr>
            <w:tcW w:w="2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Quoted Prices in Active Markets for Identical Assets (Level 1)</w:t>
            </w:r>
          </w:p>
        </w:tc>
        <w:tc>
          <w:tcPr>
            <w:tcW w:w="361" w:type="dxa"/>
            <w:tcBorders/>
            <w:vAlign w:val="center"/>
          </w:tcPr>
          <w:p>
            <w:pPr>
              <w:pStyle w:val="TableContents"/>
              <w:bidi w:val="0"/>
              <w:spacing w:before="0" w:after="0"/>
              <w:ind w:left="0" w:right="0" w:hanging="0"/>
              <w:jc w:val="left"/>
              <w:rPr/>
            </w:pPr>
            <w:r>
              <w:rPr/>
              <w:t>  ​ ​ ​</w:t>
            </w:r>
          </w:p>
        </w:tc>
        <w:tc>
          <w:tcPr>
            <w:tcW w:w="1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Other Observable Inputs (Level 2)</w:t>
            </w:r>
          </w:p>
        </w:tc>
        <w:tc>
          <w:tcPr>
            <w:tcW w:w="361" w:type="dxa"/>
            <w:tcBorders/>
            <w:vAlign w:val="center"/>
          </w:tcPr>
          <w:p>
            <w:pPr>
              <w:pStyle w:val="TableContents"/>
              <w:bidi w:val="0"/>
              <w:spacing w:before="0" w:after="0"/>
              <w:ind w:left="0" w:right="0" w:hanging="0"/>
              <w:jc w:val="left"/>
              <w:rPr/>
            </w:pPr>
            <w:r>
              <w:rPr/>
              <w:t>  ​ ​ ​</w:t>
            </w:r>
          </w:p>
        </w:tc>
        <w:tc>
          <w:tcPr>
            <w:tcW w:w="1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Unobservable Inputs (Level 3)</w:t>
            </w:r>
          </w:p>
        </w:tc>
      </w:tr>
      <w:tr>
        <w:trPr/>
        <w:tc>
          <w:tcPr>
            <w:tcW w:w="19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September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1320"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left"/>
              <w:rPr/>
            </w:pPr>
            <w:r>
              <w:rPr/>
              <w:t>​</w:t>
            </w:r>
          </w:p>
        </w:tc>
        <w:tc>
          <w:tcPr>
            <w:tcW w:w="1390"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left"/>
              <w:rPr/>
            </w:pPr>
            <w:r>
              <w:rPr/>
              <w:t>​</w:t>
            </w:r>
          </w:p>
        </w:tc>
        <w:tc>
          <w:tcPr>
            <w:tcW w:w="1372" w:type="dxa"/>
            <w:tcBorders/>
            <w:shd w:fill="CCEEFF" w:val="clear"/>
            <w:vAlign w:val="center"/>
          </w:tcPr>
          <w:p>
            <w:pPr>
              <w:pStyle w:val="TableContents"/>
              <w:bidi w:val="0"/>
              <w:spacing w:before="0" w:after="0"/>
              <w:ind w:left="0" w:right="0" w:hanging="0"/>
              <w:jc w:val="right"/>
              <w:rPr/>
            </w:pPr>
            <w:r>
              <w:rPr/>
              <w:t>​</w:t>
            </w:r>
          </w:p>
        </w:tc>
      </w:tr>
      <w:tr>
        <w:trPr/>
        <w:tc>
          <w:tcPr>
            <w:tcW w:w="192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2029 Term Loan Interest Rate Swap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2,830</w:t>
            </w:r>
          </w:p>
        </w:tc>
        <w:tc>
          <w:tcPr>
            <w:tcW w:w="34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0"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2,830</w:t>
            </w:r>
          </w:p>
        </w:tc>
        <w:tc>
          <w:tcPr>
            <w:tcW w:w="361"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2" w:type="dxa"/>
            <w:tcBorders/>
            <w:vAlign w:val="center"/>
          </w:tcPr>
          <w:p>
            <w:pPr>
              <w:pStyle w:val="TableContents"/>
              <w:bidi w:val="0"/>
              <w:spacing w:before="0" w:after="0"/>
              <w:ind w:left="0" w:right="0" w:hanging="0"/>
              <w:jc w:val="right"/>
              <w:rPr/>
            </w:pPr>
            <w:r>
              <w:rPr/>
              <w:t>—</w:t>
            </w:r>
          </w:p>
        </w:tc>
      </w:tr>
      <w:tr>
        <w:trPr/>
        <w:tc>
          <w:tcPr>
            <w:tcW w:w="192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2031 Term Loan Interest Rate Swap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4,932</w:t>
            </w:r>
          </w:p>
        </w:tc>
        <w:tc>
          <w:tcPr>
            <w:tcW w:w="34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0"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4,932</w:t>
            </w:r>
          </w:p>
        </w:tc>
        <w:tc>
          <w:tcPr>
            <w:tcW w:w="361"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2" w:type="dxa"/>
            <w:tcBorders/>
            <w:shd w:fill="CCEEFF" w:val="clear"/>
            <w:vAlign w:val="center"/>
          </w:tcPr>
          <w:p>
            <w:pPr>
              <w:pStyle w:val="TableContents"/>
              <w:bidi w:val="0"/>
              <w:spacing w:before="0" w:after="0"/>
              <w:ind w:left="0" w:right="0" w:hanging="0"/>
              <w:jc w:val="right"/>
              <w:rPr/>
            </w:pPr>
            <w:r>
              <w:rPr/>
              <w:t>—</w:t>
            </w:r>
          </w:p>
        </w:tc>
      </w:tr>
      <w:tr>
        <w:trPr/>
        <w:tc>
          <w:tcPr>
            <w:tcW w:w="192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Revolving Facility Interest Rate Swap </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c>
          <w:tcPr>
            <w:tcW w:w="34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0"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c>
          <w:tcPr>
            <w:tcW w:w="361"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2" w:type="dxa"/>
            <w:tcBorders/>
            <w:vAlign w:val="center"/>
          </w:tcPr>
          <w:p>
            <w:pPr>
              <w:pStyle w:val="TableContents"/>
              <w:bidi w:val="0"/>
              <w:spacing w:before="0" w:after="0"/>
              <w:ind w:left="0" w:right="0" w:hanging="0"/>
              <w:jc w:val="right"/>
              <w:rPr/>
            </w:pPr>
            <w:r>
              <w:rPr/>
              <w:t>—</w:t>
            </w:r>
          </w:p>
        </w:tc>
      </w:tr>
      <w:tr>
        <w:trPr/>
        <w:tc>
          <w:tcPr>
            <w:tcW w:w="19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1320"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left"/>
              <w:rPr/>
            </w:pPr>
            <w:r>
              <w:rPr/>
              <w:t>​</w:t>
            </w:r>
          </w:p>
        </w:tc>
        <w:tc>
          <w:tcPr>
            <w:tcW w:w="1390"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left"/>
              <w:rPr/>
            </w:pPr>
            <w:r>
              <w:rPr/>
              <w:t>​</w:t>
            </w:r>
          </w:p>
        </w:tc>
        <w:tc>
          <w:tcPr>
            <w:tcW w:w="1372" w:type="dxa"/>
            <w:tcBorders/>
            <w:shd w:fill="CCEEFF" w:val="clear"/>
            <w:vAlign w:val="center"/>
          </w:tcPr>
          <w:p>
            <w:pPr>
              <w:pStyle w:val="TableContents"/>
              <w:bidi w:val="0"/>
              <w:spacing w:before="0" w:after="0"/>
              <w:ind w:left="0" w:right="0" w:hanging="0"/>
              <w:jc w:val="left"/>
              <w:rPr/>
            </w:pPr>
            <w:r>
              <w:rPr/>
              <w:t>​</w:t>
            </w:r>
          </w:p>
        </w:tc>
      </w:tr>
      <w:tr>
        <w:trPr/>
        <w:tc>
          <w:tcPr>
            <w:tcW w:w="19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Interest Rate Swap </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4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0"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61"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2" w:type="dxa"/>
            <w:tcBorders/>
            <w:vAlign w:val="center"/>
          </w:tcPr>
          <w:p>
            <w:pPr>
              <w:pStyle w:val="TableContents"/>
              <w:bidi w:val="0"/>
              <w:spacing w:before="0" w:after="0"/>
              <w:ind w:left="0" w:right="0" w:hanging="0"/>
              <w:jc w:val="right"/>
              <w:rPr/>
            </w:pPr>
            <w:r>
              <w:rPr/>
              <w:t>—</w:t>
            </w:r>
          </w:p>
        </w:tc>
      </w:tr>
      <w:tr>
        <w:trPr/>
        <w:tc>
          <w:tcPr>
            <w:tcW w:w="19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Term Loan Interest Rate Swap</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w:t>
            </w:r>
          </w:p>
        </w:tc>
        <w:tc>
          <w:tcPr>
            <w:tcW w:w="34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0"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w:t>
            </w:r>
          </w:p>
        </w:tc>
        <w:tc>
          <w:tcPr>
            <w:tcW w:w="361"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2" w:type="dxa"/>
            <w:tcBorders/>
            <w:shd w:fill="CCEEFF" w:val="clear"/>
            <w:vAlign w:val="center"/>
          </w:tcPr>
          <w:p>
            <w:pPr>
              <w:pStyle w:val="TableContents"/>
              <w:bidi w:val="0"/>
              <w:spacing w:before="0" w:after="0"/>
              <w:ind w:left="0" w:right="0" w:hanging="0"/>
              <w:jc w:val="right"/>
              <w:rPr/>
            </w:pPr>
            <w:r>
              <w:rPr/>
              <w:t>—</w:t>
            </w:r>
          </w:p>
        </w:tc>
      </w:tr>
      <w:tr>
        <w:trPr/>
        <w:tc>
          <w:tcPr>
            <w:tcW w:w="19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Facility Interest Rate Swap</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0"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2" w:type="dxa"/>
            <w:tcBorders/>
            <w:vAlign w:val="center"/>
          </w:tcPr>
          <w:p>
            <w:pPr>
              <w:pStyle w:val="TableContents"/>
              <w:bidi w:val="0"/>
              <w:spacing w:before="0" w:after="0"/>
              <w:ind w:left="0" w:right="72"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5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2026, the Company has utilized interest rate swaps to fix SOFR and achieve a weighted average fixed interest rate of 3.36%</w:t>
            </w:r>
            <w:r>
              <w:rPr>
                <w:caps w:val="false"/>
                <w:smallCaps w:val="false"/>
              </w:rPr>
              <w:t xml:space="preserve"> </w:t>
            </w:r>
            <w:r>
              <w:rPr>
                <w:rFonts w:ascii="Times New Roman;Times;serif" w:hAnsi="Times New Roman;Times;serif"/>
                <w:b w:val="false"/>
                <w:i w:val="false"/>
                <w:caps w:val="false"/>
                <w:smallCaps w:val="false"/>
                <w:sz w:val="16"/>
              </w:rPr>
              <w:t>plus the applicable spread on the $100.0</w:t>
            </w:r>
            <w:r>
              <w:rPr>
                <w:caps w:val="false"/>
                <w:smallCaps w:val="false"/>
              </w:rPr>
              <w:t xml:space="preserve"> </w:t>
            </w:r>
            <w:r>
              <w:rPr>
                <w:rFonts w:ascii="Times New Roman;Times;serif" w:hAnsi="Times New Roman;Times;serif"/>
                <w:b w:val="false"/>
                <w:i w:val="false"/>
                <w:caps w:val="false"/>
                <w:smallCaps w:val="false"/>
                <w:sz w:val="16"/>
              </w:rPr>
              <w:t>million 2029 Term Loan (hereinafter defined) balance.</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5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2026,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the applicable spread on the $100.0</w:t>
            </w:r>
            <w:r>
              <w:rPr>
                <w:caps w:val="false"/>
                <w:smallCaps w:val="false"/>
              </w:rPr>
              <w:t xml:space="preserve"> </w:t>
            </w:r>
            <w:r>
              <w:rPr>
                <w:rFonts w:ascii="Times New Roman;Times;serif" w:hAnsi="Times New Roman;Times;serif"/>
                <w:b w:val="false"/>
                <w:i w:val="false"/>
                <w:caps w:val="false"/>
                <w:smallCaps w:val="false"/>
                <w:sz w:val="16"/>
              </w:rPr>
              <w:t>million 2031 Term Loan (hereinafter defined) balance.</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2026, the Company has utilized interest rate swaps to fix SOFR and achieve a weighted average fixed interest rate of 3.32%</w:t>
            </w:r>
            <w:r>
              <w:rPr>
                <w:caps w:val="false"/>
                <w:smallCaps w:val="false"/>
              </w:rPr>
              <w:t xml:space="preserve"> </w:t>
            </w:r>
            <w:r>
              <w:rPr>
                <w:rFonts w:ascii="Times New Roman;Times;serif" w:hAnsi="Times New Roman;Times;serif"/>
                <w:b w:val="false"/>
                <w:i w:val="false"/>
                <w:caps w:val="false"/>
                <w:smallCaps w:val="false"/>
                <w:sz w:val="16"/>
              </w:rPr>
              <w:t>plus the applicable spread on $100.0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Revolving Facility (hereinafter defined).</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188" w:name="Tc_udxlU6EiW0GKYlvFcLr_xg_9_8"/>
      <w:bookmarkStart w:id="1189" w:name="Tc_XjE7w5f73UqPiJbkHynvPg_9_5"/>
      <w:bookmarkStart w:id="1190" w:name="Tc_UMMDFVSs_k-9sTIQa-o7gg_9_2"/>
      <w:bookmarkStart w:id="1191" w:name="Tc_ws9Pzv3TNEmGFf9KR_O0eQ_9_0"/>
      <w:bookmarkStart w:id="1192" w:name="Tc_pAk9F_cchEaFAPrX8UplpQ_8_0"/>
      <w:bookmarkStart w:id="1193" w:name="Tc_K-3zvQGLLU6x6YJrwZzfiw_7_0"/>
      <w:bookmarkStart w:id="1194" w:name="Tc_iH43AzTv-0Svc3gCTWv6MQ_6_0"/>
      <w:bookmarkStart w:id="1195" w:name="Tc_Oiq4t1-6HkKvW8Fo7f6U5g_5_0"/>
      <w:bookmarkStart w:id="1196" w:name="Tc_Ktcv-5qWyU68Q6vbGpJChw_4_0"/>
      <w:bookmarkStart w:id="1197" w:name="Tc_8rhf1i25wUqjmkI31Z1-bA_3_0"/>
      <w:bookmarkStart w:id="1198" w:name="Tc_fNwXMAn6a0WaKzLKdh4f_A_2_8"/>
      <w:bookmarkStart w:id="1199" w:name="Tc_8LOnmvjINUWoBsuMlGO1tQ_2_5"/>
      <w:bookmarkStart w:id="1200" w:name="Tc_wXOL8Lt0rkKbkgSy5ZAYag_2_2"/>
      <w:bookmarkStart w:id="1201" w:name="Tc_a6IsVRDDyEmb2zXcOoQwqQ_2_0"/>
      <w:bookmarkStart w:id="1202" w:name="Tc_lQFSmIzH-E2Ux0d1zQaLSA_1_8"/>
      <w:bookmarkStart w:id="1203" w:name="Tc_o8qMrq_NNUm5WODtL8RpJg_1_5"/>
      <w:bookmarkStart w:id="1204" w:name="Tc_zU7zxMfwgEiuh6nuPBffRQ_1_2"/>
      <w:bookmarkStart w:id="1205" w:name="Tc_gk0NOsrpAUGd-r3GSveV1A_1_0"/>
      <w:bookmarkStart w:id="1206" w:name="_17e6c836_3b17_4013_b10f_717c0dd87205"/>
      <w:bookmarkStart w:id="1207" w:name="Tc_Sv2EzhSi20y06uwlmsOnog_5_11"/>
      <w:bookmarkStart w:id="1208" w:name="Tc_aOeH8RY0hEieVw3swvl2rQ_5_8"/>
      <w:bookmarkStart w:id="1209" w:name="Tc__VMtfELObUa2w3Ut5sMHKA_5_5"/>
      <w:bookmarkStart w:id="1210" w:name="Tc_rajdErM3306coNS3N3RVQg_5_2"/>
      <w:bookmarkStart w:id="1211" w:name="Tc_hZopkGBcgkGtfDGRg_lUNg_5_0"/>
      <w:bookmarkStart w:id="1212" w:name="Tc_4aNhtM0FO02MzBZEclTa6Q_4_0"/>
      <w:bookmarkStart w:id="1213" w:name="Tc_F3ceWh33q0CERqh2O7Jc4A_3_11"/>
      <w:bookmarkStart w:id="1214" w:name="Tc_8FQBV7xu5Ee4ZFm6zxXmyg_3_8"/>
      <w:bookmarkStart w:id="1215" w:name="Tc_-pSF3hE66kmse0lPBxHLKw_3_5"/>
      <w:bookmarkStart w:id="1216" w:name="Tc_c5FT3Zt9EECZnlo91iiuOA_3_2"/>
      <w:bookmarkStart w:id="1217" w:name="Tc_-ArFifmarEOZG8CSZ6T9_w_3_0"/>
      <w:bookmarkStart w:id="1218" w:name="Tc_77gpzDhICkGQYQIyRapp1Q_2_11"/>
      <w:bookmarkStart w:id="1219" w:name="Tc_QIecEBpm3kqE3CI9kcvjYQ_2_8"/>
      <w:bookmarkStart w:id="1220" w:name="Tc_JCkd8jUDHkqoofEIntHD5w_2_5"/>
      <w:bookmarkStart w:id="1221" w:name="Tc_BTBT5LJREkCTmzr2SRVt7g_2_2"/>
      <w:bookmarkStart w:id="1222" w:name="Tc_n1gIxGBI50GQxm7VmCoosQ_1_8"/>
      <w:bookmarkStart w:id="1223" w:name="Tc_LvbbOdIxFU6oynMIPu575w_1_2"/>
      <w:bookmarkStart w:id="1224" w:name="_1fd82911_41be_4a19_903e_b5fea5ca3c4e"/>
      <w:bookmarkStart w:id="1225" w:name="Tc_meKKzNlFSEK59K4bhUbmfQ_15_5"/>
      <w:bookmarkStart w:id="1226" w:name="Tc_rPEQC1ZbW0GEznRamdJzwQ_15_2"/>
      <w:bookmarkStart w:id="1227" w:name="Tc_Hv6OXBHapESgrITp6LhHyQ_15_0"/>
      <w:bookmarkStart w:id="1228" w:name="Tc_JCKmzMmdc0KSxD_XJeQmvg_14_0"/>
      <w:bookmarkStart w:id="1229" w:name="Tc_H-LrOHBpKESkCEEjtbQTKg_13_0"/>
      <w:bookmarkStart w:id="1230" w:name="Tc_aAGIXPjuXUyiRTtWjCk-1w_12_0"/>
      <w:bookmarkStart w:id="1231" w:name="Tc_dlVz7X5Ie0q8nX-m59nEKQ_11_0"/>
      <w:bookmarkStart w:id="1232" w:name="Tc_nrvCDdZc2k-cARJnmUof0g_10_0"/>
      <w:bookmarkStart w:id="1233" w:name="Tc_soJEFrzLrUmGXEEhOtqQNA_9_0"/>
      <w:bookmarkStart w:id="1234" w:name="Tc_5wFLxv_pckWKyynnQsuNTQ_8_0"/>
      <w:bookmarkStart w:id="1235" w:name="Tc_L9p6h4Z9EECecpjPVQhumg_7_0"/>
      <w:bookmarkStart w:id="1236" w:name="Tc_ZrN_LmaPJEaicCS8SMLe2A_6_0"/>
      <w:bookmarkStart w:id="1237" w:name="Tc_U7AGWJGJREGttVRnb8ibdA_5_0"/>
      <w:bookmarkStart w:id="1238" w:name="Tc_mi0PsktbrU2OATxPMIOYgw_4_5"/>
      <w:bookmarkStart w:id="1239" w:name="Tc_A9Ossl1l0UaGc5aZQLvg7w_4_2"/>
      <w:bookmarkStart w:id="1240" w:name="Tc_lJUg7c3OAkG1ieQniM7TZQ_4_0"/>
      <w:bookmarkStart w:id="1241" w:name="Tc_MPXwnF3kB02E6cK79F5N8g_3_0"/>
      <w:bookmarkStart w:id="1242" w:name="Tc_k2_hcvyt90GAGosWeA_Uvw_2_5"/>
      <w:bookmarkStart w:id="1243" w:name="Tc_RfQkiFfebkyHcxkN74RjKQ_2_2"/>
      <w:bookmarkStart w:id="1244" w:name="Tc_IKBc3tTPvE68UIWN5iJpOw_1_2"/>
      <w:bookmarkStart w:id="1245" w:name="_5e6ec2aa_8662_461b_8886_8ad6e2defde2"/>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r>
        <w:rPr>
          <w:rFonts w:ascii="Times New Roman;Times;serif" w:hAnsi="Times New Roman;Times;serif"/>
          <w:b/>
          <w:sz w:val="20"/>
        </w:rPr>
        <w:t>NOTE 6. INTANGIBLE ASSETS AND LIABILITIES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Intangible assets and liabilities consist of the value of above-market and below-market leases, the value of in-place leases, and the value of leasing costs. Intangible assets and liabilities consisted of the following as of September 30, 2026 and December 31, 2025 (in thousands):</w:t>
      </w:r>
    </w:p>
    <w:p>
      <w:pPr>
        <w:pStyle w:val="TextBody"/>
        <w:bidi w:val="0"/>
        <w:spacing w:before="0" w:after="0"/>
        <w:ind w:left="0" w:right="0" w:hanging="0"/>
        <w:jc w:val="left"/>
        <w:rPr/>
      </w:pPr>
      <w:r>
        <w:rPr/>
        <w:t>​</w:t>
      </w:r>
    </w:p>
    <w:tbl>
      <w:tblPr>
        <w:tblW w:w="7464" w:type="dxa"/>
        <w:jc w:val="left"/>
        <w:tblInd w:w="0" w:type="dxa"/>
        <w:tblLayout w:type="fixed"/>
        <w:tblCellMar>
          <w:top w:w="0" w:type="dxa"/>
          <w:left w:w="0" w:type="dxa"/>
          <w:bottom w:w="0" w:type="dxa"/>
          <w:right w:w="0" w:type="dxa"/>
        </w:tblCellMar>
      </w:tblPr>
      <w:tblGrid>
        <w:gridCol w:w="3706"/>
        <w:gridCol w:w="109"/>
        <w:gridCol w:w="393"/>
        <w:gridCol w:w="1377"/>
        <w:gridCol w:w="109"/>
        <w:gridCol w:w="371"/>
        <w:gridCol w:w="1399"/>
      </w:tblGrid>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49555" cy="175260"/>
                      <wp:effectExtent l="0" t="0" r="0" b="0"/>
                      <wp:wrapNone/>
                      <wp:docPr id="213" name="Frame213"/>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874395" cy="175260"/>
                      <wp:effectExtent l="0" t="0" r="0" b="0"/>
                      <wp:wrapNone/>
                      <wp:docPr id="214" name="Frame214"/>
                      <a:graphic xmlns:a="http://schemas.openxmlformats.org/drawingml/2006/main">
                        <a:graphicData uri="http://schemas.microsoft.com/office/word/2010/wordprocessingShape">
                          <wps:wsp>
                            <wps:cNvSpPr txBox="1"/>
                            <wps:spPr>
                              <a:xfrm>
                                <a:off x="0" y="0"/>
                                <a:ext cx="874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35585" cy="175260"/>
                      <wp:effectExtent l="0" t="0" r="0" b="0"/>
                      <wp:wrapNone/>
                      <wp:docPr id="216" name="Frame21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888365" cy="175260"/>
                      <wp:effectExtent l="0" t="0" r="0" b="0"/>
                      <wp:wrapNone/>
                      <wp:docPr id="217" name="Frame217"/>
                      <a:graphic xmlns:a="http://schemas.openxmlformats.org/drawingml/2006/main">
                        <a:graphicData uri="http://schemas.microsoft.com/office/word/2010/wordprocessingShape">
                          <wps:wsp>
                            <wps:cNvSpPr txBox="1"/>
                            <wps:spPr>
                              <a:xfrm>
                                <a:off x="0" y="0"/>
                                <a:ext cx="888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of </w:t>
            </w:r>
          </w:p>
        </w:tc>
      </w:tr>
      <w:tr>
        <w:trPr/>
        <w:tc>
          <w:tcPr>
            <w:tcW w:w="37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In-Place Leases</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61,974</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56,614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Above Market In-Place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Intangible Leasing Costs</w:t>
            </w:r>
          </w:p>
        </w:tc>
        <w:tc>
          <w:tcPr>
            <w:tcW w:w="109" w:type="dxa"/>
            <w:tcBorders/>
            <w:vAlign w:val="center"/>
          </w:tcPr>
          <w:p>
            <w:pPr>
              <w:pStyle w:val="TableContents"/>
              <w:bidi w:val="0"/>
              <w:spacing w:before="0" w:after="0"/>
              <w:ind w:left="0" w:right="0" w:hanging="0"/>
              <w:jc w:val="left"/>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20,819</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19,457</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84,617</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77,779</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vAlign w:val="center"/>
          </w:tcPr>
          <w:p>
            <w:pPr>
              <w:pStyle w:val="TableContents"/>
              <w:bidi w:val="0"/>
              <w:spacing w:before="0" w:after="0"/>
              <w:ind w:left="0" w:right="0" w:hanging="0"/>
              <w:jc w:val="left"/>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(36,729)</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Assets—Net</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47,888</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48,925</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Below Market In-Place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(9,760)</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(7,763)</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(9,760)</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(7,763)</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3,640</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2,792</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Liabilities—Net</w:t>
            </w:r>
          </w:p>
        </w:tc>
        <w:tc>
          <w:tcPr>
            <w:tcW w:w="109" w:type="dxa"/>
            <w:tcBorders/>
            <w:vAlign w:val="center"/>
          </w:tcPr>
          <w:p>
            <w:pPr>
              <w:pStyle w:val="TableContents"/>
              <w:bidi w:val="0"/>
              <w:spacing w:before="0" w:after="0"/>
              <w:ind w:left="0" w:right="0" w:hanging="0"/>
              <w:jc w:val="left"/>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(6,120)</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and Liabilities—Net</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41,768</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43,954</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200"/>
        <w:ind w:left="0" w:right="0" w:firstLine="432"/>
        <w:jc w:val="left"/>
        <w:rPr>
          <w:rFonts w:ascii="Times New Roman;Times;serif" w:hAnsi="Times New Roman;Times;serif"/>
          <w:sz w:val="20"/>
        </w:rPr>
      </w:pPr>
      <w:r>
        <w:rPr>
          <w:rFonts w:ascii="Times New Roman;Times;serif" w:hAnsi="Times New Roman;Times;serif"/>
          <w:sz w:val="20"/>
        </w:rPr>
        <w:t>The following table reflects the net amortization of intangible assets and liabilities during the three and nine months ended September 30, 2026 and 2025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86"/>
        <w:gridCol w:w="109"/>
        <w:gridCol w:w="433"/>
        <w:gridCol w:w="1174"/>
        <w:gridCol w:w="117"/>
        <w:gridCol w:w="433"/>
        <w:gridCol w:w="1174"/>
        <w:gridCol w:w="109"/>
        <w:gridCol w:w="433"/>
        <w:gridCol w:w="1174"/>
        <w:gridCol w:w="109"/>
        <w:gridCol w:w="387"/>
        <w:gridCol w:w="1267"/>
      </w:tblGrid>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74955" cy="175260"/>
                      <wp:effectExtent l="0" t="0" r="0" b="0"/>
                      <wp:wrapNone/>
                      <wp:docPr id="219" name="Frame219"/>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745490" cy="175260"/>
                      <wp:effectExtent l="0" t="0" r="0" b="0"/>
                      <wp:wrapNone/>
                      <wp:docPr id="220" name="Frame220"/>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74295" cy="175260"/>
                      <wp:effectExtent l="0" t="0" r="0" b="0"/>
                      <wp:wrapNone/>
                      <wp:docPr id="221" name="Frame221"/>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74955" cy="175260"/>
                      <wp:effectExtent l="0" t="0" r="0" b="0"/>
                      <wp:wrapNone/>
                      <wp:docPr id="222" name="Frame222"/>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45490" cy="175260"/>
                      <wp:effectExtent l="0" t="0" r="0" b="0"/>
                      <wp:wrapNone/>
                      <wp:docPr id="223" name="Frame223"/>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74955" cy="175260"/>
                      <wp:effectExtent l="0" t="0" r="0" b="0"/>
                      <wp:wrapNone/>
                      <wp:docPr id="225" name="Frame225"/>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745490" cy="175260"/>
                      <wp:effectExtent l="0" t="0" r="0" b="0"/>
                      <wp:wrapNone/>
                      <wp:docPr id="226" name="Frame226"/>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45745" cy="175260"/>
                      <wp:effectExtent l="0" t="0" r="0" b="0"/>
                      <wp:wrapNone/>
                      <wp:docPr id="228" name="Frame228"/>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804545" cy="175260"/>
                      <wp:effectExtent l="0" t="0" r="0" b="0"/>
                      <wp:wrapNone/>
                      <wp:docPr id="229" name="Frame229"/>
                      <a:graphic xmlns:a="http://schemas.openxmlformats.org/drawingml/2006/main">
                        <a:graphicData uri="http://schemas.microsoft.com/office/word/2010/wordprocessingShape">
                          <wps:wsp>
                            <wps:cNvSpPr txBox="1"/>
                            <wps:spPr>
                              <a:xfrm>
                                <a:off x="0" y="0"/>
                                <a:ext cx="804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3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33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17" w:type="dxa"/>
            <w:tcBorders/>
            <w:vAlign w:val="center"/>
          </w:tcPr>
          <w:p>
            <w:pPr>
              <w:pStyle w:val="TableContents"/>
              <w:bidi w:val="0"/>
              <w:spacing w:before="0" w:after="0"/>
              <w:ind w:left="0" w:right="0" w:hanging="0"/>
              <w:jc w:val="center"/>
              <w:rPr/>
            </w:pPr>
            <w:r>
              <w:rPr/>
              <w:t>​</w:t>
            </w:r>
          </w:p>
        </w:tc>
        <w:tc>
          <w:tcPr>
            <w:tcW w:w="16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left"/>
              <w:rPr/>
            </w:pPr>
            <w:r>
              <w:rPr/>
              <w:t>​</w:t>
            </w:r>
          </w:p>
        </w:tc>
        <w:tc>
          <w:tcPr>
            <w:tcW w:w="16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0"/>
              <w:ind w:left="0" w:right="0" w:hanging="0"/>
              <w:jc w:val="center"/>
              <w:rPr/>
            </w:pPr>
            <w:r>
              <w:rPr/>
              <w:t>​</w:t>
            </w:r>
          </w:p>
        </w:tc>
        <w:tc>
          <w:tcPr>
            <w:tcW w:w="16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Expense </w:t>
            </w:r>
          </w:p>
        </w:tc>
        <w:tc>
          <w:tcPr>
            <w:tcW w:w="109" w:type="dxa"/>
            <w:tcBorders/>
            <w:shd w:fill="CCEEFF" w:val="clear"/>
            <w:vAlign w:val="center"/>
          </w:tcPr>
          <w:p>
            <w:pPr>
              <w:pStyle w:val="TableContents"/>
              <w:bidi w:val="0"/>
              <w:spacing w:before="0" w:after="0"/>
              <w:ind w:left="0" w:right="0" w:hanging="0"/>
              <w:jc w:val="left"/>
              <w:rPr/>
            </w:pPr>
            <w:r>
              <w:rPr/>
              <w:t>​</w:t>
            </w:r>
          </w:p>
        </w:tc>
        <w:tc>
          <w:tcPr>
            <w:tcW w:w="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2,623</w:t>
            </w:r>
          </w:p>
        </w:tc>
        <w:tc>
          <w:tcPr>
            <w:tcW w:w="117" w:type="dxa"/>
            <w:tcBorders/>
            <w:shd w:fill="CCEEFF" w:val="clear"/>
            <w:vAlign w:val="center"/>
          </w:tcPr>
          <w:p>
            <w:pPr>
              <w:pStyle w:val="TableContents"/>
              <w:bidi w:val="0"/>
              <w:spacing w:before="0" w:after="0"/>
              <w:ind w:left="0" w:right="0" w:hanging="0"/>
              <w:jc w:val="left"/>
              <w:rPr/>
            </w:pPr>
            <w:r>
              <w:rPr/>
              <w:t>​</w:t>
            </w:r>
          </w:p>
        </w:tc>
        <w:tc>
          <w:tcPr>
            <w:tcW w:w="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w:t>
            </w:r>
          </w:p>
        </w:tc>
        <w:tc>
          <w:tcPr>
            <w:tcW w:w="109" w:type="dxa"/>
            <w:tcBorders/>
            <w:shd w:fill="CCEEFF" w:val="clear"/>
            <w:vAlign w:val="center"/>
          </w:tcPr>
          <w:p>
            <w:pPr>
              <w:pStyle w:val="TableContents"/>
              <w:bidi w:val="0"/>
              <w:spacing w:before="0" w:after="0"/>
              <w:ind w:left="0" w:right="0" w:hanging="0"/>
              <w:jc w:val="left"/>
              <w:rPr/>
            </w:pPr>
            <w:r>
              <w:rPr/>
              <w:t>​</w:t>
            </w:r>
          </w:p>
        </w:tc>
        <w:tc>
          <w:tcPr>
            <w:tcW w:w="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7,792</w:t>
            </w:r>
          </w:p>
        </w:tc>
        <w:tc>
          <w:tcPr>
            <w:tcW w:w="109"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6,648</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to Properties Revenue</w:t>
            </w:r>
          </w:p>
        </w:tc>
        <w:tc>
          <w:tcPr>
            <w:tcW w:w="109" w:type="dxa"/>
            <w:tcBorders/>
            <w:vAlign w:val="center"/>
          </w:tcPr>
          <w:p>
            <w:pPr>
              <w:pStyle w:val="TableContents"/>
              <w:bidi w:val="0"/>
              <w:spacing w:before="0" w:after="0"/>
              <w:ind w:left="0" w:right="0" w:hanging="0"/>
              <w:jc w:val="left"/>
              <w:rPr/>
            </w:pPr>
            <w:r>
              <w:rPr/>
              <w:t>​</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117" w:type="dxa"/>
            <w:tcBorders/>
            <w:vAlign w:val="center"/>
          </w:tcPr>
          <w:p>
            <w:pPr>
              <w:pStyle w:val="TableContents"/>
              <w:bidi w:val="0"/>
              <w:spacing w:before="0" w:after="0"/>
              <w:ind w:left="0" w:right="0" w:hanging="0"/>
              <w:jc w:val="left"/>
              <w:rPr/>
            </w:pPr>
            <w:r>
              <w:rPr/>
              <w:t>​</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vAlign w:val="center"/>
          </w:tcPr>
          <w:p>
            <w:pPr>
              <w:pStyle w:val="TableContents"/>
              <w:bidi w:val="0"/>
              <w:spacing w:before="0" w:after="0"/>
              <w:ind w:left="0" w:right="0" w:hanging="0"/>
              <w:jc w:val="left"/>
              <w:rPr/>
            </w:pPr>
            <w:r>
              <w:rPr/>
              <w:t>​</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109" w:type="dxa"/>
            <w:tcBorders/>
            <w:vAlign w:val="center"/>
          </w:tcPr>
          <w:p>
            <w:pPr>
              <w:pStyle w:val="TableContents"/>
              <w:bidi w:val="0"/>
              <w:spacing w:before="0" w:after="0"/>
              <w:ind w:left="0" w:right="0" w:hanging="0"/>
              <w:jc w:val="left"/>
              <w:rPr/>
            </w:pPr>
            <w:r>
              <w:rPr/>
              <w:t>​</w:t>
            </w:r>
          </w:p>
        </w:tc>
        <w:tc>
          <w:tcPr>
            <w:tcW w:w="3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Amortization of Intangible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4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2,367</w:t>
            </w:r>
          </w:p>
        </w:tc>
        <w:tc>
          <w:tcPr>
            <w:tcW w:w="117" w:type="dxa"/>
            <w:tcBorders/>
            <w:shd w:fill="CCEEFF" w:val="clear"/>
            <w:vAlign w:val="center"/>
          </w:tcPr>
          <w:p>
            <w:pPr>
              <w:pStyle w:val="TableContents"/>
              <w:bidi w:val="0"/>
              <w:spacing w:before="0" w:after="0"/>
              <w:ind w:left="0" w:right="0" w:hanging="0"/>
              <w:jc w:val="left"/>
              <w:rPr/>
            </w:pPr>
            <w:r>
              <w:rPr/>
              <w:t>​</w:t>
            </w:r>
          </w:p>
        </w:tc>
        <w:tc>
          <w:tcPr>
            <w:tcW w:w="4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w:t>
            </w:r>
          </w:p>
        </w:tc>
        <w:tc>
          <w:tcPr>
            <w:tcW w:w="109" w:type="dxa"/>
            <w:tcBorders/>
            <w:shd w:fill="CCEEFF" w:val="clear"/>
            <w:vAlign w:val="center"/>
          </w:tcPr>
          <w:p>
            <w:pPr>
              <w:pStyle w:val="TableContents"/>
              <w:bidi w:val="0"/>
              <w:spacing w:before="0" w:after="0"/>
              <w:ind w:left="0" w:right="0" w:hanging="0"/>
              <w:jc w:val="left"/>
              <w:rPr/>
            </w:pPr>
            <w:r>
              <w:rPr/>
              <w:t>​</w:t>
            </w:r>
          </w:p>
        </w:tc>
        <w:tc>
          <w:tcPr>
            <w:tcW w:w="4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7,059</w:t>
            </w:r>
          </w:p>
        </w:tc>
        <w:tc>
          <w:tcPr>
            <w:tcW w:w="109" w:type="dxa"/>
            <w:tcBorders/>
            <w:shd w:fill="CCEEFF" w:val="clear"/>
            <w:vAlign w:val="center"/>
          </w:tcPr>
          <w:p>
            <w:pPr>
              <w:pStyle w:val="TableContents"/>
              <w:bidi w:val="0"/>
              <w:spacing w:before="0" w:after="0"/>
              <w:ind w:left="0" w:right="0" w:hanging="0"/>
              <w:jc w:val="left"/>
              <w:rPr/>
            </w:pPr>
            <w:r>
              <w:rPr/>
              <w:t>​</w:t>
            </w:r>
          </w:p>
        </w:tc>
        <w:tc>
          <w:tcPr>
            <w:tcW w:w="3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6,226</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estimated future amortization expense (income) related to net intangible assets and liabilities is as follows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77"/>
        <w:gridCol w:w="109"/>
        <w:gridCol w:w="451"/>
        <w:gridCol w:w="1447"/>
        <w:gridCol w:w="109"/>
        <w:gridCol w:w="606"/>
        <w:gridCol w:w="1815"/>
        <w:gridCol w:w="109"/>
        <w:gridCol w:w="667"/>
        <w:gridCol w:w="2515"/>
      </w:tblGrid>
      <w:tr>
        <w:trPr/>
        <w:tc>
          <w:tcPr>
            <w:tcW w:w="23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918845" cy="175260"/>
                      <wp:effectExtent l="0" t="0" r="0" b="0"/>
                      <wp:wrapNone/>
                      <wp:docPr id="230" name="Frame230"/>
                      <a:graphic xmlns:a="http://schemas.openxmlformats.org/drawingml/2006/main">
                        <a:graphicData uri="http://schemas.microsoft.com/office/word/2010/wordprocessingShape">
                          <wps:wsp>
                            <wps:cNvSpPr txBox="1"/>
                            <wps:spPr>
                              <a:xfrm>
                                <a:off x="0" y="0"/>
                                <a:ext cx="918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152525" cy="175260"/>
                      <wp:effectExtent l="0" t="0" r="0" b="0"/>
                      <wp:wrapNone/>
                      <wp:docPr id="232" name="Frame232"/>
                      <a:graphic xmlns:a="http://schemas.openxmlformats.org/drawingml/2006/main">
                        <a:graphicData uri="http://schemas.microsoft.com/office/word/2010/wordprocessingShape">
                          <wps:wsp>
                            <wps:cNvSpPr txBox="1"/>
                            <wps:spPr>
                              <a:xfrm>
                                <a:off x="0" y="0"/>
                                <a:ext cx="1152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0"/>
              <w:ind w:left="0" w:right="0" w:hanging="0"/>
              <w:jc w:val="left"/>
              <w:rPr/>
            </w:pPr>
            <w:r>
              <w:rPr/>
              <w:t>​</w:t>
            </w:r>
          </w:p>
        </w:tc>
        <w:tc>
          <w:tcPr>
            <w:tcW w:w="2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597025" cy="175260"/>
                      <wp:effectExtent l="0" t="0" r="0" b="0"/>
                      <wp:wrapNone/>
                      <wp:docPr id="234" name="Frame234"/>
                      <a:graphic xmlns:a="http://schemas.openxmlformats.org/drawingml/2006/main">
                        <a:graphicData uri="http://schemas.microsoft.com/office/word/2010/wordprocessingShape">
                          <wps:wsp>
                            <wps:cNvSpPr txBox="1"/>
                            <wps:spPr>
                              <a:xfrm>
                                <a:off x="0" y="0"/>
                                <a:ext cx="159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1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Amortization Expense</w:t>
            </w:r>
          </w:p>
        </w:tc>
        <w:tc>
          <w:tcPr>
            <w:tcW w:w="109" w:type="dxa"/>
            <w:tcBorders/>
            <w:vAlign w:val="center"/>
          </w:tcPr>
          <w:p>
            <w:pPr>
              <w:pStyle w:val="TableContents"/>
              <w:bidi w:val="0"/>
              <w:spacing w:before="0" w:after="0"/>
              <w:ind w:left="0" w:right="0" w:hanging="0"/>
              <w:jc w:val="left"/>
              <w:rPr/>
            </w:pPr>
            <w:r>
              <w:rPr/>
              <w:t>​</w:t>
            </w:r>
          </w:p>
        </w:tc>
        <w:tc>
          <w:tcPr>
            <w:tcW w:w="24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Future Accretion to Property Revenue </w:t>
            </w:r>
          </w:p>
        </w:tc>
        <w:tc>
          <w:tcPr>
            <w:tcW w:w="109" w:type="dxa"/>
            <w:tcBorders/>
            <w:vAlign w:val="center"/>
          </w:tcPr>
          <w:p>
            <w:pPr>
              <w:pStyle w:val="TableContents"/>
              <w:bidi w:val="0"/>
              <w:spacing w:before="0" w:after="0"/>
              <w:ind w:left="0" w:right="0" w:hanging="0"/>
              <w:jc w:val="left"/>
              <w:rPr/>
            </w:pPr>
            <w:r>
              <w:rPr/>
              <w:t>​</w:t>
            </w:r>
          </w:p>
        </w:tc>
        <w:tc>
          <w:tcPr>
            <w:tcW w:w="3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Net Future Amortization of Intangible Assets and Liabilities </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109"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10,091</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109"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left"/>
              <w:rPr/>
            </w:pPr>
            <w:r>
              <w:rPr/>
              <w:t>​</w:t>
            </w:r>
          </w:p>
        </w:tc>
        <w:tc>
          <w:tcPr>
            <w:tcW w:w="25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8,644</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8,086</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w:t>
            </w:r>
          </w:p>
        </w:tc>
        <w:tc>
          <w:tcPr>
            <w:tcW w:w="109"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pPr>
            <w:r>
              <w:rPr/>
              <w:t>​</w:t>
            </w:r>
          </w:p>
        </w:tc>
        <w:tc>
          <w:tcPr>
            <w:tcW w:w="25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6,903</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6,903</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109"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left"/>
              <w:rPr/>
            </w:pPr>
            <w:r>
              <w:rPr/>
              <w:t>​</w:t>
            </w:r>
          </w:p>
        </w:tc>
        <w:tc>
          <w:tcPr>
            <w:tcW w:w="25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6,068</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5,630</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109"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pPr>
            <w:r>
              <w:rPr/>
              <w:t>​</w:t>
            </w:r>
          </w:p>
        </w:tc>
        <w:tc>
          <w:tcPr>
            <w:tcW w:w="25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5,110</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4,923</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109"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left"/>
              <w:rPr/>
            </w:pPr>
            <w:r>
              <w:rPr/>
              <w:t>​</w:t>
            </w:r>
          </w:p>
        </w:tc>
        <w:tc>
          <w:tcPr>
            <w:tcW w:w="25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4,471</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2032 and 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8,375</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109" w:type="dxa"/>
            <w:tcBorders/>
            <w:shd w:fill="CCEEFF" w:val="cle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8,056</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46,878</w:t>
            </w:r>
          </w:p>
        </w:tc>
        <w:tc>
          <w:tcPr>
            <w:tcW w:w="10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(5,110)</w:t>
            </w:r>
          </w:p>
        </w:tc>
        <w:tc>
          <w:tcPr>
            <w:tcW w:w="109" w:type="dxa"/>
            <w:tcBorders/>
            <w:vAlign w:val="center"/>
          </w:tcPr>
          <w:p>
            <w:pPr>
              <w:pStyle w:val="TableContents"/>
              <w:bidi w:val="0"/>
              <w:spacing w:before="0" w:after="0"/>
              <w:ind w:left="0" w:right="0" w:hanging="0"/>
              <w:jc w:val="left"/>
              <w:rPr/>
            </w:pPr>
            <w:r>
              <w:rPr/>
              <w:t>​</w:t>
            </w:r>
          </w:p>
        </w:tc>
        <w:tc>
          <w:tcPr>
            <w:tcW w:w="6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15"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41,768</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September 30, 2026, the weighted average amortization period of both the total intangible assets and liabilities was 8.6 years.</w:t>
      </w:r>
    </w:p>
    <w:p>
      <w:pPr>
        <w:pStyle w:val="TextBody"/>
        <w:bidi w:val="0"/>
        <w:spacing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7. PROVISION FOR IMPAIRMENT AND ADJUSTMENT TO CECL RESERVE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i/>
          <w:sz w:val="20"/>
        </w:rPr>
        <w:t>Income Properties</w:t>
      </w:r>
      <w:r>
        <w:rPr>
          <w:rFonts w:ascii="Times New Roman;Times;serif" w:hAnsi="Times New Roman;Times;serif"/>
          <w:sz w:val="20"/>
        </w:rPr>
        <w:t>. 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letters of intent on specific properties, executed purchase and sale agreements on specific properties, third-party valuations, discounted cash flow models, and other model-based techniques.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During the nine months ended September 30, 2026, the Company recorded a $0.2 million impairment charge related to a property within the Company’s income properties segment, with no such charges during the three months ended September 30, 2026. The impairment charge was a result of the execution of a purchase and sale agreement during the nine months ended September 30, 2026, under which the contractual sales price, less the property’s carrying value and estimated costs to sell, results in an impairment. The impairment during the nine months ended September 30, 2026 is related to a property leased to Advance Auto Parts. The Company’s execution of the above-referenced purchase and sale agreement is consistent with the Company’s current intent to dispose of such property at a price less than its carrying value to facilitate the re-investment of the proceeds therefrom into new investment opportunities.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During the three and nine months ended September 30, 2025, the Company recorded $1.9 million and $6.6 million of impairment charges, respectively, with respect to certain properties within the Company’s income properties segment. The impairment charges are a result of the execution during the respective periods of letters of intent and/or purchase and sale agreements under which the expected sales prices, less the properties’ carrying values and estimated costs to sell, resulted in impairments. The impairments during the nine months ended September 30, 2025 are related to the following properties: (i) three convenience store properties, which were classified as held for sale; (ii) a property formerly leased to Party City; (iii) a property leased to At Home; (iv) a property formerly leased to Century Theater Center; and (v) three properties leased to Walgreens.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i/>
          <w:sz w:val="20"/>
        </w:rPr>
        <w:t>Commercial Loans and Investments</w:t>
      </w:r>
      <w:r>
        <w:rPr>
          <w:rFonts w:ascii="Times New Roman;Times;serif" w:hAnsi="Times New Roman;Times;serif"/>
          <w:sz w:val="20"/>
        </w:rPr>
        <w:t xml:space="preserve">. The Company evaluates the collectability of its commercial loans and investments, including sales-type lease investments, on a quarterly basis or whenever events or changes in circumstances indicate that the carrying amount of an asset may not be recoverable. The Company accounts for provisions for expected credit losses in accordance with ASC Topic 326, </w:t>
      </w:r>
      <w:r>
        <w:rPr>
          <w:rFonts w:ascii="Times New Roman;Times;serif" w:hAnsi="Times New Roman;Times;serif"/>
          <w:i/>
          <w:sz w:val="20"/>
        </w:rPr>
        <w:t>Measurement of Credit Losses on Financial Instruments</w:t>
      </w:r>
      <w:r>
        <w:rPr>
          <w:rFonts w:ascii="Times New Roman;Times;serif" w:hAnsi="Times New Roman;Times;serif"/>
          <w:sz w:val="20"/>
        </w:rPr>
        <w:t>. Changes in the Company’s allowance for credit losses are presented within the provision for impairment and adjustment to CECL reserve in the accompanying consolidated statements of operations.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During the three and nine months ended September 30, 2026, the Company recorded charges of less than $0.1 million and $0.6 million, respectively, representing the provision for credit losses related to our commercial loans and investments. The impairment charges were driven by the initial estimated CECL allowance based on our investment activity as well as loan repayments during the three and nine months ended September 30, 2026.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three and nine months ended September 30, 2025, the Company recorded charges of less than $0.1 million and $0.1 million, respectively, representing the provision for credit losses related to our commercial loans and investments. The impairment charges were driven by the initial estimated CECL allowance based on our investment activity as well as loan repayments during the three and nine months ended September 30, 2025.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246" w:name="Tc_g4miLwhLn06zyurYo7gHhg_10_5"/>
      <w:bookmarkStart w:id="1247" w:name="Tc_66G0DKb-fES7wtiB_lKnUg_10_2"/>
      <w:bookmarkStart w:id="1248" w:name="Tc_B8att1Tdw0mpg7kp_ljAAQ_10_0"/>
      <w:bookmarkStart w:id="1249" w:name="Tc_qrAmpMbhr0q897Zn2ywduQ_9_0"/>
      <w:bookmarkStart w:id="1250" w:name="Tc_UzR7TvYT-UW1SC0woWxrbw_7_0"/>
      <w:bookmarkStart w:id="1251" w:name="Tc_3EnQYIeBW0WDF0kXUwYqqA_6_0"/>
      <w:bookmarkStart w:id="1252" w:name="Tc_6N5RcC0_akyh8xGIijKRxg_5_6"/>
      <w:bookmarkStart w:id="1253" w:name="Tc_y71WSqypS0KOSNj_HoZNLg_5_0"/>
      <w:bookmarkStart w:id="1254" w:name="Tc_E_NIzBvMO0macZuDmO2f3g_4_0"/>
      <w:bookmarkStart w:id="1255" w:name="Tc_WQJPQNuYqUy_dD6ahSR-Jg_3_5"/>
      <w:bookmarkStart w:id="1256" w:name="Tc_-850G0v2zECsNLOLXDJOXg_3_2"/>
      <w:bookmarkStart w:id="1257" w:name="Tc_xZMKRDRobEKti-KGW5CXcg_3_0"/>
      <w:bookmarkStart w:id="1258" w:name="Tc_Zp5FjV_zDU-gthxEB-5arg_2_5"/>
      <w:bookmarkStart w:id="1259" w:name="Tc_UOpqYR23SUCygv17gpYAhA_2_2"/>
      <w:bookmarkStart w:id="1260" w:name="Tc_HfabdtIAjEi4BKyhGVanTg_1_2"/>
      <w:bookmarkStart w:id="1261" w:name="_370ff305_a04d_43fc_835a_77b2e2ff6266"/>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r>
        <w:rPr>
          <w:rFonts w:ascii="Times New Roman;Times;serif" w:hAnsi="Times New Roman;Times;serif"/>
          <w:b/>
          <w:sz w:val="20"/>
        </w:rPr>
        <w:t>NOTE 8. OTHER ASSETS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Other assets consisted of the following (in thousands):</w:t>
      </w:r>
    </w:p>
    <w:p>
      <w:pPr>
        <w:pStyle w:val="TextBody"/>
        <w:bidi w:val="0"/>
        <w:spacing w:before="0" w:after="0"/>
        <w:ind w:left="0" w:right="0" w:hanging="0"/>
        <w:jc w:val="left"/>
        <w:rPr/>
      </w:pPr>
      <w:r>
        <w:rPr/>
        <w:t>​</w:t>
      </w:r>
    </w:p>
    <w:tbl>
      <w:tblPr>
        <w:tblW w:w="9159" w:type="dxa"/>
        <w:jc w:val="left"/>
        <w:tblInd w:w="0" w:type="dxa"/>
        <w:tblLayout w:type="fixed"/>
        <w:tblCellMar>
          <w:top w:w="0" w:type="dxa"/>
          <w:left w:w="0" w:type="dxa"/>
          <w:bottom w:w="0" w:type="dxa"/>
          <w:right w:w="0" w:type="dxa"/>
        </w:tblCellMar>
      </w:tblPr>
      <w:tblGrid>
        <w:gridCol w:w="5401"/>
        <w:gridCol w:w="109"/>
        <w:gridCol w:w="420"/>
        <w:gridCol w:w="1350"/>
        <w:gridCol w:w="109"/>
        <w:gridCol w:w="414"/>
        <w:gridCol w:w="1356"/>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429635" cy="175260"/>
                      <wp:effectExtent l="0" t="0" r="0" b="0"/>
                      <wp:wrapNone/>
                      <wp:docPr id="235" name="Frame235"/>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6"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66700" cy="175260"/>
                      <wp:effectExtent l="0" t="0" r="0" b="0"/>
                      <wp:wrapNone/>
                      <wp:docPr id="237" name="Frame237"/>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857250" cy="175260"/>
                      <wp:effectExtent l="0" t="0" r="0" b="0"/>
                      <wp:wrapNone/>
                      <wp:docPr id="238" name="Frame238"/>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9"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62890" cy="175260"/>
                      <wp:effectExtent l="0" t="0" r="0" b="0"/>
                      <wp:wrapNone/>
                      <wp:docPr id="240" name="Frame240"/>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861060" cy="175260"/>
                      <wp:effectExtent l="0" t="0" r="0" b="0"/>
                      <wp:wrapNone/>
                      <wp:docPr id="241" name="Frame241"/>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Tenant Receivables—Net of Allowance for Doubtful Accounts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Insurance </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09"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on Acquisitions</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56" w:type="dxa"/>
            <w:tcBorders/>
            <w:shd w:fill="CCEEFF" w:val="clear"/>
            <w:vAlign w:val="center"/>
          </w:tcPr>
          <w:p>
            <w:pPr>
              <w:pStyle w:val="TableContents"/>
              <w:bidi w:val="0"/>
              <w:spacing w:before="0" w:after="0"/>
              <w:ind w:left="0" w:right="0" w:hanging="0"/>
              <w:jc w:val="righ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Deposits, and Other</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4,147</w:t>
            </w:r>
          </w:p>
        </w:tc>
        <w:tc>
          <w:tcPr>
            <w:tcW w:w="109"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Financing Costs—Net</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Swaps</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8,735</w:t>
            </w:r>
          </w:p>
        </w:tc>
        <w:tc>
          <w:tcPr>
            <w:tcW w:w="109"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Leases - Right-of-Use Asset </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8,987</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26,059</w:t>
            </w:r>
          </w:p>
        </w:tc>
        <w:tc>
          <w:tcPr>
            <w:tcW w:w="109" w:type="dxa"/>
            <w:tcBorders/>
            <w:vAlign w:val="center"/>
          </w:tcPr>
          <w:p>
            <w:pPr>
              <w:pStyle w:val="TableContents"/>
              <w:bidi w:val="0"/>
              <w:spacing w:before="0" w:after="0"/>
              <w:ind w:left="0" w:right="0" w:hanging="0"/>
              <w:jc w:val="left"/>
              <w:rPr/>
            </w:pPr>
            <w:r>
              <w:rPr/>
              <w:t>​</w:t>
            </w:r>
          </w:p>
        </w:tc>
        <w:tc>
          <w:tcPr>
            <w:tcW w:w="4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8,908</w:t>
            </w:r>
          </w:p>
        </w:tc>
      </w:tr>
    </w:tbl>
    <w:tbl>
      <w:tblPr>
        <w:tblW w:w="10052" w:type="dxa"/>
        <w:jc w:val="left"/>
        <w:tblInd w:w="0" w:type="dxa"/>
        <w:tblLayout w:type="fixed"/>
        <w:tblCellMar>
          <w:top w:w="0" w:type="dxa"/>
          <w:left w:w="0" w:type="dxa"/>
          <w:bottom w:w="0" w:type="dxa"/>
          <w:right w:w="0" w:type="dxa"/>
        </w:tblCellMar>
      </w:tblPr>
      <w:tblGrid>
        <w:gridCol w:w="271"/>
        <w:gridCol w:w="978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7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a $0.3</w:t>
            </w:r>
            <w:r>
              <w:rPr>
                <w:caps w:val="false"/>
                <w:smallCaps w:val="false"/>
              </w:rPr>
              <w:t xml:space="preserve"> </w:t>
            </w:r>
            <w:r>
              <w:rPr>
                <w:rFonts w:ascii="Times New Roman;Times;serif" w:hAnsi="Times New Roman;Times;serif"/>
                <w:b w:val="false"/>
                <w:i w:val="false"/>
                <w:caps w:val="false"/>
                <w:smallCaps w:val="false"/>
                <w:sz w:val="16"/>
              </w:rPr>
              <w:t>million and $0.2</w:t>
            </w:r>
            <w:r>
              <w:rPr>
                <w:caps w:val="false"/>
                <w:smallCaps w:val="false"/>
              </w:rPr>
              <w:t xml:space="preserve"> </w:t>
            </w:r>
            <w:r>
              <w:rPr>
                <w:rFonts w:ascii="Times New Roman;Times;serif" w:hAnsi="Times New Roman;Times;serif"/>
                <w:b w:val="false"/>
                <w:i w:val="false"/>
                <w:caps w:val="false"/>
                <w:smallCaps w:val="false"/>
                <w:sz w:val="16"/>
              </w:rPr>
              <w:t>million allowance for doubtful accounts as of September 30, 2026 and December 31, 2025, respectively.</w:t>
            </w:r>
          </w:p>
        </w:tc>
      </w:tr>
    </w:tbl>
    <w:tbl>
      <w:tblPr>
        <w:tblW w:w="9977" w:type="dxa"/>
        <w:jc w:val="left"/>
        <w:tblInd w:w="0" w:type="dxa"/>
        <w:tblLayout w:type="fixed"/>
        <w:tblCellMar>
          <w:top w:w="0" w:type="dxa"/>
          <w:left w:w="0" w:type="dxa"/>
          <w:bottom w:w="0" w:type="dxa"/>
          <w:right w:w="0" w:type="dxa"/>
        </w:tblCellMar>
      </w:tblPr>
      <w:tblGrid>
        <w:gridCol w:w="271"/>
        <w:gridCol w:w="970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 Note 9, “Operating Land Leases” for further disclosure related to the Company’s right-of-use asset balance as of September 30, 2026.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62" w:name="Tc_455k3AieWE-LWYeDGiiYAw_5_13"/>
      <w:bookmarkStart w:id="1263" w:name="Tc_q4CcJQ2O7E2fl94rSMxq9w_5_10"/>
      <w:bookmarkStart w:id="1264" w:name="Tc_Z8Ndotkx0kq9K8V_X5jOcw_5_7"/>
      <w:bookmarkStart w:id="1265" w:name="Tc_x_zViabfWUahIFgJSeQY1w_5_4"/>
      <w:bookmarkStart w:id="1266" w:name="Tc_y33-Shpexkm_I2cRlTryig_5_0"/>
      <w:bookmarkStart w:id="1267" w:name="Tc__Gt9KbbBlEWQx3E3ssgSHw_4_0"/>
      <w:bookmarkStart w:id="1268" w:name="Tc_5cPed-IrkUaQfCqpE3ICOA_3_11"/>
      <w:bookmarkStart w:id="1269" w:name="Tc_LaX2CgCjQ0qd4fPVDYy9wA_3_8"/>
      <w:bookmarkStart w:id="1270" w:name="Tc_8fUtWU5F6kGzozC3be3iCg_3_5"/>
      <w:bookmarkStart w:id="1271" w:name="Tc_WfqikeaMkESaVYV18x-zZQ_3_2"/>
      <w:bookmarkStart w:id="1272" w:name="Tc_3wheGHbXSk-0OG0RnYCofA_3_0"/>
      <w:bookmarkStart w:id="1273" w:name="Tc_4CQ2s8Ta4E6Dl2K551KcWg_2_11"/>
      <w:bookmarkStart w:id="1274" w:name="Tc_PggLt7Hy2Ui7bjFepNSXcw_2_8"/>
      <w:bookmarkStart w:id="1275" w:name="Tc_8YC6A1b-9k-Qhs9src6I8A_2_5"/>
      <w:bookmarkStart w:id="1276" w:name="Tc_pRr5BK9NJU69-7ClpsMmGA_2_2"/>
      <w:bookmarkStart w:id="1277" w:name="Tc_M5Z2Yx2ajU6r6bkbrqqDbA_1_8"/>
      <w:bookmarkStart w:id="1278" w:name="Tc_clNUB3RbfEeHALFXQhoRoQ_1_2"/>
      <w:bookmarkStart w:id="1279" w:name="_fdfe900e_7b39_471a_ae66_fb7b6b0d54ec"/>
      <w:bookmarkStart w:id="1280" w:name="_895381d2_b6c4_4200_bf6a_9f37dbff8aa6_3"/>
      <w:bookmarkStart w:id="1281" w:name="_895381d2_b6c4_4200_bf6a_9f37dbff8aa6_2"/>
      <w:bookmarkStart w:id="1282" w:name="_895381d2_b6c4_4200_bf6a_9f37dbff8aa6"/>
      <w:bookmarkStart w:id="1283" w:name="_a9a923d1_25b1_4ea4_afa6_91e575908244_3"/>
      <w:bookmarkStart w:id="1284" w:name="_a9a923d1_25b1_4ea4_afa6_91e575908244_2"/>
      <w:bookmarkStart w:id="1285" w:name="_a9a923d1_25b1_4ea4_afa6_91e575908244"/>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r>
        <w:rPr>
          <w:rFonts w:ascii="Times New Roman;Times;serif" w:hAnsi="Times New Roman;Times;serif"/>
          <w:b/>
          <w:sz w:val="20"/>
        </w:rPr>
        <w:t>NOTE 9. OPERATING LAND LEASES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The Company is the lessee under operating land leases for certain of its properties. FASB ASC Topic 842, </w:t>
      </w:r>
      <w:r>
        <w:rPr>
          <w:rFonts w:ascii="Times New Roman;Times;serif" w:hAnsi="Times New Roman;Times;serif"/>
          <w:i/>
          <w:sz w:val="20"/>
        </w:rPr>
        <w:t>Leases</w:t>
      </w:r>
      <w:r>
        <w:rPr>
          <w:rFonts w:ascii="Times New Roman;Times;serif" w:hAnsi="Times New Roman;Times;serif"/>
          <w:sz w:val="20"/>
        </w:rPr>
        <w:t>, requires a lessee to recognize right-of-use assets and lease liabilities that arise from leases, whether qualifying as an operating or finance lease. As of September 30, 2026 and December 31, 2025, the Company’s right-of-use assets totaled $9.0 million and $3.0 million, respectively, and the corresponding lease liabilities totaled $4.1 million and $3.1 million, respectively,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Amortization of right-of-use assets for operating land leases is recognized on a straight-line basis over the term of the lease and is included within real estate expenses in the consolidated statements of operations. Amortization totaled $0.1 million and less than $0.1 million during the three months ended September 30, 2026 and 2025, respectively. Amortization totaled $0.3 million and $0.1 million during the nine months ended September 30, 2026 and 2025, respectively.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table reflects a summary of operating land leases, under which the Company is the lessee, for the three and nine months ended September 30, 2026 and 2025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70"/>
        <w:gridCol w:w="109"/>
        <w:gridCol w:w="495"/>
        <w:gridCol w:w="1094"/>
        <w:gridCol w:w="296"/>
        <w:gridCol w:w="495"/>
        <w:gridCol w:w="1094"/>
        <w:gridCol w:w="271"/>
        <w:gridCol w:w="495"/>
        <w:gridCol w:w="1094"/>
        <w:gridCol w:w="283"/>
        <w:gridCol w:w="495"/>
        <w:gridCol w:w="1094"/>
        <w:gridCol w:w="320"/>
      </w:tblGrid>
      <w:tr>
        <w:trPr/>
        <w:tc>
          <w:tcPr>
            <w:tcW w:w="2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631950" cy="175260"/>
                      <wp:effectExtent l="0" t="0" r="0" b="0"/>
                      <wp:wrapNone/>
                      <wp:docPr id="242" name="Frame242"/>
                      <a:graphic xmlns:a="http://schemas.openxmlformats.org/drawingml/2006/main">
                        <a:graphicData uri="http://schemas.microsoft.com/office/word/2010/wordprocessingShape">
                          <wps:wsp>
                            <wps:cNvSpPr txBox="1"/>
                            <wps:spPr>
                              <a:xfrm>
                                <a:off x="0" y="0"/>
                                <a:ext cx="163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14325" cy="175260"/>
                      <wp:effectExtent l="0" t="0" r="0" b="0"/>
                      <wp:wrapNone/>
                      <wp:docPr id="244" name="Frame244"/>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4690" cy="175260"/>
                      <wp:effectExtent l="0" t="0" r="0" b="0"/>
                      <wp:wrapNone/>
                      <wp:docPr id="245" name="Frame245"/>
                      <a:graphic xmlns:a="http://schemas.openxmlformats.org/drawingml/2006/main">
                        <a:graphicData uri="http://schemas.microsoft.com/office/word/2010/wordprocessingShape">
                          <wps:wsp>
                            <wps:cNvSpPr txBox="1"/>
                            <wps:spPr>
                              <a:xfrm>
                                <a:off x="0" y="0"/>
                                <a:ext cx="694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87960" cy="175260"/>
                      <wp:effectExtent l="0" t="0" r="0" b="0"/>
                      <wp:wrapNone/>
                      <wp:docPr id="246" name="Frame246"/>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14325" cy="175260"/>
                      <wp:effectExtent l="0" t="0" r="0" b="0"/>
                      <wp:wrapNone/>
                      <wp:docPr id="247" name="Frame247"/>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94690" cy="175260"/>
                      <wp:effectExtent l="0" t="0" r="0" b="0"/>
                      <wp:wrapNone/>
                      <wp:docPr id="248" name="Frame248"/>
                      <a:graphic xmlns:a="http://schemas.openxmlformats.org/drawingml/2006/main">
                        <a:graphicData uri="http://schemas.microsoft.com/office/word/2010/wordprocessingShape">
                          <wps:wsp>
                            <wps:cNvSpPr txBox="1"/>
                            <wps:spPr>
                              <a:xfrm>
                                <a:off x="0" y="0"/>
                                <a:ext cx="694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72085" cy="175260"/>
                      <wp:effectExtent l="0" t="0" r="0" b="0"/>
                      <wp:wrapNone/>
                      <wp:docPr id="249" name="Frame24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14325" cy="175260"/>
                      <wp:effectExtent l="0" t="0" r="0" b="0"/>
                      <wp:wrapNone/>
                      <wp:docPr id="250" name="Frame250"/>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4690" cy="175260"/>
                      <wp:effectExtent l="0" t="0" r="0" b="0"/>
                      <wp:wrapNone/>
                      <wp:docPr id="251" name="Frame251"/>
                      <a:graphic xmlns:a="http://schemas.openxmlformats.org/drawingml/2006/main">
                        <a:graphicData uri="http://schemas.microsoft.com/office/word/2010/wordprocessingShape">
                          <wps:wsp>
                            <wps:cNvSpPr txBox="1"/>
                            <wps:spPr>
                              <a:xfrm>
                                <a:off x="0" y="0"/>
                                <a:ext cx="694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79705" cy="175260"/>
                      <wp:effectExtent l="0" t="0" r="0" b="0"/>
                      <wp:wrapNone/>
                      <wp:docPr id="252" name="Frame252"/>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14325" cy="175260"/>
                      <wp:effectExtent l="0" t="0" r="0" b="0"/>
                      <wp:wrapNone/>
                      <wp:docPr id="253" name="Frame253"/>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4690" cy="175260"/>
                      <wp:effectExtent l="0" t="0" r="0" b="0"/>
                      <wp:wrapNone/>
                      <wp:docPr id="254" name="Frame254"/>
                      <a:graphic xmlns:a="http://schemas.openxmlformats.org/drawingml/2006/main">
                        <a:graphicData uri="http://schemas.microsoft.com/office/word/2010/wordprocessingShape">
                          <wps:wsp>
                            <wps:cNvSpPr txBox="1"/>
                            <wps:spPr>
                              <a:xfrm>
                                <a:off x="0" y="0"/>
                                <a:ext cx="694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3200" cy="175260"/>
                      <wp:effectExtent l="0" t="0" r="0" b="0"/>
                      <wp:wrapNone/>
                      <wp:docPr id="255" name="Frame255"/>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271" w:type="dxa"/>
            <w:tcBorders/>
            <w:vAlign w:val="center"/>
          </w:tcPr>
          <w:p>
            <w:pPr>
              <w:pStyle w:val="TableContents"/>
              <w:bidi w:val="0"/>
              <w:spacing w:before="0" w:after="0"/>
              <w:ind w:left="0" w:right="0" w:hanging="0"/>
              <w:jc w:val="left"/>
              <w:rPr/>
            </w:pPr>
            <w:r>
              <w:rPr/>
              <w:t>​</w:t>
            </w:r>
          </w:p>
        </w:tc>
        <w:tc>
          <w:tcPr>
            <w:tcW w:w="34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c>
          <w:tcPr>
            <w:tcW w:w="320" w:type="dxa"/>
            <w:tcBorders/>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296" w:type="dxa"/>
            <w:tcBorders/>
            <w:vAlign w:val="center"/>
          </w:tcPr>
          <w:p>
            <w:pPr>
              <w:pStyle w:val="TableContents"/>
              <w:bidi w:val="0"/>
              <w:spacing w:before="0" w:after="0"/>
              <w:ind w:left="0" w:right="0" w:hanging="0"/>
              <w:jc w:val="right"/>
              <w:rPr/>
            </w:pPr>
            <w:r>
              <w:rPr/>
              <w:t>​</w:t>
            </w:r>
          </w:p>
        </w:tc>
        <w:tc>
          <w:tcPr>
            <w:tcW w:w="1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271" w:type="dxa"/>
            <w:tcBorders/>
            <w:vAlign w:val="center"/>
          </w:tcPr>
          <w:p>
            <w:pPr>
              <w:pStyle w:val="TableContents"/>
              <w:bidi w:val="0"/>
              <w:spacing w:before="0" w:after="0"/>
              <w:ind w:left="0" w:right="0" w:hanging="0"/>
              <w:jc w:val="left"/>
              <w:rPr/>
            </w:pPr>
            <w:r>
              <w:rPr/>
              <w:t>​</w:t>
            </w:r>
          </w:p>
        </w:tc>
        <w:tc>
          <w:tcPr>
            <w:tcW w:w="1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283" w:type="dxa"/>
            <w:tcBorders/>
            <w:vAlign w:val="center"/>
          </w:tcPr>
          <w:p>
            <w:pPr>
              <w:pStyle w:val="TableContents"/>
              <w:bidi w:val="0"/>
              <w:spacing w:before="0" w:after="0"/>
              <w:ind w:left="0" w:right="0" w:hanging="0"/>
              <w:jc w:val="right"/>
              <w:rPr/>
            </w:pPr>
            <w:r>
              <w:rPr/>
              <w:t>​</w:t>
            </w:r>
          </w:p>
        </w:tc>
        <w:tc>
          <w:tcPr>
            <w:tcW w:w="1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0"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w:t>
            </w:r>
          </w:p>
        </w:tc>
        <w:tc>
          <w:tcPr>
            <w:tcW w:w="109"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296" w:type="dxa"/>
            <w:tcBorders/>
            <w:shd w:fill="CCEEFF" w:val="clear"/>
            <w:vAlign w:val="center"/>
          </w:tcPr>
          <w:p>
            <w:pPr>
              <w:pStyle w:val="TableContents"/>
              <w:bidi w:val="0"/>
              <w:spacing w:before="0" w:after="0"/>
              <w:ind w:left="0" w:right="0" w:hanging="0"/>
              <w:jc w:val="right"/>
              <w:rPr/>
            </w:pPr>
            <w:r>
              <w:rPr/>
              <w:t>​</w:t>
            </w:r>
          </w:p>
        </w:tc>
        <w:tc>
          <w:tcPr>
            <w:tcW w:w="4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271"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283" w:type="dxa"/>
            <w:tcBorders/>
            <w:shd w:fill="CCEEFF" w:val="clear"/>
            <w:vAlign w:val="center"/>
          </w:tcPr>
          <w:p>
            <w:pPr>
              <w:pStyle w:val="TableContents"/>
              <w:bidi w:val="0"/>
              <w:spacing w:before="0" w:after="0"/>
              <w:ind w:left="0" w:right="0" w:hanging="0"/>
              <w:jc w:val="right"/>
              <w:rPr/>
            </w:pPr>
            <w:r>
              <w:rPr/>
              <w:t>​</w:t>
            </w:r>
          </w:p>
        </w:tc>
        <w:tc>
          <w:tcPr>
            <w:tcW w:w="4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20" w:type="dxa"/>
            <w:tcBorders/>
            <w:shd w:fill="CCEEFF" w:val="cle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109"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left"/>
              <w:rPr/>
            </w:pPr>
            <w:r>
              <w:rPr/>
              <w:t>​</w:t>
            </w:r>
          </w:p>
        </w:tc>
        <w:tc>
          <w:tcPr>
            <w:tcW w:w="10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296" w:type="dxa"/>
            <w:tcBorders/>
            <w:vAlign w:val="center"/>
          </w:tcPr>
          <w:p>
            <w:pPr>
              <w:pStyle w:val="TableContents"/>
              <w:bidi w:val="0"/>
              <w:spacing w:before="0" w:after="0"/>
              <w:ind w:left="0" w:right="0" w:hanging="0"/>
              <w:jc w:val="right"/>
              <w:rPr/>
            </w:pPr>
            <w:r>
              <w:rPr/>
              <w:t>​</w:t>
            </w:r>
          </w:p>
        </w:tc>
        <w:tc>
          <w:tcPr>
            <w:tcW w:w="495" w:type="dxa"/>
            <w:tcBorders/>
            <w:vAlign w:val="center"/>
          </w:tcPr>
          <w:p>
            <w:pPr>
              <w:pStyle w:val="TableContents"/>
              <w:bidi w:val="0"/>
              <w:spacing w:before="0" w:after="0"/>
              <w:ind w:left="0" w:right="0" w:hanging="0"/>
              <w:jc w:val="left"/>
              <w:rPr/>
            </w:pPr>
            <w:r>
              <w:rPr/>
              <w:t>​</w:t>
            </w:r>
          </w:p>
        </w:tc>
        <w:tc>
          <w:tcPr>
            <w:tcW w:w="10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271"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left"/>
              <w:rPr/>
            </w:pPr>
            <w:r>
              <w:rPr/>
              <w:t>​</w:t>
            </w:r>
          </w:p>
        </w:tc>
        <w:tc>
          <w:tcPr>
            <w:tcW w:w="10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283" w:type="dxa"/>
            <w:tcBorders/>
            <w:vAlign w:val="center"/>
          </w:tcPr>
          <w:p>
            <w:pPr>
              <w:pStyle w:val="TableContents"/>
              <w:bidi w:val="0"/>
              <w:spacing w:before="0" w:after="0"/>
              <w:ind w:left="0" w:right="0" w:hanging="0"/>
              <w:jc w:val="right"/>
              <w:rPr/>
            </w:pPr>
            <w:r>
              <w:rPr/>
              <w:t>​</w:t>
            </w:r>
          </w:p>
        </w:tc>
        <w:tc>
          <w:tcPr>
            <w:tcW w:w="495" w:type="dxa"/>
            <w:tcBorders/>
            <w:vAlign w:val="center"/>
          </w:tcPr>
          <w:p>
            <w:pPr>
              <w:pStyle w:val="TableContents"/>
              <w:bidi w:val="0"/>
              <w:spacing w:before="0" w:after="0"/>
              <w:ind w:left="0" w:right="0" w:hanging="0"/>
              <w:jc w:val="left"/>
              <w:rPr/>
            </w:pPr>
            <w:r>
              <w:rPr/>
              <w:t>​</w:t>
            </w:r>
          </w:p>
        </w:tc>
        <w:tc>
          <w:tcPr>
            <w:tcW w:w="10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20"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bookmarkStart w:id="1286" w:name="Tc_204dIF8eNU6suM_F6kbIMQ_11_2"/>
      <w:bookmarkStart w:id="1287" w:name="Tc_tS-ElrImi0mQaLskxMP2Rw_11_0"/>
      <w:bookmarkStart w:id="1288" w:name="Tc_F8U-1Q_5_0O2LdCmr_FFyw_10_0"/>
      <w:bookmarkStart w:id="1289" w:name="Tc_cmVsOv4PLUKLEBjS0gC0iA_9_2"/>
      <w:bookmarkStart w:id="1290" w:name="Tc_aZE656ber0q4FIcUeLrpGw_9_0"/>
      <w:bookmarkStart w:id="1291" w:name="Tc_VuqxusD2_UCHT69ldt2YUQ_8_0"/>
      <w:bookmarkStart w:id="1292" w:name="Tc_9bmk6bJ0S0WYg88oGt50nQ_7_0"/>
      <w:bookmarkStart w:id="1293" w:name="Tc_YHXEEhcpykOkFISlxCjs0A_6_0"/>
      <w:bookmarkStart w:id="1294" w:name="Tc_Q3wYMjGsBkSdHgtFR4wYCA_5_0"/>
      <w:bookmarkStart w:id="1295" w:name="Tc_XpOphyumyUuR7bbdnKKhkA_4_0"/>
      <w:bookmarkStart w:id="1296" w:name="Tc_AyaaUn7xF0-t6ZEbGFP9xw_3_0"/>
      <w:bookmarkStart w:id="1297" w:name="Tc_44_-oY0UUUumPlIFczsiIQ_2_2"/>
      <w:bookmarkStart w:id="1298" w:name="Tc_glRTPhDJMEKhdDJF2YWr6g_2_0"/>
      <w:bookmarkStart w:id="1299" w:name="Tc_-xH4sNWU0E2hQE3UWWmlAw_1_0"/>
      <w:bookmarkStart w:id="1300" w:name="_11dce88e_b412_4def_b957_34a9b82f070e"/>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r>
        <w:rPr>
          <w:rFonts w:ascii="Times New Roman;Times;serif" w:hAnsi="Times New Roman;Times;serif"/>
          <w:sz w:val="20"/>
        </w:rPr>
        <w:t>Minimum future lease payments under non-cancelable operating land leases, having remaining terms in excess of one year subsequent to September 30, 2026, are summarized as follows (in thousands):</w:t>
      </w:r>
    </w:p>
    <w:p>
      <w:pPr>
        <w:pStyle w:val="TextBody"/>
        <w:bidi w:val="0"/>
        <w:spacing w:before="0" w:after="0"/>
        <w:ind w:left="0" w:right="0" w:hanging="0"/>
        <w:jc w:val="left"/>
        <w:rPr/>
      </w:pPr>
      <w:r>
        <w:rPr/>
        <w:t>​</w:t>
      </w:r>
    </w:p>
    <w:tbl>
      <w:tblPr>
        <w:tblW w:w="3487" w:type="dxa"/>
        <w:jc w:val="left"/>
        <w:tblInd w:w="0" w:type="dxa"/>
        <w:tblLayout w:type="fixed"/>
        <w:tblCellMar>
          <w:top w:w="0" w:type="dxa"/>
          <w:left w:w="0" w:type="dxa"/>
          <w:bottom w:w="0" w:type="dxa"/>
          <w:right w:w="0" w:type="dxa"/>
        </w:tblCellMar>
      </w:tblPr>
      <w:tblGrid>
        <w:gridCol w:w="2431"/>
        <w:gridCol w:w="109"/>
        <w:gridCol w:w="211"/>
        <w:gridCol w:w="73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543685" cy="175260"/>
                      <wp:effectExtent l="0" t="0" r="0" b="0"/>
                      <wp:wrapNone/>
                      <wp:docPr id="256" name="Frame256"/>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7"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8"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67360" cy="175260"/>
                      <wp:effectExtent l="0" t="0" r="0" b="0"/>
                      <wp:wrapNone/>
                      <wp:docPr id="259" name="Frame25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pPr>
            <w:r>
              <w:rPr/>
              <w:t>​</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2032 and 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5,479</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7,469</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(3,321)</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 – Liability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bookmarkStart w:id="1301" w:name="Tc_x_bdo0nbEUqdzUw6Ybvy1w_10_5"/>
      <w:bookmarkStart w:id="1302" w:name="Tc_SmHlLwR-tEKjK-z5wKsbaQ_10_2"/>
      <w:bookmarkStart w:id="1303" w:name="Tc_bC4UNaQkC02ENZ-nKFTC5w_10_0"/>
      <w:bookmarkStart w:id="1304" w:name="Tc_y7MM36gjik6uOaBlDOGosQ_9_0"/>
      <w:bookmarkStart w:id="1305" w:name="Tc_y9b2nVs_fUGP7ooPHxjZQA_8_5"/>
      <w:bookmarkStart w:id="1306" w:name="Tc_W0X5Pn3tZUKxSTfBBtGFBA_8_2"/>
      <w:bookmarkStart w:id="1307" w:name="Tc_nAwoCHp4LkqgPlA2bHrLFg_8_0"/>
      <w:bookmarkStart w:id="1308" w:name="Tc_uTqKkkJpG0Sj7LQ-crS0hw_7_0"/>
      <w:bookmarkStart w:id="1309" w:name="Tc_EExoJ49FzkaLFeZq3s-qCQ_6_0"/>
      <w:bookmarkStart w:id="1310" w:name="Tc_cdfNvEWMykOasASzcRgCog_5_0"/>
      <w:bookmarkStart w:id="1311" w:name="Tc_zqB4wege50-0P3B1-9j1Iw_4_0"/>
      <w:bookmarkStart w:id="1312" w:name="Tc_otPaOc8V_UKpH5aQK-2hjw_3_5"/>
      <w:bookmarkStart w:id="1313" w:name="Tc_91INGKp3Okye-zbZLzYbuw_3_2"/>
      <w:bookmarkStart w:id="1314" w:name="Tc_MugyxFyH0kujnFlueRzipg_3_0"/>
      <w:bookmarkStart w:id="1315" w:name="Tc_OSkHyVKvlkWvC9qscxuRjg_2_5"/>
      <w:bookmarkStart w:id="1316" w:name="Tc_EyQL19j5SEqYj3REj4bksg_2_2"/>
      <w:bookmarkStart w:id="1317" w:name="Tc_JdgUBSAlZ0qwMMlLG6qL4A_1_2"/>
      <w:bookmarkStart w:id="1318" w:name="_b310b152_b0cf_421a_bc06_35bab80b82da"/>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r>
        <w:rPr>
          <w:rFonts w:ascii="Times New Roman;Times;serif" w:hAnsi="Times New Roman;Times;serif"/>
          <w:b/>
          <w:sz w:val="20"/>
        </w:rPr>
        <w:t>NOTE 10. ASSETS HELD FOR SALE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Assets held for sale were comprised of two properties as of September 30, 2026 and three properties as of December 31, 2025. One of the properties classified as held for sale as of December 31, 2025 was placed back into service during the nine months ended September 30, 2026. The Company determined the property no longer met the criteria to be classified as held for sale as the sale is no longer deemed probable due to the termination of the underlying purchase and sale agreement. As a result, the Company recorded $0.3 million of depreciation and amortization expense during the nine months ended September 30, 2026 to account for the property being placed back into service.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Assets held for sale consisted of the following (in thousands):</w:t>
      </w:r>
    </w:p>
    <w:p>
      <w:pPr>
        <w:pStyle w:val="TextBody"/>
        <w:bidi w:val="0"/>
        <w:spacing w:before="0" w:after="0"/>
        <w:ind w:left="0" w:right="0" w:hanging="0"/>
        <w:jc w:val="left"/>
        <w:rPr/>
      </w:pPr>
      <w:r>
        <w:rPr/>
        <w:t>​</w:t>
      </w:r>
    </w:p>
    <w:tbl>
      <w:tblPr>
        <w:tblW w:w="7104" w:type="dxa"/>
        <w:jc w:val="left"/>
        <w:tblInd w:w="0" w:type="dxa"/>
        <w:tblLayout w:type="fixed"/>
        <w:tblCellMar>
          <w:top w:w="0" w:type="dxa"/>
          <w:left w:w="0" w:type="dxa"/>
          <w:bottom w:w="0" w:type="dxa"/>
          <w:right w:w="0" w:type="dxa"/>
        </w:tblCellMar>
      </w:tblPr>
      <w:tblGrid>
        <w:gridCol w:w="3346"/>
        <w:gridCol w:w="109"/>
        <w:gridCol w:w="477"/>
        <w:gridCol w:w="1293"/>
        <w:gridCol w:w="109"/>
        <w:gridCol w:w="400"/>
        <w:gridCol w:w="1370"/>
      </w:tblGrid>
      <w:tr>
        <w:trPr/>
        <w:tc>
          <w:tcPr>
            <w:tcW w:w="3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02895" cy="175260"/>
                      <wp:effectExtent l="0" t="0" r="0" b="0"/>
                      <wp:wrapNone/>
                      <wp:docPr id="261" name="Frame261"/>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821055" cy="175260"/>
                      <wp:effectExtent l="0" t="0" r="0" b="0"/>
                      <wp:wrapNone/>
                      <wp:docPr id="262" name="Frame262"/>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54000" cy="175260"/>
                      <wp:effectExtent l="0" t="0" r="0" b="0"/>
                      <wp:wrapNone/>
                      <wp:docPr id="264" name="Frame264"/>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869950" cy="175260"/>
                      <wp:effectExtent l="0" t="0" r="0" b="0"/>
                      <wp:wrapNone/>
                      <wp:docPr id="265" name="Frame265"/>
                      <a:graphic xmlns:a="http://schemas.openxmlformats.org/drawingml/2006/main">
                        <a:graphicData uri="http://schemas.microsoft.com/office/word/2010/wordprocessingShape">
                          <wps:wsp>
                            <wps:cNvSpPr txBox="1"/>
                            <wps:spPr>
                              <a:xfrm>
                                <a:off x="0" y="0"/>
                                <a:ext cx="869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As of</w:t>
            </w:r>
          </w:p>
        </w:tc>
      </w:tr>
      <w:tr>
        <w:trPr/>
        <w:tc>
          <w:tcPr>
            <w:tcW w:w="3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109"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109" w:type="dxa"/>
            <w:tcBorders/>
            <w:shd w:fill="CCEEFF" w:val="clear"/>
            <w:vAlign w:val="center"/>
          </w:tcPr>
          <w:p>
            <w:pPr>
              <w:pStyle w:val="TableContents"/>
              <w:bidi w:val="0"/>
              <w:spacing w:before="0" w:after="0"/>
              <w:ind w:left="0" w:right="0" w:hanging="0"/>
              <w:jc w:val="righ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9,093</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109"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109" w:type="dxa"/>
            <w:tcBorders/>
            <w:vAlign w:val="center"/>
          </w:tcPr>
          <w:p>
            <w:pPr>
              <w:pStyle w:val="TableContents"/>
              <w:bidi w:val="0"/>
              <w:spacing w:before="0" w:after="0"/>
              <w:ind w:left="0" w:right="0" w:hanging="0"/>
              <w:jc w:val="right"/>
              <w:rPr/>
            </w:pPr>
            <w:r>
              <w:rPr/>
              <w:t>​</w:t>
            </w:r>
          </w:p>
        </w:tc>
        <w:tc>
          <w:tcPr>
            <w:tcW w:w="400" w:type="dxa"/>
            <w:tcBorders/>
            <w:vAlign w:val="center"/>
          </w:tcPr>
          <w:p>
            <w:pPr>
              <w:pStyle w:val="TableContents"/>
              <w:bidi w:val="0"/>
              <w:spacing w:before="0" w:after="0"/>
              <w:ind w:left="0" w:right="0" w:hanging="0"/>
              <w:jc w:val="left"/>
              <w:rPr/>
            </w:pPr>
            <w:r>
              <w:rPr/>
              <w:t>​</w:t>
            </w:r>
          </w:p>
        </w:tc>
        <w:tc>
          <w:tcPr>
            <w:tcW w:w="13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109"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shd w:fill="CCEEFF" w:val="clear"/>
            <w:vAlign w:val="center"/>
          </w:tcPr>
          <w:p>
            <w:pPr>
              <w:pStyle w:val="TableContents"/>
              <w:bidi w:val="0"/>
              <w:spacing w:before="0" w:after="0"/>
              <w:ind w:left="0" w:right="0" w:hanging="0"/>
              <w:jc w:val="righ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vAlign w:val="center"/>
          </w:tcPr>
          <w:p>
            <w:pPr>
              <w:pStyle w:val="TableContents"/>
              <w:bidi w:val="0"/>
              <w:spacing w:before="0" w:after="0"/>
              <w:ind w:left="0" w:right="0" w:hanging="0"/>
              <w:jc w:val="right"/>
              <w:rPr/>
            </w:pPr>
            <w:r>
              <w:rPr/>
              <w:t>​</w:t>
            </w:r>
          </w:p>
        </w:tc>
        <w:tc>
          <w:tcPr>
            <w:tcW w:w="400" w:type="dxa"/>
            <w:tcBorders/>
            <w:vAlign w:val="center"/>
          </w:tcPr>
          <w:p>
            <w:pPr>
              <w:pStyle w:val="TableContents"/>
              <w:bidi w:val="0"/>
              <w:spacing w:before="0" w:after="0"/>
              <w:ind w:left="0" w:right="0" w:hanging="0"/>
              <w:jc w:val="left"/>
              <w:rPr/>
            </w:pPr>
            <w:r>
              <w:rPr/>
              <w:t>​</w:t>
            </w:r>
          </w:p>
        </w:tc>
        <w:tc>
          <w:tcPr>
            <w:tcW w:w="13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4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0"/>
              <w:ind w:left="0" w:right="0" w:hanging="0"/>
              <w:jc w:val="righ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Prior to Provision for Impairment</w:t>
            </w:r>
          </w:p>
        </w:tc>
        <w:tc>
          <w:tcPr>
            <w:tcW w:w="109"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w:t>
            </w:r>
          </w:p>
        </w:tc>
        <w:tc>
          <w:tcPr>
            <w:tcW w:w="109" w:type="dxa"/>
            <w:tcBorders/>
            <w:vAlign w:val="center"/>
          </w:tcPr>
          <w:p>
            <w:pPr>
              <w:pStyle w:val="TableContents"/>
              <w:bidi w:val="0"/>
              <w:spacing w:before="0" w:after="0"/>
              <w:ind w:left="0" w:right="0" w:hanging="0"/>
              <w:jc w:val="righ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10,172</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4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c>
          <w:tcPr>
            <w:tcW w:w="109" w:type="dxa"/>
            <w:tcBorders/>
            <w:shd w:fill="CCEEFF" w:val="clear"/>
            <w:vAlign w:val="center"/>
          </w:tcPr>
          <w:p>
            <w:pPr>
              <w:pStyle w:val="TableContents"/>
              <w:bidi w:val="0"/>
              <w:spacing w:before="0" w:after="0"/>
              <w:ind w:left="0" w:right="0" w:hanging="0"/>
              <w:jc w:val="righ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Held for Sale</w:t>
            </w:r>
          </w:p>
        </w:tc>
        <w:tc>
          <w:tcPr>
            <w:tcW w:w="109" w:type="dxa"/>
            <w:tcBorders/>
            <w:vAlign w:val="center"/>
          </w:tcPr>
          <w:p>
            <w:pPr>
              <w:pStyle w:val="TableContents"/>
              <w:bidi w:val="0"/>
              <w:spacing w:before="0" w:after="0"/>
              <w:ind w:left="0" w:right="0" w:hanging="0"/>
              <w:jc w:val="left"/>
              <w:rPr/>
            </w:pPr>
            <w:r>
              <w:rPr/>
              <w:t>​</w:t>
            </w:r>
          </w:p>
        </w:tc>
        <w:tc>
          <w:tcPr>
            <w:tcW w:w="4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109" w:type="dxa"/>
            <w:tcBorders/>
            <w:vAlign w:val="center"/>
          </w:tcPr>
          <w:p>
            <w:pPr>
              <w:pStyle w:val="TableContents"/>
              <w:bidi w:val="0"/>
              <w:spacing w:before="0" w:after="0"/>
              <w:ind w:left="0" w:right="0" w:hanging="0"/>
              <w:jc w:val="right"/>
              <w:rPr/>
            </w:pPr>
            <w:r>
              <w:rPr/>
              <w:t>​</w:t>
            </w:r>
          </w:p>
        </w:tc>
        <w:tc>
          <w:tcPr>
            <w:tcW w:w="4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8,077</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319" w:name="Tc_ug8YyzEanUOjMlXTLFM6MA_10_5"/>
      <w:bookmarkStart w:id="1320" w:name="Tc_iJ_XMOq2YEipg6juswXwew_10_2"/>
      <w:bookmarkStart w:id="1321" w:name="Tc_A_xC-DW-1Ue6d6k7Y0QcTQ_10_0"/>
      <w:bookmarkStart w:id="1322" w:name="Tc_WE5kYel8G0yC3gLb3_VkYg_9_0"/>
      <w:bookmarkStart w:id="1323" w:name="Tc_BjikOD-TukGRhzXPAb65Aw_8_0"/>
      <w:bookmarkStart w:id="1324" w:name="Tc_5iQpJraRlEGeABXraBfDHg_7_3"/>
      <w:bookmarkStart w:id="1325" w:name="Tc_vWtEblJ1nkGafeMBwsCPhQ_5_0"/>
      <w:bookmarkStart w:id="1326" w:name="Tc_J88PmUBED02kelo-lFaDrg_4_0"/>
      <w:bookmarkStart w:id="1327" w:name="Tc_adXAWGUaV0OIpLf-ROEhcA_3_5"/>
      <w:bookmarkStart w:id="1328" w:name="Tc_i3OHZu_QykavpHFhrrHMdw_3_2"/>
      <w:bookmarkStart w:id="1329" w:name="Tc_JAXQVpgr20uHlPOytKCjJQ_3_0"/>
      <w:bookmarkStart w:id="1330" w:name="Tc_USqufQKOdkSVuJumM4srLQ_2_5"/>
      <w:bookmarkStart w:id="1331" w:name="Tc_E2LOVl-F1UCoj_E3YHHwvw_2_2"/>
      <w:bookmarkStart w:id="1332" w:name="Tc_kp1tXkWVlUqxJy1nmrn0-A_1_2"/>
      <w:bookmarkStart w:id="1333" w:name="_bd2245f6_a4c6_45f7_a7c0_b8e96619703f"/>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r>
        <w:rPr>
          <w:rFonts w:ascii="Times New Roman;Times;serif" w:hAnsi="Times New Roman;Times;serif"/>
          <w:b/>
          <w:sz w:val="20"/>
        </w:rPr>
        <w:t>NOTE 11. ACCOUNTS PAYABLE, ACCRUED EXPENSES, AND OTHER LIABILITIES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Accounts payable, accrued expenses, and other liabilities consisted of the following (in thousands):</w:t>
      </w:r>
    </w:p>
    <w:p>
      <w:pPr>
        <w:pStyle w:val="TextBody"/>
        <w:bidi w:val="0"/>
        <w:spacing w:before="0" w:after="0"/>
        <w:ind w:left="0" w:right="0" w:hanging="0"/>
        <w:jc w:val="left"/>
        <w:rPr/>
      </w:pPr>
      <w:r>
        <w:rPr/>
        <w:t>​</w:t>
      </w:r>
    </w:p>
    <w:tbl>
      <w:tblPr>
        <w:tblW w:w="9159" w:type="dxa"/>
        <w:jc w:val="left"/>
        <w:tblInd w:w="0" w:type="dxa"/>
        <w:tblLayout w:type="fixed"/>
        <w:tblCellMar>
          <w:top w:w="0" w:type="dxa"/>
          <w:left w:w="0" w:type="dxa"/>
          <w:bottom w:w="0" w:type="dxa"/>
          <w:right w:w="0" w:type="dxa"/>
        </w:tblCellMar>
      </w:tblPr>
      <w:tblGrid>
        <w:gridCol w:w="5401"/>
        <w:gridCol w:w="109"/>
        <w:gridCol w:w="420"/>
        <w:gridCol w:w="1350"/>
        <w:gridCol w:w="109"/>
        <w:gridCol w:w="414"/>
        <w:gridCol w:w="1356"/>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429635" cy="175260"/>
                      <wp:effectExtent l="0" t="0" r="0" b="0"/>
                      <wp:wrapNone/>
                      <wp:docPr id="266" name="Frame266"/>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66700" cy="175260"/>
                      <wp:effectExtent l="0" t="0" r="0" b="0"/>
                      <wp:wrapNone/>
                      <wp:docPr id="268" name="Frame268"/>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857250" cy="175260"/>
                      <wp:effectExtent l="0" t="0" r="0" b="0"/>
                      <wp:wrapNone/>
                      <wp:docPr id="269" name="Frame269"/>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62890" cy="175260"/>
                      <wp:effectExtent l="0" t="0" r="0" b="0"/>
                      <wp:wrapNone/>
                      <wp:docPr id="271" name="Frame271"/>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861060" cy="175260"/>
                      <wp:effectExtent l="0" t="0" r="0" b="0"/>
                      <wp:wrapNone/>
                      <wp:docPr id="272" name="Frame272"/>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Payable </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4,133</w:t>
            </w:r>
          </w:p>
        </w:tc>
        <w:tc>
          <w:tcPr>
            <w:tcW w:w="109"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Security Deposits</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CTO</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c>
          <w:tcPr>
            <w:tcW w:w="109"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Reserves</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6,626</w:t>
            </w:r>
          </w:p>
        </w:tc>
        <w:tc>
          <w:tcPr>
            <w:tcW w:w="109"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Leases - Liability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4,148</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3,092</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Accrued Expenses, and Other Liabilities</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16,647</w:t>
            </w:r>
          </w:p>
        </w:tc>
        <w:tc>
          <w:tcPr>
            <w:tcW w:w="109" w:type="dxa"/>
            <w:tcBorders/>
            <w:vAlign w:val="center"/>
          </w:tcPr>
          <w:p>
            <w:pPr>
              <w:pStyle w:val="TableContents"/>
              <w:bidi w:val="0"/>
              <w:spacing w:before="0" w:after="0"/>
              <w:ind w:left="0" w:right="0" w:hanging="0"/>
              <w:jc w:val="left"/>
              <w:rPr/>
            </w:pPr>
            <w:r>
              <w:rPr/>
              <w:t>​</w:t>
            </w:r>
          </w:p>
        </w:tc>
        <w:tc>
          <w:tcPr>
            <w:tcW w:w="4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7,877</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3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See Note 9, “Operating Land Leases” for further disclosure related to the Company’s operating lease liability balance as of September 30, 2026.</w:t>
            </w:r>
            <w:r>
              <w:rPr>
                <w:caps w:val="false"/>
                <w:smallCaps w:val="false"/>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12. OBLIGATION UNDER PARTICIPATION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discussed in Note 2, “Summary of Significant Accounting Policies,” the Company follows the guidance in FASB ASC Topic 860, </w:t>
      </w:r>
      <w:r>
        <w:rPr>
          <w:rFonts w:ascii="Times New Roman;Times;serif" w:hAnsi="Times New Roman;Times;serif"/>
          <w:i/>
          <w:sz w:val="20"/>
        </w:rPr>
        <w:t>Transfers and Servicing</w:t>
      </w:r>
      <w:r>
        <w:rPr>
          <w:rFonts w:ascii="Times New Roman;Times;serif" w:hAnsi="Times New Roman;Times;serif"/>
          <w:sz w:val="20"/>
        </w:rPr>
        <w:t xml:space="preserve"> when accounting for participation in commercial loans and investments. ASC 860 states, if the sale of a participation does not have all of the characteristics of a participating interest, it does not achieve sale accounting and is treated as a secured borrowing and accordingly, the original commercial loan investment remains on the Company’s consolidated balance sheets and the proceeds are recorded as an obligation under participation agreement.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described in Note 4, “Commercial Loans and Investments”, the Company’s 2025 Loan Participation Sale for $10.0 million and 2026 Loan Participation Sale for $10.8 million at a 10.0% interest rate did not achieve sale accounting. As of September 30, 2026, the Company’s obligation under participation agreement had a face value of $18.5 million, and the carrying value of the loan that is associated with this obligation under participation agreement was $18.3 million, net of a CECL reserve of $0.2 million. As of December 31, 2025, the Company’s obligation under participation agreement had a face value of $10.0 million, and the carrying value of the loan that is associated with this obligation under participation agreement was $9.9 million, net of a CECL reserve of $0.1 million.</w:t>
      </w:r>
    </w:p>
    <w:p>
      <w:pPr>
        <w:pStyle w:val="TextBody"/>
        <w:bidi w:val="0"/>
        <w:spacing w:before="0" w:after="0"/>
        <w:ind w:left="0" w:right="0" w:hanging="0"/>
        <w:jc w:val="both"/>
        <w:rPr/>
      </w:pPr>
      <w:r>
        <w:rPr/>
        <w:t> </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1334" w:name="Tc_AZmt4v_R1EK2EKlQw1sAZQ_5_2"/>
      <w:bookmarkStart w:id="1335" w:name="Tc_10ZjwIIfEEeqn4uRFbuonw_5_0"/>
      <w:bookmarkStart w:id="1336" w:name="Tc_BtE2Wakgok6amU8jx6ip1w_4_9"/>
      <w:bookmarkStart w:id="1337" w:name="Tc_xs7LasgZmUuMPzaq7RajxA_4_5"/>
      <w:bookmarkStart w:id="1338" w:name="Tc_l_r9ajQVtEKE0EuKIoNMIg_4_0"/>
      <w:bookmarkStart w:id="1339" w:name="Tc_PHnol96gQk-wTys-Pu4wDg_3_9"/>
      <w:bookmarkStart w:id="1340" w:name="Tc_j-BdJaDWVUOq6AT9TviZIw_3_5"/>
      <w:bookmarkStart w:id="1341" w:name="Tc_U5CHYzKMLkCuwn3mC809Dg_3_0"/>
      <w:bookmarkStart w:id="1342" w:name="Tc_sVYufiS1SkmcOFonRQ1CXQ_2_9"/>
      <w:bookmarkStart w:id="1343" w:name="Tc_sRzxYQwx5EanPcqDUzXV-g_2_5"/>
      <w:bookmarkStart w:id="1344" w:name="Tc_DpttoZtczkG-P45byrYLYg_2_2"/>
      <w:bookmarkStart w:id="1345" w:name="Tc_B2djgDbLy0mxcRTZOKDlig_2_0"/>
      <w:bookmarkStart w:id="1346" w:name="Tc_lougdg6110CBHv2HoHDQIw_1_9"/>
      <w:bookmarkStart w:id="1347" w:name="Tc_4uvlRIBs3ku73yVcWmBO-g_1_7"/>
      <w:bookmarkStart w:id="1348" w:name="Tc_-0JTnKbJ2EKNL2Y4Xy1emw_1_5"/>
      <w:bookmarkStart w:id="1349" w:name="Tc_IIKXWairx0y845xs_Iyc7w_1_2"/>
      <w:bookmarkStart w:id="1350" w:name="_cf9818a2_5bc2_45b1_8aa6_30dcfe31daf2"/>
      <w:bookmarkStart w:id="1351" w:name="LT_DEBT"/>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r>
        <w:rPr>
          <w:rFonts w:ascii="Times New Roman;Times;serif" w:hAnsi="Times New Roman;Times;serif"/>
          <w:b/>
          <w:sz w:val="20"/>
        </w:rPr>
        <w:t>NOTE 13. LONG-TERM DEBT</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As of September 30, 2026, the Company’s outstanding indebtedness, at face value, was as follows. See Note 14, “Interest Rate Swaps” for further disclosure related to the Company’s interest rate swaps.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69"/>
        <w:gridCol w:w="109"/>
        <w:gridCol w:w="290"/>
        <w:gridCol w:w="1073"/>
        <w:gridCol w:w="109"/>
        <w:gridCol w:w="1509"/>
        <w:gridCol w:w="109"/>
        <w:gridCol w:w="2981"/>
        <w:gridCol w:w="109"/>
        <w:gridCol w:w="1247"/>
      </w:tblGrid>
      <w:tr>
        <w:trPr/>
        <w:tc>
          <w:tcPr>
            <w:tcW w:w="2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694815" cy="175260"/>
                      <wp:effectExtent l="0" t="0" r="0" b="0"/>
                      <wp:wrapNone/>
                      <wp:docPr id="273" name="Frame273"/>
                      <a:graphic xmlns:a="http://schemas.openxmlformats.org/drawingml/2006/main">
                        <a:graphicData uri="http://schemas.microsoft.com/office/word/2010/wordprocessingShape">
                          <wps:wsp>
                            <wps:cNvSpPr txBox="1"/>
                            <wps:spPr>
                              <a:xfrm>
                                <a:off x="0" y="0"/>
                                <a:ext cx="169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74" name="Frame2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84150" cy="175260"/>
                      <wp:effectExtent l="0" t="0" r="0" b="0"/>
                      <wp:wrapNone/>
                      <wp:docPr id="275" name="Frame275"/>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81355" cy="175260"/>
                      <wp:effectExtent l="0" t="0" r="0" b="0"/>
                      <wp:wrapNone/>
                      <wp:docPr id="276" name="Frame276"/>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260"/>
                      <wp:effectExtent l="0" t="0" r="0" b="0"/>
                      <wp:wrapNone/>
                      <wp:docPr id="277" name="Frame2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958215" cy="175260"/>
                      <wp:effectExtent l="0" t="0" r="0" b="0"/>
                      <wp:wrapNone/>
                      <wp:docPr id="278" name="Frame278"/>
                      <a:graphic xmlns:a="http://schemas.openxmlformats.org/drawingml/2006/main">
                        <a:graphicData uri="http://schemas.microsoft.com/office/word/2010/wordprocessingShape">
                          <wps:wsp>
                            <wps:cNvSpPr txBox="1"/>
                            <wps:spPr>
                              <a:xfrm>
                                <a:off x="0" y="0"/>
                                <a:ext cx="958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9215" cy="175260"/>
                      <wp:effectExtent l="0" t="0" r="0" b="0"/>
                      <wp:wrapNone/>
                      <wp:docPr id="279" name="Frame2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892935" cy="175260"/>
                      <wp:effectExtent l="0" t="0" r="0" b="0"/>
                      <wp:wrapNone/>
                      <wp:docPr id="280" name="Frame280"/>
                      <a:graphic xmlns:a="http://schemas.openxmlformats.org/drawingml/2006/main">
                        <a:graphicData uri="http://schemas.microsoft.com/office/word/2010/wordprocessingShape">
                          <wps:wsp>
                            <wps:cNvSpPr txBox="1"/>
                            <wps:spPr>
                              <a:xfrm>
                                <a:off x="0" y="0"/>
                                <a:ext cx="189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9215" cy="175260"/>
                      <wp:effectExtent l="0" t="0" r="0" b="0"/>
                      <wp:wrapNone/>
                      <wp:docPr id="281" name="Frame2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91845" cy="175260"/>
                      <wp:effectExtent l="0" t="0" r="0" b="0"/>
                      <wp:wrapNone/>
                      <wp:docPr id="282" name="Frame282"/>
                      <a:graphic xmlns:a="http://schemas.openxmlformats.org/drawingml/2006/main">
                        <a:graphicData uri="http://schemas.microsoft.com/office/word/2010/wordprocessingShape">
                          <wps:wsp>
                            <wps:cNvSpPr txBox="1"/>
                            <wps:spPr>
                              <a:xfrm>
                                <a:off x="0" y="0"/>
                                <a:ext cx="791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Face Value Debt</w:t>
              <w:br/>
            </w:r>
            <w:r>
              <w:rPr>
                <w:rFonts w:ascii="Times New Roman;Times;serif" w:hAnsi="Times New Roman;Times;serif"/>
                <w:sz w:val="20"/>
              </w:rPr>
              <w:t>(in thousands)</w:t>
            </w:r>
          </w:p>
        </w:tc>
        <w:tc>
          <w:tcPr>
            <w:tcW w:w="109" w:type="dxa"/>
            <w:tcBorders/>
            <w:vAlign w:val="center"/>
          </w:tcPr>
          <w:p>
            <w:pPr>
              <w:pStyle w:val="TableContents"/>
              <w:bidi w:val="0"/>
              <w:spacing w:before="0" w:after="0"/>
              <w:ind w:left="0" w:right="0" w:hanging="0"/>
              <w:jc w:val="left"/>
              <w:rPr/>
            </w:pPr>
            <w:r>
              <w:rPr/>
              <w:t>​</w:t>
            </w:r>
          </w:p>
        </w:tc>
        <w:tc>
          <w:tcPr>
            <w:tcW w:w="15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Stated Interest Rate</w:t>
            </w:r>
          </w:p>
        </w:tc>
        <w:tc>
          <w:tcPr>
            <w:tcW w:w="109" w:type="dxa"/>
            <w:tcBorders/>
            <w:vAlign w:val="center"/>
          </w:tcPr>
          <w:p>
            <w:pPr>
              <w:pStyle w:val="TableContents"/>
              <w:bidi w:val="0"/>
              <w:spacing w:before="0" w:after="0"/>
              <w:ind w:left="0" w:right="0" w:hanging="0"/>
              <w:jc w:val="left"/>
              <w:rPr/>
            </w:pPr>
            <w:r>
              <w:rPr/>
              <w:t>​</w:t>
            </w:r>
          </w:p>
        </w:tc>
        <w:tc>
          <w:tcPr>
            <w:tcW w:w="29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Rate as of September 30, 2026</w:t>
            </w:r>
          </w:p>
        </w:tc>
        <w:tc>
          <w:tcPr>
            <w:tcW w:w="109" w:type="dxa"/>
            <w:tcBorders/>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w:t>
            </w:r>
          </w:p>
        </w:tc>
      </w:tr>
      <w:tr>
        <w:trPr/>
        <w:tc>
          <w:tcPr>
            <w:tcW w:w="266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Revolving Facility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198,500</w:t>
            </w:r>
          </w:p>
        </w:tc>
        <w:tc>
          <w:tcPr>
            <w:tcW w:w="109" w:type="dxa"/>
            <w:tcBorders/>
            <w:shd w:fill="CCEEFF" w:val="clear"/>
            <w:vAlign w:val="center"/>
          </w:tcPr>
          <w:p>
            <w:pPr>
              <w:pStyle w:val="TableContents"/>
              <w:bidi w:val="0"/>
              <w:spacing w:before="0" w:after="0"/>
              <w:ind w:left="0" w:right="0" w:hanging="0"/>
              <w:jc w:val="left"/>
              <w:rPr/>
            </w:pPr>
            <w:r>
              <w:rPr/>
              <w:t>​</w:t>
            </w:r>
          </w:p>
        </w:tc>
        <w:tc>
          <w:tcPr>
            <w:tcW w:w="150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w:t>
              <w:br/>
              <w:t>[1.25% - 2.20%]</w:t>
            </w:r>
          </w:p>
        </w:tc>
        <w:tc>
          <w:tcPr>
            <w:tcW w:w="109" w:type="dxa"/>
            <w:tcBorders/>
            <w:shd w:fill="CCEEFF" w:val="clear"/>
            <w:vAlign w:val="center"/>
          </w:tcPr>
          <w:p>
            <w:pPr>
              <w:pStyle w:val="TableContents"/>
              <w:bidi w:val="0"/>
              <w:spacing w:before="0" w:after="0"/>
              <w:ind w:left="0" w:right="0" w:hanging="0"/>
              <w:jc w:val="left"/>
              <w:rPr/>
            </w:pPr>
            <w:r>
              <w:rPr/>
              <w:t>​</w:t>
            </w:r>
          </w:p>
        </w:tc>
        <w:tc>
          <w:tcPr>
            <w:tcW w:w="29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4.96%</w:t>
            </w:r>
          </w:p>
        </w:tc>
        <w:tc>
          <w:tcPr>
            <w:tcW w:w="109"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2030</w:t>
            </w:r>
          </w:p>
        </w:tc>
      </w:tr>
      <w:tr>
        <w:trPr/>
        <w:tc>
          <w:tcPr>
            <w:tcW w:w="266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2029 Term Loan </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vAlign w:val="center"/>
          </w:tcPr>
          <w:p>
            <w:pPr>
              <w:pStyle w:val="TableContents"/>
              <w:bidi w:val="0"/>
              <w:spacing w:before="0" w:after="0"/>
              <w:ind w:left="0" w:right="0" w:hanging="0"/>
              <w:jc w:val="left"/>
              <w:rPr/>
            </w:pPr>
            <w:r>
              <w:rPr/>
              <w:t>​</w:t>
            </w:r>
          </w:p>
        </w:tc>
        <w:tc>
          <w:tcPr>
            <w:tcW w:w="15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w:t>
              <w:br/>
              <w:t>[1.25% - 1.90%]</w:t>
            </w:r>
          </w:p>
        </w:tc>
        <w:tc>
          <w:tcPr>
            <w:tcW w:w="109" w:type="dxa"/>
            <w:tcBorders/>
            <w:vAlign w:val="center"/>
          </w:tcPr>
          <w:p>
            <w:pPr>
              <w:pStyle w:val="TableContents"/>
              <w:bidi w:val="0"/>
              <w:spacing w:before="0" w:after="0"/>
              <w:ind w:left="0" w:right="0" w:hanging="0"/>
              <w:jc w:val="left"/>
              <w:rPr/>
            </w:pPr>
            <w:r>
              <w:rPr/>
              <w:t>​</w:t>
            </w:r>
          </w:p>
        </w:tc>
        <w:tc>
          <w:tcPr>
            <w:tcW w:w="2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4.66%</w:t>
            </w:r>
          </w:p>
        </w:tc>
        <w:tc>
          <w:tcPr>
            <w:tcW w:w="109"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2029</w:t>
            </w:r>
          </w:p>
        </w:tc>
      </w:tr>
      <w:tr>
        <w:trPr/>
        <w:tc>
          <w:tcPr>
            <w:tcW w:w="266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2031 Term Loan </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shd w:fill="CCEEFF" w:val="clear"/>
            <w:vAlign w:val="center"/>
          </w:tcPr>
          <w:p>
            <w:pPr>
              <w:pStyle w:val="TableContents"/>
              <w:bidi w:val="0"/>
              <w:spacing w:before="0" w:after="0"/>
              <w:ind w:left="0" w:right="0" w:hanging="0"/>
              <w:jc w:val="left"/>
              <w:rPr/>
            </w:pPr>
            <w:r>
              <w:rPr/>
              <w:t>​</w:t>
            </w:r>
          </w:p>
        </w:tc>
        <w:tc>
          <w:tcPr>
            <w:tcW w:w="150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w:t>
              <w:br/>
              <w:t>[1.25% - 1.90%]</w:t>
            </w:r>
          </w:p>
        </w:tc>
        <w:tc>
          <w:tcPr>
            <w:tcW w:w="109" w:type="dxa"/>
            <w:tcBorders/>
            <w:shd w:fill="CCEEFF" w:val="clear"/>
            <w:vAlign w:val="center"/>
          </w:tcPr>
          <w:p>
            <w:pPr>
              <w:pStyle w:val="TableContents"/>
              <w:bidi w:val="0"/>
              <w:spacing w:before="0" w:after="0"/>
              <w:ind w:left="0" w:right="0" w:hanging="0"/>
              <w:jc w:val="left"/>
              <w:rPr/>
            </w:pPr>
            <w:r>
              <w:rPr/>
              <w:t>​</w:t>
            </w:r>
          </w:p>
        </w:tc>
        <w:tc>
          <w:tcPr>
            <w:tcW w:w="298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3.35%</w:t>
            </w:r>
          </w:p>
        </w:tc>
        <w:tc>
          <w:tcPr>
            <w:tcW w:w="109"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2031</w:t>
            </w:r>
          </w:p>
        </w:tc>
      </w:tr>
      <w:tr>
        <w:trPr/>
        <w:tc>
          <w:tcPr>
            <w:tcW w:w="26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Debt/Weighted-Average Rate</w:t>
            </w:r>
          </w:p>
        </w:tc>
        <w:tc>
          <w:tcPr>
            <w:tcW w:w="109"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398,500</w:t>
            </w:r>
          </w:p>
        </w:tc>
        <w:tc>
          <w:tcPr>
            <w:tcW w:w="109" w:type="dxa"/>
            <w:tcBorders/>
            <w:vAlign w:val="center"/>
          </w:tcPr>
          <w:p>
            <w:pPr>
              <w:pStyle w:val="TableContents"/>
              <w:bidi w:val="0"/>
              <w:spacing w:before="0" w:after="0"/>
              <w:ind w:left="0" w:right="0" w:hanging="0"/>
              <w:jc w:val="left"/>
              <w:rPr/>
            </w:pPr>
            <w:r>
              <w:rPr/>
              <w:t>​</w:t>
            </w:r>
          </w:p>
        </w:tc>
        <w:tc>
          <w:tcPr>
            <w:tcW w:w="15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8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4.48%</w:t>
            </w:r>
          </w:p>
        </w:tc>
        <w:tc>
          <w:tcPr>
            <w:tcW w:w="109"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2026, the Company has utilized interest rate swaps to fix SOFR and achieve a weighted average fixed interest rate of 3.32%</w:t>
            </w:r>
            <w:r>
              <w:rPr>
                <w:caps w:val="false"/>
                <w:smallCaps w:val="false"/>
              </w:rPr>
              <w:t xml:space="preserve"> </w:t>
            </w:r>
            <w:r>
              <w:rPr>
                <w:rFonts w:ascii="Times New Roman;Times;serif" w:hAnsi="Times New Roman;Times;serif"/>
                <w:b w:val="false"/>
                <w:i w:val="false"/>
                <w:caps w:val="false"/>
                <w:smallCaps w:val="false"/>
                <w:sz w:val="16"/>
              </w:rPr>
              <w:t>plus the applicable spread on $100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Revolving Facility (hereinafter defined).</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5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2026, the Company has utilized interest rate swaps to fix SOFR and achieve a weighted average fixed interest rate of 3.36%</w:t>
            </w:r>
            <w:r>
              <w:rPr>
                <w:caps w:val="false"/>
                <w:smallCaps w:val="false"/>
              </w:rPr>
              <w:t xml:space="preserve"> </w:t>
            </w:r>
            <w:r>
              <w:rPr>
                <w:rFonts w:ascii="Times New Roman;Times;serif" w:hAnsi="Times New Roman;Times;serif"/>
                <w:b w:val="false"/>
                <w:i w:val="false"/>
                <w:caps w:val="false"/>
                <w:smallCaps w:val="false"/>
                <w:sz w:val="16"/>
              </w:rPr>
              <w:t>plus the applicable spread on the $100</w:t>
            </w:r>
            <w:r>
              <w:rPr>
                <w:caps w:val="false"/>
                <w:smallCaps w:val="false"/>
              </w:rPr>
              <w:t xml:space="preserve"> </w:t>
            </w:r>
            <w:r>
              <w:rPr>
                <w:rFonts w:ascii="Times New Roman;Times;serif" w:hAnsi="Times New Roman;Times;serif"/>
                <w:b w:val="false"/>
                <w:i w:val="false"/>
                <w:caps w:val="false"/>
                <w:smallCaps w:val="false"/>
                <w:sz w:val="16"/>
              </w:rPr>
              <w:t>million 2029 Term Loan (hereinafter defined) balance.</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993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2026,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the applicable spread on the $100</w:t>
            </w:r>
            <w:r>
              <w:rPr>
                <w:caps w:val="false"/>
                <w:smallCaps w:val="false"/>
              </w:rPr>
              <w:t xml:space="preserve"> </w:t>
            </w:r>
            <w:r>
              <w:rPr>
                <w:rFonts w:ascii="Times New Roman;Times;serif" w:hAnsi="Times New Roman;Times;serif"/>
                <w:b w:val="false"/>
                <w:i w:val="false"/>
                <w:caps w:val="false"/>
                <w:smallCaps w:val="false"/>
                <w:sz w:val="16"/>
              </w:rPr>
              <w:t>million 2031 Term Loan (hereinafter defined) balance.</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Credit Facility. </w:t>
      </w:r>
      <w:r>
        <w:rPr>
          <w:rFonts w:ascii="Times New Roman;Times;serif" w:hAnsi="Times New Roman;Times;serif"/>
          <w:sz w:val="20"/>
        </w:rPr>
        <w:t>On February 4, 2026, the Company, the Operating Partnership, as borrower (the “Borrower”), and certain subsidiaries of the Borrower entered into an Amended and Restated Credit Agreement with Truist Bank, N.A., as administrative agent, and certain other lenders named therein (the “Amended and Restated Credit Agreement”). The Amended and Restated Credit Agreement provides for a $250 million senior unsecured revolving credit facility (the “Revolving Facility”), a $100 million senior unsecured term loan credit facility maturing in 2029 (the “2029 Term Loan”), and a $100 million senior unsecured term loan credit facility maturing in 2031 (the “2031 Term Loan” and, together with the Revolving Facility and the 2029 Term Loan, the “Facilities”). On February 4, 2026, in connection with the Borrower’s entry into the Amended and Restated Credit Agreement, the Borrower repaid all obligations outstanding under its previous credit agreement with KeyBank National Association, dated as of September 30, 2022, among the Company, as parent guarantor, the Borrower, certain subsidiaries of the Borrower, KeyBank National Association, as administrative agent, and certain other lenders named therein (as amended, the “Prior Credit Agreement”). As a result, the Prior Credit Agreement was terminated and the obligations thereunder were discharged.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bookmarkStart w:id="1352" w:name="Tc_NGGTequpOkSzu2fxtVw9Og_9_11"/>
      <w:bookmarkStart w:id="1353" w:name="Tc_4YPJnOu_pkil7kQlItOV9A_9_8"/>
      <w:bookmarkStart w:id="1354" w:name="Tc_Gz7CWiIm5UWsSGupZWGRaQ_9_6"/>
      <w:bookmarkStart w:id="1355" w:name="Tc_MCvdEFcxuEyPmhJp-mYiBw_9_5"/>
      <w:bookmarkStart w:id="1356" w:name="Tc_yTwObNbWKEuhPZVhxJDeSg_9_2"/>
      <w:bookmarkStart w:id="1357" w:name="Tc_wvhF4IajVUm5yVQNGiBapg_9_0"/>
      <w:bookmarkStart w:id="1358" w:name="Tc_z3OqmBpLuUifSr8rbScAIA_8_12"/>
      <w:bookmarkStart w:id="1359" w:name="Tc_2ekSRi1KgkC_3jz0279hqg_8_6"/>
      <w:bookmarkStart w:id="1360" w:name="Tc_3wckfylpT0STKcwJyo3AeQ_8_0"/>
      <w:bookmarkStart w:id="1361" w:name="Tc_Ibbvgd4v1UGXyzlExSQeEQ_7_12"/>
      <w:bookmarkStart w:id="1362" w:name="Tc_UcpYVk22HkyVvvZl2SBa-g_7_9"/>
      <w:bookmarkStart w:id="1363" w:name="Tc_C4C56EflOkKp9mBLBsRx-w_7_6"/>
      <w:bookmarkStart w:id="1364" w:name="Tc_-mCYsn67G0mEJgHN1CDpCw_7_0"/>
      <w:bookmarkStart w:id="1365" w:name="Tc_7ls_1nPMME21ZpOJvtsXrw_6_12"/>
      <w:bookmarkStart w:id="1366" w:name="Tc_VWoQ_iR2GEucpFSG8pCA5A_6_9"/>
      <w:bookmarkStart w:id="1367" w:name="Tc_mktcuGbbakKc9b0Gqqz_ew_6_6"/>
      <w:bookmarkStart w:id="1368" w:name="Tc_7OhQw7Gq4kylJhM5O1VzOQ_6_0"/>
      <w:bookmarkStart w:id="1369" w:name="Tc_5wcsRD48LkuN4WQhKh_l3A_5_12"/>
      <w:bookmarkStart w:id="1370" w:name="Tc_M2SrHtr5HEyWYwUkESbWiQ_5_6"/>
      <w:bookmarkStart w:id="1371" w:name="Tc_7MfKZdTwU0S1_75V-wNLfQ_5_3"/>
      <w:bookmarkStart w:id="1372" w:name="Tc_NaPU_mDWK0as31YDor_cpA_5_0"/>
      <w:bookmarkStart w:id="1373" w:name="Tc_m0RIJvh6DEig4bsJfvnoaA_4_6"/>
      <w:bookmarkStart w:id="1374" w:name="Tc_CEqpwAtJ60Wpe2pVlxmE-Q_4_3"/>
      <w:bookmarkStart w:id="1375" w:name="Tc_wnJOLhY9vE26mLT8dh87Aw_4_0"/>
      <w:bookmarkStart w:id="1376" w:name="Tc_Us4H-udGhUuQAcnVdkQGyQ_3_12"/>
      <w:bookmarkStart w:id="1377" w:name="Tc_Q95_lDpv8EOm7qzv__aipg_3_11"/>
      <w:bookmarkStart w:id="1378" w:name="Tc_if0HPcXAbkKn7_vjv-wLkw_3_8"/>
      <w:bookmarkStart w:id="1379" w:name="Tc_XKWdjiFF9UOLEqi_9vVJkw_3_6"/>
      <w:bookmarkStart w:id="1380" w:name="Tc_gokgI2B2Jk27gC6XdB00IQ_3_5"/>
      <w:bookmarkStart w:id="1381" w:name="Tc_o5XQMT9O8kOvwFc4Mj8CTw_3_2"/>
      <w:bookmarkStart w:id="1382" w:name="Tc_tVt0ZNgXkkiUx9dHJxLL-Q_3_0"/>
      <w:bookmarkStart w:id="1383" w:name="Tc_Zlq4EwGUdU6kpnLcqtOBnQ_2_11"/>
      <w:bookmarkStart w:id="1384" w:name="Tc_DijJOoshn0OdpIIBnokE6w_2_8"/>
      <w:bookmarkStart w:id="1385" w:name="Tc_jxteNCpWu0WhlDqrNTWZ6Q_2_5"/>
      <w:bookmarkStart w:id="1386" w:name="Tc_MyOVMNFR_EW-vZkV9gmSmA_2_2"/>
      <w:bookmarkStart w:id="1387" w:name="Tc_-FWJV9fTaUSNTr6AmCOIXw_1_8"/>
      <w:bookmarkStart w:id="1388" w:name="Tc_Nsr3c63NVk6ttACHIsmMIA_1_2"/>
      <w:bookmarkStart w:id="1389" w:name="_6709eafc_69c2_4a1e_9d81_62dff49d7e25"/>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r>
        <w:rPr>
          <w:rFonts w:ascii="Times New Roman;Times;serif" w:hAnsi="Times New Roman;Times;serif"/>
          <w:sz w:val="20"/>
        </w:rPr>
        <w:t>The terms of the Amended and Restated Credit Agreement include,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origination of the Revolving Facility in the amount of $250</w:t>
            </w:r>
            <w:r>
              <w:rPr>
                <w:caps w:val="false"/>
                <w:smallCaps w:val="false"/>
              </w:rPr>
              <w:t xml:space="preserve"> </w:t>
            </w:r>
            <w:r>
              <w:rPr>
                <w:rFonts w:ascii="Times New Roman;Times;serif" w:hAnsi="Times New Roman;Times;serif"/>
                <w:b w:val="false"/>
                <w:i w:val="false"/>
                <w:caps w:val="false"/>
                <w:smallCaps w:val="false"/>
                <w:sz w:val="20"/>
              </w:rPr>
              <w:t>million which matures on February 4, 2030, with two</w:t>
            </w:r>
            <w:r>
              <w:rPr>
                <w:caps w:val="false"/>
                <w:smallCaps w:val="false"/>
              </w:rPr>
              <w:t xml:space="preserve"> </w:t>
            </w:r>
            <w:r>
              <w:rPr>
                <w:rFonts w:ascii="Times New Roman;Times;serif" w:hAnsi="Times New Roman;Times;serif"/>
                <w:b w:val="false"/>
                <w:i w:val="false"/>
                <w:caps w:val="false"/>
                <w:smallCaps w:val="false"/>
                <w:sz w:val="20"/>
              </w:rPr>
              <w:t>six-month</w:t>
            </w:r>
            <w:r>
              <w:rPr>
                <w:caps w:val="false"/>
                <w:smallCaps w:val="false"/>
              </w:rPr>
              <w:t xml:space="preserve"> </w:t>
            </w:r>
            <w:r>
              <w:rPr>
                <w:rFonts w:ascii="Times New Roman;Times;serif" w:hAnsi="Times New Roman;Times;serif"/>
                <w:b w:val="false"/>
                <w:i w:val="false"/>
                <w:caps w:val="false"/>
                <w:smallCaps w:val="false"/>
                <w:sz w:val="20"/>
              </w:rPr>
              <w:t>extension options;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indebtedness under the Revolving Facility accrues at a rate ranging from SOFR</w:t>
            </w:r>
            <w:r>
              <w:rPr>
                <w:caps w:val="false"/>
                <w:smallCaps w:val="false"/>
              </w:rPr>
              <w:t xml:space="preserve"> </w:t>
            </w:r>
            <w:r>
              <w:rPr>
                <w:rFonts w:ascii="Times New Roman;Times;serif" w:hAnsi="Times New Roman;Times;serif"/>
                <w:b w:val="false"/>
                <w:i w:val="false"/>
                <w:caps w:val="false"/>
                <w:smallCaps w:val="false"/>
                <w:sz w:val="20"/>
              </w:rPr>
              <w:t>plus 125</w:t>
            </w:r>
            <w:r>
              <w:rPr>
                <w:caps w:val="false"/>
                <w:smallCaps w:val="false"/>
              </w:rPr>
              <w:t xml:space="preserve"> </w:t>
            </w:r>
            <w:r>
              <w:rPr>
                <w:rFonts w:ascii="Times New Roman;Times;serif" w:hAnsi="Times New Roman;Times;serif"/>
                <w:b w:val="false"/>
                <w:i w:val="false"/>
                <w:caps w:val="false"/>
                <w:smallCaps w:val="false"/>
                <w:sz w:val="20"/>
              </w:rPr>
              <w:t>basis points to SOFR</w:t>
            </w:r>
            <w:r>
              <w:rPr>
                <w:caps w:val="false"/>
                <w:smallCaps w:val="false"/>
              </w:rPr>
              <w:t xml:space="preserve"> </w:t>
            </w:r>
            <w:r>
              <w:rPr>
                <w:rFonts w:ascii="Times New Roman;Times;serif" w:hAnsi="Times New Roman;Times;serif"/>
                <w:b w:val="false"/>
                <w:i w:val="false"/>
                <w:caps w:val="false"/>
                <w:smallCaps w:val="false"/>
                <w:sz w:val="20"/>
              </w:rPr>
              <w:t>plus 220</w:t>
            </w:r>
            <w:r>
              <w:rPr>
                <w:caps w:val="false"/>
                <w:smallCaps w:val="false"/>
              </w:rPr>
              <w:t xml:space="preserve"> </w:t>
            </w:r>
            <w:r>
              <w:rPr>
                <w:rFonts w:ascii="Times New Roman;Times;serif" w:hAnsi="Times New Roman;Times;serif"/>
                <w:b w:val="false"/>
                <w:i w:val="false"/>
                <w:caps w:val="false"/>
                <w:smallCaps w:val="false"/>
                <w:sz w:val="20"/>
              </w:rPr>
              <w:t>basis points, based on the Company’s total indebtedness as a percentage of the Company’s total asset value, as defined in the Amended and Restated Credit Agreement. The Company may utilize daily simple SOFR or term SOFR, at its election. The Revolving Facility also accrues a fee of 15</w:t>
            </w:r>
            <w:r>
              <w:rPr>
                <w:caps w:val="false"/>
                <w:smallCaps w:val="false"/>
              </w:rPr>
              <w:t xml:space="preserve"> </w:t>
            </w:r>
            <w:r>
              <w:rPr>
                <w:rFonts w:ascii="Times New Roman;Times;serif" w:hAnsi="Times New Roman;Times;serif"/>
                <w:b w:val="false"/>
                <w:i w:val="false"/>
                <w:caps w:val="false"/>
                <w:smallCaps w:val="false"/>
                <w:sz w:val="20"/>
              </w:rPr>
              <w:t>or 25</w:t>
            </w:r>
            <w:r>
              <w:rPr>
                <w:caps w:val="false"/>
                <w:smallCaps w:val="false"/>
              </w:rPr>
              <w:t xml:space="preserve"> </w:t>
            </w:r>
            <w:r>
              <w:rPr>
                <w:rFonts w:ascii="Times New Roman;Times;serif" w:hAnsi="Times New Roman;Times;serif"/>
                <w:b w:val="false"/>
                <w:i w:val="false"/>
                <w:caps w:val="false"/>
                <w:smallCaps w:val="false"/>
                <w:sz w:val="20"/>
              </w:rPr>
              <w:t>basis points for any unused portion of the borrowing capacity based on whether the unused portion is greater or less than 50%</w:t>
            </w:r>
            <w:r>
              <w:rPr>
                <w:caps w:val="false"/>
                <w:smallCaps w:val="false"/>
              </w:rPr>
              <w:t xml:space="preserve"> </w:t>
            </w:r>
            <w:r>
              <w:rPr>
                <w:rFonts w:ascii="Times New Roman;Times;serif" w:hAnsi="Times New Roman;Times;serif"/>
                <w:b w:val="false"/>
                <w:i w:val="false"/>
                <w:caps w:val="false"/>
                <w:smallCaps w:val="false"/>
                <w:sz w:val="20"/>
              </w:rPr>
              <w:t>of the total borrowing capacity;</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origination of the 2029 Term Loan in the amount of $100</w:t>
            </w:r>
            <w:r>
              <w:rPr>
                <w:caps w:val="false"/>
                <w:smallCaps w:val="false"/>
              </w:rPr>
              <w:t xml:space="preserve"> </w:t>
            </w:r>
            <w:r>
              <w:rPr>
                <w:rFonts w:ascii="Times New Roman;Times;serif" w:hAnsi="Times New Roman;Times;serif"/>
                <w:b w:val="false"/>
                <w:i w:val="false"/>
                <w:caps w:val="false"/>
                <w:smallCaps w:val="false"/>
                <w:sz w:val="20"/>
              </w:rPr>
              <w:t>million that matures on February 4, 2029;</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origination of the 2031 Term Loan in the amount of $100</w:t>
            </w:r>
            <w:r>
              <w:rPr>
                <w:caps w:val="false"/>
                <w:smallCaps w:val="false"/>
              </w:rPr>
              <w:t xml:space="preserve"> </w:t>
            </w:r>
            <w:r>
              <w:rPr>
                <w:rFonts w:ascii="Times New Roman;Times;serif" w:hAnsi="Times New Roman;Times;serif"/>
                <w:b w:val="false"/>
                <w:i w:val="false"/>
                <w:caps w:val="false"/>
                <w:smallCaps w:val="false"/>
                <w:sz w:val="20"/>
              </w:rPr>
              <w:t>million that matures on February 4, 2031;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indebtedness outstanding under the 2029 Term Loan and the 2031 Term Loan accrues at a rate ranging from SOFR</w:t>
            </w:r>
            <w:r>
              <w:rPr>
                <w:caps w:val="false"/>
                <w:smallCaps w:val="false"/>
              </w:rPr>
              <w:t xml:space="preserve"> </w:t>
            </w:r>
            <w:r>
              <w:rPr>
                <w:rFonts w:ascii="Times New Roman;Times;serif" w:hAnsi="Times New Roman;Times;serif"/>
                <w:b w:val="false"/>
                <w:i w:val="false"/>
                <w:caps w:val="false"/>
                <w:smallCaps w:val="false"/>
                <w:sz w:val="20"/>
              </w:rPr>
              <w:t>plus 125</w:t>
            </w:r>
            <w:r>
              <w:rPr>
                <w:caps w:val="false"/>
                <w:smallCaps w:val="false"/>
              </w:rPr>
              <w:t xml:space="preserve"> </w:t>
            </w:r>
            <w:r>
              <w:rPr>
                <w:rFonts w:ascii="Times New Roman;Times;serif" w:hAnsi="Times New Roman;Times;serif"/>
                <w:b w:val="false"/>
                <w:i w:val="false"/>
                <w:caps w:val="false"/>
                <w:smallCaps w:val="false"/>
                <w:sz w:val="20"/>
              </w:rPr>
              <w:t>basis points to SOFR</w:t>
            </w:r>
            <w:r>
              <w:rPr>
                <w:caps w:val="false"/>
                <w:smallCaps w:val="false"/>
              </w:rPr>
              <w:t xml:space="preserve"> </w:t>
            </w:r>
            <w:r>
              <w:rPr>
                <w:rFonts w:ascii="Times New Roman;Times;serif" w:hAnsi="Times New Roman;Times;serif"/>
                <w:b w:val="false"/>
                <w:i w:val="false"/>
                <w:caps w:val="false"/>
                <w:smallCaps w:val="false"/>
                <w:sz w:val="20"/>
              </w:rPr>
              <w:t>plus 190</w:t>
            </w:r>
            <w:r>
              <w:rPr>
                <w:caps w:val="false"/>
                <w:smallCaps w:val="false"/>
              </w:rPr>
              <w:t xml:space="preserve"> </w:t>
            </w:r>
            <w:r>
              <w:rPr>
                <w:rFonts w:ascii="Times New Roman;Times;serif" w:hAnsi="Times New Roman;Times;serif"/>
                <w:b w:val="false"/>
                <w:i w:val="false"/>
                <w:caps w:val="false"/>
                <w:smallCaps w:val="false"/>
                <w:sz w:val="20"/>
              </w:rPr>
              <w:t xml:space="preserve">basis points, based on the Company’s total indebtedness as a percentage of the Company’s total asset value, as defined in the Amended and Restated Credit Agreement. The Company may utilize daily simple SOFR or term SOFR, at its election;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accordion feature which allows for total borrowings under the Facilities, in the aggregate, to be increased to an amount not to exceed $750</w:t>
            </w:r>
            <w:r>
              <w:rPr>
                <w:caps w:val="false"/>
                <w:smallCaps w:val="false"/>
              </w:rPr>
              <w:t xml:space="preserve"> </w:t>
            </w:r>
            <w:r>
              <w:rPr>
                <w:rFonts w:ascii="Times New Roman;Times;serif" w:hAnsi="Times New Roman;Times;serif"/>
                <w:b w:val="false"/>
                <w:i w:val="false"/>
                <w:caps w:val="false"/>
                <w:smallCaps w:val="false"/>
                <w:sz w:val="20"/>
              </w:rPr>
              <w:t>million; and</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certain financial covenants.</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of September 30, 2026, the commitment level under the Revolving Facility was $250.0 million and the Company had an outstanding balance of $198.5 million. The available borrowing capacity under the Revolving Facility, subject to borrowing base restrictions, was $51.5 million as of September 30, 2026.</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is subject to customary restrictive covenants under the Amended and Restated Credit Agreement, including, but not limited to, limitations on the Company’s ability to: (a) incur indebtedness; (b) make certain investments; (c) incur certain liens; (d) engage in certain affiliate transactions; and (e) engage in certain major transactions such as mergers. The Amended and Restated Credit Agreement also contains financial covenants covering the Company, including but not limited to, tangible net worth and fixed charge coverage ratios. The Company was in compliance with all of its debt covenants as of September 30, 2026.</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Long-term debt as of September 30, 2026 and December 31, 2025 consisted of the following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13"/>
        <w:gridCol w:w="109"/>
        <w:gridCol w:w="211"/>
        <w:gridCol w:w="781"/>
        <w:gridCol w:w="346"/>
        <w:gridCol w:w="658"/>
        <w:gridCol w:w="1085"/>
        <w:gridCol w:w="146"/>
        <w:gridCol w:w="211"/>
        <w:gridCol w:w="781"/>
        <w:gridCol w:w="346"/>
        <w:gridCol w:w="345"/>
        <w:gridCol w:w="1473"/>
      </w:tblGrid>
      <w:tr>
        <w:trPr/>
        <w:tc>
          <w:tcPr>
            <w:tcW w:w="37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95935" cy="175260"/>
                      <wp:effectExtent l="0" t="0" r="0" b="0"/>
                      <wp:wrapNone/>
                      <wp:docPr id="285" name="Frame2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17830" cy="175260"/>
                      <wp:effectExtent l="0" t="0" r="0" b="0"/>
                      <wp:wrapNone/>
                      <wp:docPr id="287" name="Frame287"/>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88975" cy="175260"/>
                      <wp:effectExtent l="0" t="0" r="0" b="0"/>
                      <wp:wrapNone/>
                      <wp:docPr id="288" name="Frame288"/>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92710" cy="175260"/>
                      <wp:effectExtent l="0" t="0" r="0" b="0"/>
                      <wp:wrapNone/>
                      <wp:docPr id="289" name="Frame2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95935" cy="175260"/>
                      <wp:effectExtent l="0" t="0" r="0" b="0"/>
                      <wp:wrapNone/>
                      <wp:docPr id="291" name="Frame2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075" cy="175260"/>
                      <wp:effectExtent l="0" t="0" r="0" b="0"/>
                      <wp:wrapNone/>
                      <wp:docPr id="293" name="Frame293"/>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935355" cy="175260"/>
                      <wp:effectExtent l="0" t="0" r="0" b="0"/>
                      <wp:wrapNone/>
                      <wp:docPr id="294" name="Frame294"/>
                      <a:graphic xmlns:a="http://schemas.openxmlformats.org/drawingml/2006/main">
                        <a:graphicData uri="http://schemas.microsoft.com/office/word/2010/wordprocessingShape">
                          <wps:wsp>
                            <wps:cNvSpPr txBox="1"/>
                            <wps:spPr>
                              <a:xfrm>
                                <a:off x="0" y="0"/>
                                <a:ext cx="935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1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8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46" w:type="dxa"/>
            <w:tcBorders/>
            <w:vAlign w:val="center"/>
          </w:tcPr>
          <w:p>
            <w:pPr>
              <w:pStyle w:val="TableContents"/>
              <w:bidi w:val="0"/>
              <w:spacing w:before="0" w:after="0"/>
              <w:ind w:left="0" w:right="0" w:hanging="0"/>
              <w:jc w:val="left"/>
              <w:rPr/>
            </w:pPr>
            <w:r>
              <w:rPr/>
              <w:t>​</w:t>
            </w:r>
          </w:p>
        </w:tc>
        <w:tc>
          <w:tcPr>
            <w:tcW w:w="31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71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 ​ ​</w:t>
            </w:r>
          </w:p>
        </w:tc>
        <w:tc>
          <w:tcPr>
            <w:tcW w:w="17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w:t>
            </w:r>
          </w:p>
        </w:tc>
        <w:tc>
          <w:tcPr>
            <w:tcW w:w="346" w:type="dxa"/>
            <w:tcBorders/>
            <w:vAlign w:val="center"/>
          </w:tcPr>
          <w:p>
            <w:pPr>
              <w:pStyle w:val="TableContents"/>
              <w:bidi w:val="0"/>
              <w:spacing w:before="0" w:after="0"/>
              <w:ind w:left="0" w:right="0" w:hanging="0"/>
              <w:jc w:val="left"/>
              <w:rPr/>
            </w:pPr>
            <w:r>
              <w:rPr/>
              <w:t>  ​ ​ ​</w:t>
            </w:r>
          </w:p>
        </w:tc>
        <w:tc>
          <w:tcPr>
            <w:tcW w:w="18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r>
      <w:tr>
        <w:trPr/>
        <w:tc>
          <w:tcPr>
            <w:tcW w:w="3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198,500</w:t>
            </w:r>
          </w:p>
        </w:tc>
        <w:tc>
          <w:tcPr>
            <w:tcW w:w="346"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178,000</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3" w:type="dxa"/>
            <w:tcBorders/>
            <w:shd w:fill="CCEEFF" w:val="clear"/>
            <w:vAlign w:val="center"/>
          </w:tcPr>
          <w:p>
            <w:pPr>
              <w:pStyle w:val="TableContents"/>
              <w:bidi w:val="0"/>
              <w:spacing w:before="0" w:after="0"/>
              <w:ind w:left="0" w:right="0" w:hanging="0"/>
              <w:jc w:val="right"/>
              <w:rPr/>
            </w:pPr>
            <w:r>
              <w:rPr/>
              <w:t>—</w:t>
            </w:r>
          </w:p>
        </w:tc>
      </w:tr>
      <w:tr>
        <w:trPr/>
        <w:tc>
          <w:tcPr>
            <w:tcW w:w="3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Term Loan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4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473" w:type="dxa"/>
            <w:tcBorders/>
            <w:shd w:fill="CCEEFF" w:val="clear"/>
            <w:vAlign w:val="center"/>
          </w:tcPr>
          <w:p>
            <w:pPr>
              <w:pStyle w:val="TableContents"/>
              <w:bidi w:val="0"/>
              <w:spacing w:before="0" w:after="0"/>
              <w:ind w:left="0" w:right="0" w:hanging="0"/>
              <w:jc w:val="right"/>
              <w:rPr/>
            </w:pPr>
            <w:r>
              <w:rPr/>
              <w:t>—</w:t>
            </w:r>
          </w:p>
        </w:tc>
      </w:tr>
      <w:tr>
        <w:trPr/>
        <w:tc>
          <w:tcPr>
            <w:tcW w:w="3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Term Loan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473" w:type="dxa"/>
            <w:tcBorders/>
            <w:vAlign w:val="center"/>
          </w:tcPr>
          <w:p>
            <w:pPr>
              <w:pStyle w:val="TableContents"/>
              <w:bidi w:val="0"/>
              <w:spacing w:before="0" w:after="0"/>
              <w:ind w:left="0" w:right="0" w:hanging="0"/>
              <w:jc w:val="right"/>
              <w:rPr/>
            </w:pPr>
            <w:r>
              <w:rPr/>
              <w:t>—</w:t>
            </w:r>
          </w:p>
        </w:tc>
      </w:tr>
      <w:tr>
        <w:trPr/>
        <w:tc>
          <w:tcPr>
            <w:tcW w:w="3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473" w:type="dxa"/>
            <w:tcBorders/>
            <w:shd w:fill="CCEEFF" w:val="clear"/>
            <w:vAlign w:val="center"/>
          </w:tcPr>
          <w:p>
            <w:pPr>
              <w:pStyle w:val="TableContents"/>
              <w:bidi w:val="0"/>
              <w:spacing w:before="0" w:after="0"/>
              <w:ind w:left="0" w:right="0" w:hanging="0"/>
              <w:jc w:val="right"/>
              <w:rPr/>
            </w:pPr>
            <w:r>
              <w:rPr/>
              <w:t>—</w:t>
            </w:r>
          </w:p>
        </w:tc>
      </w:tr>
      <w:tr>
        <w:trPr/>
        <w:tc>
          <w:tcPr>
            <w:tcW w:w="3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w:t>
            </w:r>
          </w:p>
        </w:tc>
        <w:tc>
          <w:tcPr>
            <w:tcW w:w="346" w:type="dxa"/>
            <w:tcBorders/>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4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396,676</w:t>
            </w:r>
          </w:p>
        </w:tc>
        <w:tc>
          <w:tcPr>
            <w:tcW w:w="346" w:type="dxa"/>
            <w:tcBorders/>
            <w:shd w:fill="CCEEFF" w:val="clear"/>
            <w:vAlign w:val="center"/>
          </w:tcPr>
          <w:p>
            <w:pPr>
              <w:pStyle w:val="TableContents"/>
              <w:bidi w:val="0"/>
              <w:spacing w:before="0" w:after="0"/>
              <w:ind w:left="0" w:right="0" w:hanging="0"/>
              <w:jc w:val="left"/>
              <w:rPr/>
            </w:pPr>
            <w:r>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377,739</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100,000</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bookmarkStart w:id="1390" w:name="Tc_jmoS7aluu0mC8y25xom3lQ_8_11"/>
      <w:bookmarkStart w:id="1391" w:name="Tc_RenlnNYED0uslzEZMKrkew_8_8"/>
      <w:bookmarkStart w:id="1392" w:name="Tc_AvX-lYO68kqjOAYGLHeQRA_8_5"/>
      <w:bookmarkStart w:id="1393" w:name="Tc_UTjoEXrgFU--pTQQN40_LA_8_2"/>
      <w:bookmarkStart w:id="1394" w:name="Tc_G7p-n_EqaUWHNGwplzOuKQ_8_0"/>
      <w:bookmarkStart w:id="1395" w:name="Tc_JuKdmQuO50WsvicJeQJnfw_6_11"/>
      <w:bookmarkStart w:id="1396" w:name="Tc_rJW7TQBiV0-k_hMfem9aRQ_6_8"/>
      <w:bookmarkStart w:id="1397" w:name="Tc_zS9WeMHiZ0-lRuu6NVNuyg_6_5"/>
      <w:bookmarkStart w:id="1398" w:name="Tc_AylNkL8TwU21CdGNZjGJJA_6_2"/>
      <w:bookmarkStart w:id="1399" w:name="Tc_3MD_FTDZe06zWFe6aMPGTg_6_0"/>
      <w:bookmarkStart w:id="1400" w:name="Tc_UIZMQu191kiKuawznCZhqA_5_0"/>
      <w:bookmarkStart w:id="1401" w:name="Tc_gmbIQ4XHQUqTaRp4Xczs7Q_4_0"/>
      <w:bookmarkStart w:id="1402" w:name="Tc_gUYVQlm870Kc35MVDDVUfA_3_11"/>
      <w:bookmarkStart w:id="1403" w:name="Tc_7CfKiB-RfEC4mlT10FYAmw_3_8"/>
      <w:bookmarkStart w:id="1404" w:name="Tc_k4AZF21IxEaRqe0pEm5r8w_3_5"/>
      <w:bookmarkStart w:id="1405" w:name="Tc_pdtdpzHDuE60G55vm6qPzg_3_2"/>
      <w:bookmarkStart w:id="1406" w:name="Tc_vK5jM5ceRU6i3d32u5lKZw_3_0"/>
      <w:bookmarkStart w:id="1407" w:name="Tc_Ikb3raQsLke-HdwASUo6tg_2_11"/>
      <w:bookmarkStart w:id="1408" w:name="Tc_yZADLQj-10qqfZfYmrFEVg_2_8"/>
      <w:bookmarkStart w:id="1409" w:name="Tc_YufRQ5p_HEK-XE1WFJpggQ_2_5"/>
      <w:bookmarkStart w:id="1410" w:name="Tc_Q6SDkt7JMEegTeW2S83uHw_2_2"/>
      <w:bookmarkStart w:id="1411" w:name="Tc_9-96S6HudESeOK64tacSGQ_1_8"/>
      <w:bookmarkStart w:id="1412" w:name="Tc_nqJdbEmMLEiFF_65xUKZkw_1_2"/>
      <w:bookmarkStart w:id="1413" w:name="_a76e5768_ef1a_4639_bce5_a48a9ece102b"/>
      <w:bookmarkStart w:id="1414" w:name="Tc_lmlJwg-440asOGYSGp8pAQ_4_2"/>
      <w:bookmarkStart w:id="1415" w:name="Tc_Zk6E4I6bmEmigfW9DSkDeQ_4_0"/>
      <w:bookmarkStart w:id="1416" w:name="Tc_okWygql92ki2r0nsotMdCA_3_0"/>
      <w:bookmarkStart w:id="1417" w:name="Tc_UAryN8NytUqCnfYzK0cN-A_2_2"/>
      <w:bookmarkStart w:id="1418" w:name="Tc_mnslXDpz80q4IZOdDuP9_Q_2_0"/>
      <w:bookmarkStart w:id="1419" w:name="Tc_RQedfnMCFEaOB6qwuoWnkA_1_2"/>
      <w:bookmarkStart w:id="1420" w:name="_2aa53051_1d01_47c0_904e_4c7337dd095a"/>
      <w:bookmarkStart w:id="1421" w:name="Tc_WE5HF4pQuUalcSlRKTbHRQ_9_2"/>
      <w:bookmarkStart w:id="1422" w:name="Tc_REV1YrCRZkSt8b7KWi7ntQ_9_0"/>
      <w:bookmarkStart w:id="1423" w:name="Tc_wbh5QM8al0SNrH0KJvDr9A_8_3"/>
      <w:bookmarkStart w:id="1424" w:name="Tc_fXREsmGdkUCF4OYREp7x4w_8_0"/>
      <w:bookmarkStart w:id="1425" w:name="Tc_aKQNw28kxEy1LRk6TqAirg_7_0"/>
      <w:bookmarkStart w:id="1426" w:name="Tc_EjO4EJYijU-LDR0q6dcC1A_6_0"/>
      <w:bookmarkStart w:id="1427" w:name="Tc_6vyjz-128UCTXWWnTf7A6A_5_0"/>
      <w:bookmarkStart w:id="1428" w:name="Tc_VZgtKA_Gekyk0QdZ65EzyQ_4_3"/>
      <w:bookmarkStart w:id="1429" w:name="Tc_sQxkD5xUgESREl5WykX_Gw_4_0"/>
      <w:bookmarkStart w:id="1430" w:name="Tc_KTznYtm1qkqxQdPFxl49hA_3_3"/>
      <w:bookmarkStart w:id="1431" w:name="Tc_9gw5ztntQUKu5FZFXc8SPw_3_0"/>
      <w:bookmarkStart w:id="1432" w:name="Tc_VCN36zRy2ke0Ek9joy2taA_2_3"/>
      <w:bookmarkStart w:id="1433" w:name="Tc_0ga1N9YihUGCD-OceOKhBA_2_2"/>
      <w:bookmarkStart w:id="1434" w:name="Tc_3Pb2DiGzgk64wBWdg91aWw_2_0"/>
      <w:bookmarkStart w:id="1435" w:name="Tc_0xkfS9Q7fUKJ5ovwfhSCpw_1_2"/>
      <w:bookmarkStart w:id="1436" w:name="Tc_ecq1o5jT_kuFhCQgvbq01g_1_0"/>
      <w:bookmarkStart w:id="1437" w:name="_b4206277_e1fe_40ae_bf59_217b6338544c"/>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r>
        <w:rPr>
          <w:rFonts w:ascii="Times New Roman;Times;serif" w:hAnsi="Times New Roman;Times;serif"/>
          <w:sz w:val="20"/>
        </w:rPr>
        <w:t>Payments applicable to reduction of principal amounts as of September 30, 2026 will be required as follows (in thousands):</w:t>
      </w:r>
    </w:p>
    <w:p>
      <w:pPr>
        <w:pStyle w:val="TextBody"/>
        <w:bidi w:val="0"/>
        <w:spacing w:before="0" w:after="0"/>
        <w:ind w:left="0" w:right="0" w:hanging="0"/>
        <w:jc w:val="left"/>
        <w:rPr/>
      </w:pPr>
      <w:r>
        <w:rPr/>
        <w:t>​</w:t>
      </w:r>
    </w:p>
    <w:tbl>
      <w:tblPr>
        <w:tblW w:w="4219" w:type="dxa"/>
        <w:jc w:val="left"/>
        <w:tblInd w:w="0" w:type="dxa"/>
        <w:tblLayout w:type="fixed"/>
        <w:tblCellMar>
          <w:top w:w="0" w:type="dxa"/>
          <w:left w:w="0" w:type="dxa"/>
          <w:bottom w:w="0" w:type="dxa"/>
          <w:right w:w="0" w:type="dxa"/>
        </w:tblCellMar>
      </w:tblPr>
      <w:tblGrid>
        <w:gridCol w:w="3001"/>
        <w:gridCol w:w="109"/>
        <w:gridCol w:w="211"/>
        <w:gridCol w:w="898"/>
      </w:tblGrid>
      <w:tr>
        <w:trPr/>
        <w:tc>
          <w:tcPr>
            <w:tcW w:w="30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215" cy="175260"/>
                      <wp:effectExtent l="0" t="0" r="0" b="0"/>
                      <wp:wrapNone/>
                      <wp:docPr id="295" name="Frame2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70230" cy="175260"/>
                      <wp:effectExtent l="0" t="0" r="0" b="0"/>
                      <wp:wrapNone/>
                      <wp:docPr id="297" name="Frame29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2032 and 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 Face Value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398,500</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carrying value of long-term debt as of September 30, 2026 consisted of the following (in thousands):</w:t>
      </w:r>
    </w:p>
    <w:p>
      <w:pPr>
        <w:pStyle w:val="TextBody"/>
        <w:bidi w:val="0"/>
        <w:spacing w:before="0" w:after="0"/>
        <w:ind w:left="0" w:right="0" w:hanging="0"/>
        <w:jc w:val="left"/>
        <w:rPr/>
      </w:pPr>
      <w:r>
        <w:rPr/>
        <w:t>​</w:t>
      </w:r>
    </w:p>
    <w:tbl>
      <w:tblPr>
        <w:tblW w:w="5464" w:type="dxa"/>
        <w:jc w:val="left"/>
        <w:tblInd w:w="0" w:type="dxa"/>
        <w:tblLayout w:type="fixed"/>
        <w:tblCellMar>
          <w:top w:w="0" w:type="dxa"/>
          <w:left w:w="0" w:type="dxa"/>
          <w:bottom w:w="0" w:type="dxa"/>
          <w:right w:w="0" w:type="dxa"/>
        </w:tblCellMar>
      </w:tblPr>
      <w:tblGrid>
        <w:gridCol w:w="4246"/>
        <w:gridCol w:w="109"/>
        <w:gridCol w:w="211"/>
        <w:gridCol w:w="898"/>
      </w:tblGrid>
      <w:tr>
        <w:trPr/>
        <w:tc>
          <w:tcPr>
            <w:tcW w:w="4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70230" cy="175260"/>
                      <wp:effectExtent l="0" t="0" r="0" b="0"/>
                      <wp:wrapNone/>
                      <wp:docPr id="300" name="Frame30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398,500</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396,676</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addition to the $1.8 million of financing costs, net of accumulated amortization included in the table above, as of September 30, 2026, the Company also had financing costs, net of accumulated amortization related to the Revolving Facility of $2.3 million which is included in other assets on the consolidated balance sheets. These costs are amortized on a straight-line basis over the term of the Revolving Facility and are included in interest expense in the consolidated statements of operations.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table reflects a summary of interest expense incurred and paid during the three and nine months ended September 30, 2026 and 2025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78"/>
        <w:gridCol w:w="109"/>
        <w:gridCol w:w="420"/>
        <w:gridCol w:w="1139"/>
        <w:gridCol w:w="116"/>
        <w:gridCol w:w="420"/>
        <w:gridCol w:w="1139"/>
        <w:gridCol w:w="109"/>
        <w:gridCol w:w="370"/>
        <w:gridCol w:w="1189"/>
        <w:gridCol w:w="109"/>
        <w:gridCol w:w="335"/>
        <w:gridCol w:w="1272"/>
      </w:tblGrid>
      <w:tr>
        <w:trPr/>
        <w:tc>
          <w:tcPr>
            <w:tcW w:w="34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66700" cy="175260"/>
                      <wp:effectExtent l="0" t="0" r="0" b="0"/>
                      <wp:wrapNone/>
                      <wp:docPr id="302" name="Frame302"/>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723265" cy="175260"/>
                      <wp:effectExtent l="0" t="0" r="0" b="0"/>
                      <wp:wrapNone/>
                      <wp:docPr id="303" name="Frame303"/>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73660" cy="175260"/>
                      <wp:effectExtent l="0" t="0" r="0" b="0"/>
                      <wp:wrapNone/>
                      <wp:docPr id="304" name="Frame304"/>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66700" cy="175260"/>
                      <wp:effectExtent l="0" t="0" r="0" b="0"/>
                      <wp:wrapNone/>
                      <wp:docPr id="305" name="Frame305"/>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723265" cy="175260"/>
                      <wp:effectExtent l="0" t="0" r="0" b="0"/>
                      <wp:wrapNone/>
                      <wp:docPr id="306" name="Frame306"/>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9215" cy="175260"/>
                      <wp:effectExtent l="0" t="0" r="0" b="0"/>
                      <wp:wrapNone/>
                      <wp:docPr id="307" name="Frame3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34950" cy="175260"/>
                      <wp:effectExtent l="0" t="0" r="0" b="0"/>
                      <wp:wrapNone/>
                      <wp:docPr id="308" name="Frame308"/>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755015" cy="175260"/>
                      <wp:effectExtent l="0" t="0" r="0" b="0"/>
                      <wp:wrapNone/>
                      <wp:docPr id="309" name="Frame309"/>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310" name="Frame3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2725" cy="175260"/>
                      <wp:effectExtent l="0" t="0" r="0" b="0"/>
                      <wp:wrapNone/>
                      <wp:docPr id="311" name="Frame31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807720" cy="175260"/>
                      <wp:effectExtent l="0" t="0" r="0" b="0"/>
                      <wp:wrapNone/>
                      <wp:docPr id="312" name="Frame312"/>
                      <a:graphic xmlns:a="http://schemas.openxmlformats.org/drawingml/2006/main">
                        <a:graphicData uri="http://schemas.microsoft.com/office/word/2010/wordprocessingShape">
                          <wps:wsp>
                            <wps:cNvSpPr txBox="1"/>
                            <wps:spPr>
                              <a:xfrm>
                                <a:off x="0" y="0"/>
                                <a:ext cx="80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32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4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16" w:type="dxa"/>
            <w:tcBorders/>
            <w:vAlign w:val="center"/>
          </w:tcPr>
          <w:p>
            <w:pPr>
              <w:pStyle w:val="TableContents"/>
              <w:bidi w:val="0"/>
              <w:spacing w:before="0" w:after="0"/>
              <w:ind w:left="0" w:right="0" w:hanging="0"/>
              <w:jc w:val="left"/>
              <w:rPr/>
            </w:pPr>
            <w:r>
              <w:rPr/>
              <w:t>​</w:t>
            </w:r>
          </w:p>
        </w:tc>
        <w:tc>
          <w:tcPr>
            <w:tcW w:w="1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left"/>
              <w:rPr/>
            </w:pPr>
            <w:r>
              <w:rPr/>
              <w:t>​</w:t>
            </w:r>
          </w:p>
        </w:tc>
        <w:tc>
          <w:tcPr>
            <w:tcW w:w="1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0"/>
              <w:ind w:left="0" w:right="0" w:hanging="0"/>
              <w:jc w:val="left"/>
              <w:rPr/>
            </w:pPr>
            <w:r>
              <w:rPr/>
              <w:t>​</w:t>
            </w:r>
          </w:p>
        </w:tc>
        <w:tc>
          <w:tcPr>
            <w:tcW w:w="16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r>
      <w:tr>
        <w:trPr/>
        <w:tc>
          <w:tcPr>
            <w:tcW w:w="34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4,044</w:t>
            </w:r>
          </w:p>
        </w:tc>
        <w:tc>
          <w:tcPr>
            <w:tcW w:w="11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w:t>
            </w:r>
          </w:p>
        </w:tc>
        <w:tc>
          <w:tcPr>
            <w:tcW w:w="109"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11,588</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10,856</w:t>
            </w:r>
          </w:p>
        </w:tc>
      </w:tr>
      <w:tr>
        <w:trPr/>
        <w:tc>
          <w:tcPr>
            <w:tcW w:w="34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from Obligation Under Participation Agreement</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11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34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116"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109"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r>
      <w:tr>
        <w:trPr/>
        <w:tc>
          <w:tcPr>
            <w:tcW w:w="34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c>
          <w:tcPr>
            <w:tcW w:w="116"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3,910</w:t>
            </w:r>
          </w:p>
        </w:tc>
        <w:tc>
          <w:tcPr>
            <w:tcW w:w="109"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13,760</w:t>
            </w:r>
          </w:p>
        </w:tc>
        <w:tc>
          <w:tcPr>
            <w:tcW w:w="109"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11,822</w:t>
            </w:r>
          </w:p>
        </w:tc>
      </w:tr>
      <w:tr>
        <w:trPr/>
        <w:tc>
          <w:tcPr>
            <w:tcW w:w="347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lef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left"/>
              <w:rPr/>
            </w:pPr>
            <w:r>
              <w:rPr/>
              <w:t>​</w:t>
            </w:r>
          </w:p>
        </w:tc>
      </w:tr>
      <w:tr>
        <w:trPr/>
        <w:tc>
          <w:tcPr>
            <w:tcW w:w="34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Paid</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4,538</w:t>
            </w:r>
          </w:p>
        </w:tc>
        <w:tc>
          <w:tcPr>
            <w:tcW w:w="116"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4,279</w:t>
            </w:r>
          </w:p>
        </w:tc>
        <w:tc>
          <w:tcPr>
            <w:tcW w:w="109"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13,595</w:t>
            </w:r>
          </w:p>
        </w:tc>
        <w:tc>
          <w:tcPr>
            <w:tcW w:w="109"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10,962</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14. INTEREST RATE SWAPS</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 xml:space="preserve">The Company has entered into interest rate swap agreements to hedge against changes in future cash flows resulting from fluctuating interest rates related to the below noted borrowings. The interest rate agreements were 100% effective during the three and nine months ended September 30, 2026 and 2025. Accordingly, the changes in fair value on the interest rate swaps have been classified in other comprehensive income. The fair values of the interest rate swap agreements are included in </w:t>
      </w:r>
      <w:r>
        <w:rPr>
          <w:rFonts w:ascii="Times New Roman;Times;serif" w:hAnsi="Times New Roman;Times;serif"/>
          <w:b w:val="false"/>
          <w:i w:val="false"/>
          <w:caps w:val="false"/>
          <w:smallCaps w:val="false"/>
          <w:sz w:val="20"/>
        </w:rPr>
        <w:t>other assets</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accounts payable, accrued expenses and other liabilities</w:t>
      </w:r>
      <w:r>
        <w:rPr>
          <w:rFonts w:ascii="Times New Roman;Times;serif" w:hAnsi="Times New Roman;Times;serif"/>
          <w:sz w:val="20"/>
        </w:rPr>
        <w:t>, respectively, on the consolidated balance sheets.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432"/>
        <w:jc w:val="both"/>
        <w:rPr>
          <w:rFonts w:ascii="Times New Roman;Times;serif" w:hAnsi="Times New Roman;Times;serif"/>
          <w:sz w:val="20"/>
        </w:rPr>
      </w:pPr>
      <w:bookmarkStart w:id="1438" w:name="Tc_9Ys1Mu2nu02E8qnGVUoTzQ_7_11"/>
      <w:bookmarkStart w:id="1439" w:name="Tc_r5Fr1JyK_UmMKsG60ArGAw_7_8"/>
      <w:bookmarkStart w:id="1440" w:name="Tc_dnP6dozDLUGdDXyPlpwerQ_7_6"/>
      <w:bookmarkStart w:id="1441" w:name="Tc_RwNtm_t9zkKJgURm8d4DQA_7_4"/>
      <w:bookmarkStart w:id="1442" w:name="Tc_USTm8SrKpUuHwsluVym4hA_7_2"/>
      <w:bookmarkStart w:id="1443" w:name="Tc_wTD8AeyKnEGIqmuzAIIx2A_7_0"/>
      <w:bookmarkStart w:id="1444" w:name="Tc_k0QTcXZvGU27N09iWI9qZw_6_11"/>
      <w:bookmarkStart w:id="1445" w:name="Tc_xCEDF5x7dUqzABt8QmvD9A_6_8"/>
      <w:bookmarkStart w:id="1446" w:name="Tc_KangkDuGlkygc_bJ8U_KMg_6_6"/>
      <w:bookmarkStart w:id="1447" w:name="Tc_Db05xCl-NESyPY2IOhbPkA_6_4"/>
      <w:bookmarkStart w:id="1448" w:name="Tc_sraXQbCKCU23O1qNRuCs8Q_6_2"/>
      <w:bookmarkStart w:id="1449" w:name="Tc_uN81qKyHmUeSHnGH9a6UIQ_6_0"/>
      <w:bookmarkStart w:id="1450" w:name="Tc_y-6nJEHdjUiZdRrNDFXQ7w_5_11"/>
      <w:bookmarkStart w:id="1451" w:name="Tc_CTNsXtARskC5mYu_i5fo8A_5_8"/>
      <w:bookmarkStart w:id="1452" w:name="Tc_PUxUsEoqCkybI5bythVvqA_5_6"/>
      <w:bookmarkStart w:id="1453" w:name="Tc_3s2ipkH2IEOcpa21NoHtYg_5_4"/>
      <w:bookmarkStart w:id="1454" w:name="Tc_Krjz4S4z7UiGR0ikSzFeqw_5_2"/>
      <w:bookmarkStart w:id="1455" w:name="Tc_aq94sNUgrEijB0KylTFL2A_5_0"/>
      <w:bookmarkStart w:id="1456" w:name="Tc_RdYSvizVxUyKVTWhiGsO_Q_4_11"/>
      <w:bookmarkStart w:id="1457" w:name="Tc_1YBw0VqR60GLhw_V7rRZRg_4_8"/>
      <w:bookmarkStart w:id="1458" w:name="Tc_iR7SV9s2HE-o1zqJXmYtRg_4_6"/>
      <w:bookmarkStart w:id="1459" w:name="Tc_D3pX6gZG40GgLscOxmjzaQ_4_4"/>
      <w:bookmarkStart w:id="1460" w:name="Tc_pTcJbZfJiUStmReKKDvcig_4_2"/>
      <w:bookmarkStart w:id="1461" w:name="Tc_GSDh1kRvukasLlgtZibC5g_4_0"/>
      <w:bookmarkStart w:id="1462" w:name="Tc_kwuvba8670eA9WBMFpAhWg_3_11"/>
      <w:bookmarkStart w:id="1463" w:name="Tc_-izIr089hESmcoA2wYHaWw_3_8"/>
      <w:bookmarkStart w:id="1464" w:name="Tc_0Qtv9SXrpk-oDl7AgzGO8g_3_6"/>
      <w:bookmarkStart w:id="1465" w:name="Tc_b_DhX3Zr3kyiGYjD_x6l9Q_3_4"/>
      <w:bookmarkStart w:id="1466" w:name="Tc_1bWloOzMFkOqyiuq5GPXSA_3_2"/>
      <w:bookmarkStart w:id="1467" w:name="Tc_mG38aGGke0Cpmq7o98olRQ_3_0"/>
      <w:bookmarkStart w:id="1468" w:name="Tc_EiIV9ul4pEaQwNfPKDyISQ_2_11"/>
      <w:bookmarkStart w:id="1469" w:name="Tc_9N6xmVyhQkiy33GGr-GvEg_2_8"/>
      <w:bookmarkStart w:id="1470" w:name="Tc_Du9q-n1wzEKD1WLzjlBgqg_2_6"/>
      <w:bookmarkStart w:id="1471" w:name="Tc_s-XJVUt9SUmU2sb7SKLjUw_2_4"/>
      <w:bookmarkStart w:id="1472" w:name="Tc_avvz_sb42ESK1yikgr3FdQ_2_2"/>
      <w:bookmarkStart w:id="1473" w:name="Tc_kImyYLCCtUihRVBA2DzcQQ_2_0"/>
      <w:bookmarkStart w:id="1474" w:name="Tc_7i6OZ3xwLUW0eLyX8GHBWw_1_11"/>
      <w:bookmarkStart w:id="1475" w:name="Tc_cBlZGrl6CUuVVZpx83L5-Q_1_8"/>
      <w:bookmarkStart w:id="1476" w:name="Tc_OYfQWS991ke6Kkqm9CXnjw_1_6"/>
      <w:bookmarkStart w:id="1477" w:name="Tc_8Ng3KCMxxESsA5JPwkfmUg_1_4"/>
      <w:bookmarkStart w:id="1478" w:name="Tc_8S1LBmLDr063b2ZgXKsKpw_1_2"/>
      <w:bookmarkStart w:id="1479" w:name="Tc_kd4oEDIq_EmBQHZfAG8y-g_1_0"/>
      <w:bookmarkStart w:id="1480" w:name="_74484431_3b0f_490e_951f_c25d3556ac26"/>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r>
        <w:rPr>
          <w:rFonts w:ascii="Times New Roman;Times;serif" w:hAnsi="Times New Roman;Times;serif"/>
          <w:sz w:val="20"/>
        </w:rPr>
        <w:t>Information related to the Company’s interest rate swap agreements is noted below (in thousands):</w:t>
      </w:r>
    </w:p>
    <w:p>
      <w:pPr>
        <w:pStyle w:val="TextBody"/>
        <w:bidi w:val="0"/>
        <w:spacing w:before="0" w:after="0"/>
        <w:ind w:left="0" w:right="0" w:hanging="0"/>
        <w:jc w:val="left"/>
        <w:rPr/>
      </w:pPr>
      <w:r>
        <w:rPr/>
        <w:t>​</w:t>
      </w:r>
    </w:p>
    <w:tbl>
      <w:tblPr>
        <w:tblW w:w="9671" w:type="dxa"/>
        <w:jc w:val="left"/>
        <w:tblInd w:w="0" w:type="dxa"/>
        <w:tblLayout w:type="fixed"/>
        <w:tblCellMar>
          <w:top w:w="0" w:type="dxa"/>
          <w:left w:w="0" w:type="dxa"/>
          <w:bottom w:w="0" w:type="dxa"/>
          <w:right w:w="0" w:type="dxa"/>
        </w:tblCellMar>
      </w:tblPr>
      <w:tblGrid>
        <w:gridCol w:w="1636"/>
        <w:gridCol w:w="109"/>
        <w:gridCol w:w="1171"/>
        <w:gridCol w:w="109"/>
        <w:gridCol w:w="1201"/>
        <w:gridCol w:w="109"/>
        <w:gridCol w:w="1321"/>
        <w:gridCol w:w="109"/>
        <w:gridCol w:w="196"/>
        <w:gridCol w:w="691"/>
        <w:gridCol w:w="109"/>
        <w:gridCol w:w="756"/>
        <w:gridCol w:w="2154"/>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038860" cy="175260"/>
                      <wp:effectExtent l="0" t="0" r="0" b="0"/>
                      <wp:wrapNone/>
                      <wp:docPr id="313" name="Frame313"/>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9215" cy="175260"/>
                      <wp:effectExtent l="0" t="0" r="0" b="0"/>
                      <wp:wrapNone/>
                      <wp:docPr id="314" name="Frame3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743585" cy="175260"/>
                      <wp:effectExtent l="0" t="0" r="0" b="0"/>
                      <wp:wrapNone/>
                      <wp:docPr id="315" name="Frame315"/>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215" cy="175260"/>
                      <wp:effectExtent l="0" t="0" r="0" b="0"/>
                      <wp:wrapNone/>
                      <wp:docPr id="316" name="Frame3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762635" cy="175260"/>
                      <wp:effectExtent l="0" t="0" r="0" b="0"/>
                      <wp:wrapNone/>
                      <wp:docPr id="317" name="Frame317"/>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9215" cy="175260"/>
                      <wp:effectExtent l="0" t="0" r="0" b="0"/>
                      <wp:wrapNone/>
                      <wp:docPr id="318" name="Frame3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838835" cy="175260"/>
                      <wp:effectExtent l="0" t="0" r="0" b="0"/>
                      <wp:wrapNone/>
                      <wp:docPr id="319" name="Frame319"/>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9215" cy="175260"/>
                      <wp:effectExtent l="0" t="0" r="0" b="0"/>
                      <wp:wrapNone/>
                      <wp:docPr id="320" name="Frame3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24460" cy="175260"/>
                      <wp:effectExtent l="0" t="0" r="0" b="0"/>
                      <wp:wrapNone/>
                      <wp:docPr id="321" name="Frame3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38785" cy="175260"/>
                      <wp:effectExtent l="0" t="0" r="0" b="0"/>
                      <wp:wrapNone/>
                      <wp:docPr id="322" name="Frame3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260"/>
                      <wp:effectExtent l="0" t="0" r="0" b="0"/>
                      <wp:wrapNone/>
                      <wp:docPr id="323" name="Frame3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80060" cy="175260"/>
                      <wp:effectExtent l="0" t="0" r="0" b="0"/>
                      <wp:wrapNone/>
                      <wp:docPr id="324" name="Frame324"/>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67790" cy="175260"/>
                      <wp:effectExtent l="0" t="0" r="0" b="0"/>
                      <wp:wrapNone/>
                      <wp:docPr id="325" name="Frame325"/>
                      <a:graphic xmlns:a="http://schemas.openxmlformats.org/drawingml/2006/main">
                        <a:graphicData uri="http://schemas.microsoft.com/office/word/2010/wordprocessingShape">
                          <wps:wsp>
                            <wps:cNvSpPr txBox="1"/>
                            <wps:spPr>
                              <a:xfrm>
                                <a:off x="0" y="0"/>
                                <a:ext cx="136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Hedged Item</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Effective Date</w:t>
            </w:r>
          </w:p>
        </w:tc>
        <w:tc>
          <w:tcPr>
            <w:tcW w:w="109"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Maturity Date</w:t>
            </w:r>
          </w:p>
        </w:tc>
        <w:tc>
          <w:tcPr>
            <w:tcW w:w="109"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Rate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0"/>
              <w:ind w:left="0" w:right="0" w:hanging="0"/>
              <w:jc w:val="center"/>
              <w:rPr/>
            </w:pPr>
            <w:r>
              <w:rPr/>
              <w:t>​</w:t>
            </w:r>
          </w:p>
        </w:tc>
        <w:tc>
          <w:tcPr>
            <w:tcW w:w="2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as of September 30, 2026</w:t>
            </w:r>
          </w:p>
        </w:tc>
      </w:tr>
      <w:tr>
        <w:trPr/>
        <w:tc>
          <w:tcPr>
            <w:tcW w:w="16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2029 Term Loan </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5/21/2026</w:t>
            </w:r>
          </w:p>
        </w:tc>
        <w:tc>
          <w:tcPr>
            <w:tcW w:w="109"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2/2/2029</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3.36% +</w:t>
              <w:b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2,830</w:t>
            </w:r>
          </w:p>
        </w:tc>
      </w:tr>
      <w:tr>
        <w:trPr/>
        <w:tc>
          <w:tcPr>
            <w:tcW w:w="16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2031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1/29/2027</w:t>
            </w:r>
          </w:p>
        </w:tc>
        <w:tc>
          <w:tcPr>
            <w:tcW w:w="109"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2/4/2031</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3.54%+</w:t>
              <w:br/>
              <w:t>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4,240</w:t>
            </w:r>
          </w:p>
        </w:tc>
      </w:tr>
      <w:tr>
        <w:trPr/>
        <w:tc>
          <w:tcPr>
            <w:tcW w:w="16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2031 Term Loan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11/29/2024</w:t>
            </w:r>
          </w:p>
        </w:tc>
        <w:tc>
          <w:tcPr>
            <w:tcW w:w="109"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1/31/2027</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1.61% +</w:t>
              <w:b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80,000</w:t>
            </w:r>
          </w:p>
        </w:tc>
        <w:tc>
          <w:tcPr>
            <w:tcW w:w="109"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677</w:t>
            </w:r>
          </w:p>
        </w:tc>
      </w:tr>
      <w:tr>
        <w:trPr/>
        <w:tc>
          <w:tcPr>
            <w:tcW w:w="16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2031 Term Loan </w:t>
            </w: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1/31/2027</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3.84% +</w:t>
              <w:br/>
              <w:t>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09"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r>
      <w:tr>
        <w:trPr/>
        <w:tc>
          <w:tcPr>
            <w:tcW w:w="16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Revolving Facility </w:t>
            </w:r>
            <w:r>
              <w:rPr>
                <w:rFonts w:ascii="Times New Roman;Times;serif" w:hAnsi="Times New Roman;Times;serif"/>
                <w:sz w:val="14"/>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3/1/2023</w:t>
            </w:r>
          </w:p>
        </w:tc>
        <w:tc>
          <w:tcPr>
            <w:tcW w:w="109"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3/1/2028</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3.21% +</w:t>
              <w:b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900</w:t>
            </w:r>
          </w:p>
        </w:tc>
      </w:tr>
      <w:tr>
        <w:trPr/>
        <w:tc>
          <w:tcPr>
            <w:tcW w:w="16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Revolving Facility </w:t>
            </w:r>
            <w:r>
              <w:rPr>
                <w:rFonts w:ascii="Times New Roman;Times;serif" w:hAnsi="Times New Roman;Times;serif"/>
                <w:sz w:val="14"/>
              </w:rPr>
              <w:t>(6)</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4/4/2025</w:t>
            </w:r>
          </w:p>
        </w:tc>
        <w:tc>
          <w:tcPr>
            <w:tcW w:w="109"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1/1/2027</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3.43% +</w:t>
              <w:br/>
              <w:t>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54"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73</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5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2026, the Company has utilized an interest rate swap to fix SOFR and achieve a weighted average fixed interest rate of 3.36%</w:t>
            </w:r>
            <w:r>
              <w:rPr>
                <w:caps w:val="false"/>
                <w:smallCaps w:val="false"/>
              </w:rPr>
              <w:t xml:space="preserve"> </w:t>
            </w:r>
            <w:r>
              <w:rPr>
                <w:rFonts w:ascii="Times New Roman;Times;serif" w:hAnsi="Times New Roman;Times;serif"/>
                <w:b w:val="false"/>
                <w:i w:val="false"/>
                <w:caps w:val="false"/>
                <w:smallCaps w:val="false"/>
                <w:sz w:val="16"/>
              </w:rPr>
              <w:t>plus the applicable spread on the $100.0</w:t>
            </w:r>
            <w:r>
              <w:rPr>
                <w:caps w:val="false"/>
                <w:smallCaps w:val="false"/>
              </w:rPr>
              <w:t xml:space="preserve"> </w:t>
            </w:r>
            <w:r>
              <w:rPr>
                <w:rFonts w:ascii="Times New Roman;Times;serif" w:hAnsi="Times New Roman;Times;serif"/>
                <w:b w:val="false"/>
                <w:i w:val="false"/>
                <w:caps w:val="false"/>
                <w:smallCaps w:val="false"/>
                <w:sz w:val="16"/>
              </w:rPr>
              <w:t>million 2029 Term Loan balance.</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4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interest rate swap agreement hedges the $100.0</w:t>
            </w:r>
            <w:r>
              <w:rPr>
                <w:caps w:val="false"/>
                <w:smallCaps w:val="false"/>
              </w:rPr>
              <w:t xml:space="preserve"> </w:t>
            </w:r>
            <w:r>
              <w:rPr>
                <w:rFonts w:ascii="Times New Roman;Times;serif" w:hAnsi="Times New Roman;Times;serif"/>
                <w:b w:val="false"/>
                <w:i w:val="false"/>
                <w:caps w:val="false"/>
                <w:smallCaps w:val="false"/>
                <w:sz w:val="16"/>
              </w:rPr>
              <w:t>million 2031 Term Loan balance under different terms and commences on January 29, 2027</w:t>
            </w:r>
            <w:r>
              <w:rPr>
                <w:caps w:val="false"/>
                <w:smallCaps w:val="false"/>
              </w:rPr>
              <w:t xml:space="preserve"> </w:t>
            </w:r>
            <w:r>
              <w:rPr>
                <w:rFonts w:ascii="Times New Roman;Times;serif" w:hAnsi="Times New Roman;Times;serif"/>
                <w:b w:val="false"/>
                <w:i w:val="false"/>
                <w:caps w:val="false"/>
                <w:smallCaps w:val="false"/>
                <w:sz w:val="16"/>
              </w:rPr>
              <w:t>to extend the fixed interest rate through February 4, 2031.</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5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2026, the Company has utilized interest rate swaps to fix SOFR and achieve a fixed interest rate of 1.61%</w:t>
            </w:r>
            <w:r>
              <w:rPr>
                <w:caps w:val="false"/>
                <w:smallCaps w:val="false"/>
              </w:rPr>
              <w:t xml:space="preserve"> </w:t>
            </w:r>
            <w:r>
              <w:rPr>
                <w:rFonts w:ascii="Times New Roman;Times;serif" w:hAnsi="Times New Roman;Times;serif"/>
                <w:b w:val="false"/>
                <w:i w:val="false"/>
                <w:caps w:val="false"/>
                <w:smallCaps w:val="false"/>
                <w:sz w:val="16"/>
              </w:rPr>
              <w:t>plus the applicable spread on $80.0</w:t>
            </w:r>
            <w:r>
              <w:rPr>
                <w:caps w:val="false"/>
                <w:smallCaps w:val="false"/>
              </w:rPr>
              <w:t xml:space="preserve"> </w:t>
            </w:r>
            <w:r>
              <w:rPr>
                <w:rFonts w:ascii="Times New Roman;Times;serif" w:hAnsi="Times New Roman;Times;serif"/>
                <w:b w:val="false"/>
                <w:i w:val="false"/>
                <w:caps w:val="false"/>
                <w:smallCaps w:val="false"/>
                <w:sz w:val="16"/>
              </w:rPr>
              <w:t>million of the $100.0</w:t>
            </w:r>
            <w:r>
              <w:rPr>
                <w:caps w:val="false"/>
                <w:smallCaps w:val="false"/>
              </w:rPr>
              <w:t xml:space="preserve"> </w:t>
            </w:r>
            <w:r>
              <w:rPr>
                <w:rFonts w:ascii="Times New Roman;Times;serif" w:hAnsi="Times New Roman;Times;serif"/>
                <w:b w:val="false"/>
                <w:i w:val="false"/>
                <w:caps w:val="false"/>
                <w:smallCaps w:val="false"/>
                <w:sz w:val="16"/>
              </w:rPr>
              <w:t>million 2031 Term Loan balance.</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995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2026, the Company has utilized an interest rate swap to fix SOFR and achieve a fixed interest rate of 3.84%</w:t>
            </w:r>
            <w:r>
              <w:rPr>
                <w:caps w:val="false"/>
                <w:smallCaps w:val="false"/>
              </w:rPr>
              <w:t xml:space="preserve"> </w:t>
            </w:r>
            <w:r>
              <w:rPr>
                <w:rFonts w:ascii="Times New Roman;Times;serif" w:hAnsi="Times New Roman;Times;serif"/>
                <w:b w:val="false"/>
                <w:i w:val="false"/>
                <w:caps w:val="false"/>
                <w:smallCaps w:val="false"/>
                <w:sz w:val="16"/>
              </w:rPr>
              <w:t>plus the applicable spread on $20.0</w:t>
            </w:r>
            <w:r>
              <w:rPr>
                <w:caps w:val="false"/>
                <w:smallCaps w:val="false"/>
              </w:rPr>
              <w:t xml:space="preserve"> </w:t>
            </w:r>
            <w:r>
              <w:rPr>
                <w:rFonts w:ascii="Times New Roman;Times;serif" w:hAnsi="Times New Roman;Times;serif"/>
                <w:b w:val="false"/>
                <w:i w:val="false"/>
                <w:caps w:val="false"/>
                <w:smallCaps w:val="false"/>
                <w:sz w:val="16"/>
              </w:rPr>
              <w:t>million of the $100.0</w:t>
            </w:r>
            <w:r>
              <w:rPr>
                <w:caps w:val="false"/>
                <w:smallCaps w:val="false"/>
              </w:rPr>
              <w:t xml:space="preserve"> </w:t>
            </w:r>
            <w:r>
              <w:rPr>
                <w:rFonts w:ascii="Times New Roman;Times;serif" w:hAnsi="Times New Roman;Times;serif"/>
                <w:b w:val="false"/>
                <w:i w:val="false"/>
                <w:caps w:val="false"/>
                <w:smallCaps w:val="false"/>
                <w:sz w:val="16"/>
              </w:rPr>
              <w:t>million 2031 Term Loan balance.</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(5)</w:t>
            </w:r>
          </w:p>
        </w:tc>
        <w:tc>
          <w:tcPr>
            <w:tcW w:w="995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2026, the Company has utilized an interest rate swap to fix SOFR and achieve a fixed interest rate of 3.21%</w:t>
            </w:r>
            <w:r>
              <w:rPr>
                <w:caps w:val="false"/>
                <w:smallCaps w:val="false"/>
              </w:rPr>
              <w:t xml:space="preserve"> </w:t>
            </w:r>
            <w:r>
              <w:rPr>
                <w:rFonts w:ascii="Times New Roman;Times;serif" w:hAnsi="Times New Roman;Times;serif"/>
                <w:b w:val="false"/>
                <w:i w:val="false"/>
                <w:caps w:val="false"/>
                <w:smallCaps w:val="false"/>
                <w:sz w:val="16"/>
              </w:rPr>
              <w:t>plus the applicable spread on $50.0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Revolving Facility.</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(6)</w:t>
            </w:r>
          </w:p>
        </w:tc>
        <w:tc>
          <w:tcPr>
            <w:tcW w:w="995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2026, the Company has utilized an interest rate swap to fix SOFR and achieve a fixed interest rate of 3.43%</w:t>
            </w:r>
            <w:r>
              <w:rPr>
                <w:caps w:val="false"/>
                <w:smallCaps w:val="false"/>
              </w:rPr>
              <w:t xml:space="preserve"> </w:t>
            </w:r>
            <w:r>
              <w:rPr>
                <w:rFonts w:ascii="Times New Roman;Times;serif" w:hAnsi="Times New Roman;Times;serif"/>
                <w:b w:val="false"/>
                <w:i w:val="false"/>
                <w:caps w:val="false"/>
                <w:smallCaps w:val="false"/>
                <w:sz w:val="16"/>
              </w:rPr>
              <w:t>plus the applicable spread on $50.0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Revolving Facility.</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September 30, 2026 and December 31, 2025, there were no events of default related to the Company's interest rate swap agreements.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lineRule="auto" w:line="273" w:before="0" w:after="200"/>
        <w:ind w:left="0" w:right="0" w:hanging="0"/>
        <w:jc w:val="left"/>
        <w:rPr>
          <w:rFonts w:ascii="Times New Roman;Times;serif" w:hAnsi="Times New Roman;Times;serif"/>
          <w:b/>
          <w:sz w:val="20"/>
        </w:rPr>
      </w:pPr>
      <w:r>
        <w:rPr>
          <w:rFonts w:ascii="Times New Roman;Times;serif" w:hAnsi="Times New Roman;Times;serif"/>
          <w:b/>
          <w:sz w:val="20"/>
        </w:rPr>
        <w:t>NOTE 15. EQUITY</w:t>
      </w:r>
    </w:p>
    <w:p>
      <w:pPr>
        <w:pStyle w:val="TextBody"/>
        <w:bidi w:val="0"/>
        <w:spacing w:lineRule="auto" w:line="273" w:before="0" w:after="200"/>
        <w:ind w:left="0" w:right="0" w:hanging="0"/>
        <w:jc w:val="both"/>
        <w:rPr>
          <w:rFonts w:ascii="Times New Roman;Times;serif" w:hAnsi="Times New Roman;Times;serif"/>
          <w:i/>
          <w:sz w:val="20"/>
        </w:rPr>
      </w:pPr>
      <w:r>
        <w:rPr>
          <w:rFonts w:ascii="Times New Roman;Times;serif" w:hAnsi="Times New Roman;Times;serif"/>
          <w:i/>
          <w:sz w:val="20"/>
        </w:rPr>
        <w:t>SHELF REGISTRATION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September 27, 2023, the Company filed a shelf registration statement on Form S-3, relating to the registration and potential issuance of common stock, preferred stock, debt securities, warrants, rights, and units with a maximum aggregate offering price of up to $350.0 million (the “2023 Registration Statement”). The Securities and Exchange Commission declared the 2023 Registration Statement effective on September 29, 2023.</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September 24, 2026, the Company filed a shelf registration statement on Form S-3, relating to the registration and potential issuance of common stock, preferred stock, debt securities, warrants, rights, and units with a maximum aggregate offering price of up to $400.0 million (the “2026 Registration Statement”). The Securities and Exchange Commission declared the 2026 Registration Statement effective on October 15, 2026. The offering of unsold securities under the 2023 Registration Statement was deemed terminated as of the date of effectiveness of the 2026 Registration Statement.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3" w:before="0" w:after="200"/>
        <w:ind w:left="0" w:right="0" w:hanging="0"/>
        <w:jc w:val="both"/>
        <w:rPr>
          <w:rFonts w:ascii="Times New Roman;Times;serif" w:hAnsi="Times New Roman;Times;serif"/>
          <w:i/>
          <w:sz w:val="20"/>
        </w:rPr>
      </w:pPr>
      <w:r>
        <w:rPr>
          <w:rFonts w:ascii="Times New Roman;Times;serif" w:hAnsi="Times New Roman;Times;serif"/>
          <w:i/>
          <w:sz w:val="20"/>
        </w:rPr>
        <w:t>COMMON STOCK ATM PROGRAM</w:t>
      </w:r>
    </w:p>
    <w:p>
      <w:pPr>
        <w:pStyle w:val="TextBody"/>
        <w:bidi w:val="0"/>
        <w:spacing w:lineRule="auto" w:line="273" w:before="0" w:after="200"/>
        <w:ind w:left="0" w:right="0" w:firstLine="360"/>
        <w:jc w:val="both"/>
        <w:rPr>
          <w:rFonts w:ascii="Times New Roman;Times;serif" w:hAnsi="Times New Roman;Times;serif"/>
          <w:sz w:val="20"/>
        </w:rPr>
      </w:pPr>
      <w:r>
        <w:rPr>
          <w:rFonts w:ascii="Times New Roman;Times;serif" w:hAnsi="Times New Roman;Times;serif"/>
          <w:sz w:val="20"/>
        </w:rPr>
        <w:t>The Company has established an “at-the-market” equity offering program pursuant to which the Company may sell, from time to time, shares of the Company’s common stock (the “Common Stock ATM Program”).</w:t>
      </w:r>
    </w:p>
    <w:p>
      <w:pPr>
        <w:pStyle w:val="TextBody"/>
        <w:bidi w:val="0"/>
        <w:spacing w:lineRule="auto" w:line="273" w:before="0" w:after="200"/>
        <w:ind w:left="0" w:right="0" w:firstLine="360"/>
        <w:jc w:val="both"/>
        <w:rPr>
          <w:rFonts w:ascii="Times New Roman;Times;serif" w:hAnsi="Times New Roman;Times;serif"/>
          <w:sz w:val="20"/>
        </w:rPr>
      </w:pPr>
      <w:r>
        <w:rPr>
          <w:rFonts w:ascii="Times New Roman;Times;serif" w:hAnsi="Times New Roman;Times;serif"/>
          <w:sz w:val="20"/>
        </w:rPr>
        <w:t>During the three months ended September 30, 2026, the Company sold 335,457 shares under the Common Stock ATM Program for gross proceeds of $6.7 million at a weighted average price of $20.01 per share, generating net proceeds of $6.6 million after deducting transaction fees totaling $0.1 million. The Company was not active under the Common Stock ATM Program during the three months ended September 30, 2025.</w:t>
      </w:r>
    </w:p>
    <w:p>
      <w:pPr>
        <w:pStyle w:val="TextBody"/>
        <w:bidi w:val="0"/>
        <w:spacing w:lineRule="auto" w:line="273" w:before="0" w:after="200"/>
        <w:ind w:left="0" w:right="0" w:firstLine="360"/>
        <w:jc w:val="both"/>
        <w:rPr>
          <w:rFonts w:ascii="Times New Roman;Times;serif" w:hAnsi="Times New Roman;Times;serif"/>
          <w:sz w:val="20"/>
        </w:rPr>
      </w:pPr>
      <w:r>
        <w:rPr>
          <w:rFonts w:ascii="Times New Roman;Times;serif" w:hAnsi="Times New Roman;Times;serif"/>
          <w:sz w:val="20"/>
        </w:rPr>
        <w:t>During the nine months ended September 30, 2026, the Company sold 3,136,532 shares under the Common Stock ATM Program for gross proceeds of $60.8 million at a weighted average price of $19.38 per share, generating net proceeds of $59.9 million after deducting transaction fees totaling $0.9 million. The Company was not active under the Common Stock ATM Program during the nine months ended September 30, 2025.</w:t>
      </w:r>
    </w:p>
    <w:p>
      <w:pPr>
        <w:pStyle w:val="TextBody"/>
        <w:bidi w:val="0"/>
        <w:spacing w:lineRule="auto" w:line="273" w:before="0" w:after="200"/>
        <w:ind w:left="0" w:right="0" w:firstLine="360"/>
        <w:jc w:val="both"/>
        <w:rPr>
          <w:rFonts w:ascii="Times New Roman;Times;serif" w:hAnsi="Times New Roman;Times;serif"/>
          <w:sz w:val="20"/>
        </w:rPr>
      </w:pPr>
      <w:r>
        <w:rPr>
          <w:rFonts w:ascii="Times New Roman;Times;serif" w:hAnsi="Times New Roman;Times;serif"/>
          <w:sz w:val="20"/>
        </w:rPr>
        <w:t>The Company may also enter into forward sale agreements under its Common Stock ATM Program. The above activity included forward sales during the nine months ended September 30, 2026, all of which were settled as of September 30, 2026.</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PREFERRED STOCK</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November 5, 2025, the Company priced a public offering of 2,000,000 shares of the Company’s 8.00% Series A Cumulative Redeemable Preferred Stock (the “Series A Preferred Stock”) at a public offering price of $25.00 per share. The offering closed on November 12, 2025, and the Company received gross proceeds of $50.0 million before deducting the underwriting discount and expenses, with net proceeds totaling $48.1 million.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December 5, 2025, the Company implemented a $35.0 million “at-the-market” preferred stock equity offering program (the “2025 Preferred Stock ATM Program”) pursuant to which the Company may sell, from time to time, shares of the Company’s Series A Preferred Stock. During the three months ended September 30, 2026, the Company sold 63,879 shares under the 2025 Preferred Stock ATM Program for gross proceeds of $1.6 million at a weighted average price of $25.22 per share, generating net proceeds of $1.6 million after deducting transaction fees totaling less than $0.1 million. During the nine months ended September 30, 2026, the Company sold 406,419 shares under the 2025 Preferred Stock ATM Program for gross proceeds of $10.2 million at a weighted average price of $25.18 per share, generating net proceeds of $10.0 million after deducting transaction fees totaling $0.2 million. During the year ended December 31, 2025, the Company sold 83,328 shares under the 2025 Preferred Stock ATM Program for gross proceeds of $2.1 million at a weighted average price of $24.96 per share, generating net proceeds of $2.0 million after deducting transaction fees totaling less than $0.1 million. As of September 30, 2026, $22.7 million of availability remained under the 2025 Preferred Stock ATM Program.</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Series A Preferred Stock ranks senior to the Company’s common stock with respect to dividend rights and rights upon liquidation, dissolution or winding up of the Company. The Series A Preferred Stock has no maturity date and will remain outstanding unless redeemed. The Series A Preferred Stock is not redeemable by the Company prior to November 12, 2030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preferred stock shares may convert some or all of their Series A Preferred Stock into shares of the Company’s common stock at conversion rates set forth in the Articles Supplementary.</w:t>
      </w:r>
    </w:p>
    <w:p>
      <w:pPr>
        <w:pStyle w:val="TextBody"/>
        <w:bidi w:val="0"/>
        <w:spacing w:lineRule="auto" w:line="271" w:before="0" w:after="200"/>
        <w:ind w:left="0" w:right="0" w:hanging="0"/>
        <w:jc w:val="both"/>
        <w:rPr>
          <w:rFonts w:ascii="Times New Roman;Times;serif" w:hAnsi="Times New Roman;Times;serif"/>
          <w:i/>
          <w:sz w:val="20"/>
        </w:rPr>
      </w:pPr>
      <w:r>
        <w:rPr>
          <w:rFonts w:ascii="Times New Roman;Times;serif" w:hAnsi="Times New Roman;Times;serif"/>
          <w:i/>
          <w:sz w:val="20"/>
        </w:rPr>
        <w:t>NONCONTROLLING INTEREST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of September 30, 2026, CTO holds, directly and indirectly, a 6.4% noncontrolling ownership interest in the Operating Partnership as a result of 1,223,854 OP Units issued to CTO and its wholly owned subsidiaries at the time of the Company’s IPO.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bookmarkStart w:id="1481" w:name="Tc_61x44K3SfUGjftzT3uym3A_9_11"/>
      <w:bookmarkStart w:id="1482" w:name="Tc_kQRNczdWJ0K8f9_5yJAqkw_9_8"/>
      <w:bookmarkStart w:id="1483" w:name="Tc_j87JCufiwUCOiShsBCiyFw_9_5"/>
      <w:bookmarkStart w:id="1484" w:name="Tc_9ZrZQqEP50K-cL3bYVBT4A_9_2"/>
      <w:bookmarkStart w:id="1485" w:name="Tc_qle61yp0Sk6jqXi5ReCJ2g_9_0"/>
      <w:bookmarkStart w:id="1486" w:name="Tc_82A64JoNO0mvRAZvLHzLAg_8_11"/>
      <w:bookmarkStart w:id="1487" w:name="Tc_MVGjeoKcoEiNan8AzFRUEg_8_8"/>
      <w:bookmarkStart w:id="1488" w:name="Tc_o9I_ZLE7402X3b8YzyOvIA_8_5"/>
      <w:bookmarkStart w:id="1489" w:name="Tc_vz5PPaP6Ek2Hg2_N1lpauQ_8_2"/>
      <w:bookmarkStart w:id="1490" w:name="Tc_Q-spajRUokmTdxSapcjtaA_8_0"/>
      <w:bookmarkStart w:id="1491" w:name="Tc_lp2zPNgge0mobsOq70_yqw_7_0"/>
      <w:bookmarkStart w:id="1492" w:name="Tc_-ZFh1nXHdEaXGl10N0ZHMg_5_12"/>
      <w:bookmarkStart w:id="1493" w:name="Tc_BABcZDKeTU2D0dv0lpS74A_5_11"/>
      <w:bookmarkStart w:id="1494" w:name="Tc_Iv8hK0pbJE2iGqsYxpXeig_5_8"/>
      <w:bookmarkStart w:id="1495" w:name="Tc_tUvW3ysTdE6wi88Uj4kRkA_5_6"/>
      <w:bookmarkStart w:id="1496" w:name="Tc_rvIjx5T_ukO1OSW88yQMjQ_5_5"/>
      <w:bookmarkStart w:id="1497" w:name="Tc_b_gqdUQIEEa8nWffqJK_LQ_5_2"/>
      <w:bookmarkStart w:id="1498" w:name="Tc_TkwBumrTYUyY5G3HGGjQ-w_5_0"/>
      <w:bookmarkStart w:id="1499" w:name="Tc_PiuzI5Pc1ECRykOO80lQ8w_4_12"/>
      <w:bookmarkStart w:id="1500" w:name="Tc_t1kgp74VyEaddH1UZbc8YQ_4_11"/>
      <w:bookmarkStart w:id="1501" w:name="Tc_1NgyPfZpK0C-mIEfrnRCMA_4_8"/>
      <w:bookmarkStart w:id="1502" w:name="Tc_KZerv40GH0ehAculv7RAMA_4_6"/>
      <w:bookmarkStart w:id="1503" w:name="Tc_g0aIdFeSJEWCq1HGhR6Njw_4_5"/>
      <w:bookmarkStart w:id="1504" w:name="Tc_6kaBSD5RHUSeFeQsy6NG0w_4_2"/>
      <w:bookmarkStart w:id="1505" w:name="Tc_6tN7NJpilEimnhXgy4dsWA_4_0"/>
      <w:bookmarkStart w:id="1506" w:name="Tc_pbMt-jzN6E2xeVLp0HZt7g_3_0"/>
      <w:bookmarkStart w:id="1507" w:name="Tc_l8DG9mqawUGAhZwP-tG_gg_2_11"/>
      <w:bookmarkStart w:id="1508" w:name="Tc_g_PdshIMBEKFhaGx7980pg_2_8"/>
      <w:bookmarkStart w:id="1509" w:name="Tc_byj7C0ILDEuAWdXGf6O9gg_2_5"/>
      <w:bookmarkStart w:id="1510" w:name="Tc_F8JUe2vLPE66F7qtHA7Y1Q_2_2"/>
      <w:bookmarkStart w:id="1511" w:name="Tc_EX2CRqz7P02t70GbmKYe2g_1_8"/>
      <w:bookmarkStart w:id="1512" w:name="Tc_DKTb2Bn-YEu-xtVcjJpScg_1_2"/>
      <w:bookmarkStart w:id="1513" w:name="_4da0e531_abda_42e0_9cf1_c4299c26fac0"/>
      <w:bookmarkStart w:id="1514" w:name="_8b9405de_7719_40e0_a336_3b9ab9597f0d"/>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r>
        <w:rPr>
          <w:rFonts w:ascii="Times New Roman;Times;serif" w:hAnsi="Times New Roman;Times;serif"/>
          <w:i/>
          <w:sz w:val="20"/>
        </w:rPr>
        <w:t>DIVIDENDS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corporate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table outlines dividends declared and paid for the Series A Preferred Stock and the Company’s common stock during the three and the nine months ended September 30, 2026 and 2025 (in thousands, except per share data):</w:t>
      </w:r>
    </w:p>
    <w:p>
      <w:pPr>
        <w:pStyle w:val="TextBody"/>
        <w:bidi w:val="0"/>
        <w:spacing w:before="0" w:after="0"/>
        <w:ind w:left="0" w:right="0" w:hanging="0"/>
        <w:jc w:val="left"/>
        <w:rPr/>
      </w:pPr>
      <w:r>
        <w:rPr/>
        <w:t>​</w:t>
      </w:r>
    </w:p>
    <w:tbl>
      <w:tblPr>
        <w:tblW w:w="9630" w:type="dxa"/>
        <w:jc w:val="left"/>
        <w:tblInd w:w="0" w:type="dxa"/>
        <w:tblLayout w:type="fixed"/>
        <w:tblCellMar>
          <w:top w:w="0" w:type="dxa"/>
          <w:left w:w="0" w:type="dxa"/>
          <w:bottom w:w="0" w:type="dxa"/>
          <w:right w:w="0" w:type="dxa"/>
        </w:tblCellMar>
      </w:tblPr>
      <w:tblGrid>
        <w:gridCol w:w="2056"/>
        <w:gridCol w:w="109"/>
        <w:gridCol w:w="477"/>
        <w:gridCol w:w="1293"/>
        <w:gridCol w:w="122"/>
        <w:gridCol w:w="477"/>
        <w:gridCol w:w="1293"/>
        <w:gridCol w:w="109"/>
        <w:gridCol w:w="420"/>
        <w:gridCol w:w="1350"/>
        <w:gridCol w:w="109"/>
        <w:gridCol w:w="409"/>
        <w:gridCol w:w="1406"/>
      </w:tblGrid>
      <w:tr>
        <w:trPr/>
        <w:tc>
          <w:tcPr>
            <w:tcW w:w="20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293"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2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36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center"/>
              <w:rPr/>
            </w:pPr>
            <w:r>
              <w:rPr/>
              <w:t>​</w:t>
            </w:r>
          </w:p>
        </w:tc>
        <w:tc>
          <w:tcPr>
            <w:tcW w:w="36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20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22"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0"/>
              <w:ind w:left="0" w:right="0" w:hanging="0"/>
              <w:jc w:val="left"/>
              <w:rPr/>
            </w:pPr>
            <w:r>
              <w:rPr/>
              <w:t>​</w:t>
            </w:r>
          </w:p>
        </w:tc>
        <w:tc>
          <w:tcPr>
            <w:tcW w:w="1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 Preferred Stock</w:t>
            </w:r>
          </w:p>
        </w:tc>
        <w:tc>
          <w:tcPr>
            <w:tcW w:w="109"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1293" w:type="dxa"/>
            <w:tcBorders/>
            <w:shd w:fill="CCEEFF" w:val="clear"/>
            <w:vAlign w:val="center"/>
          </w:tcPr>
          <w:p>
            <w:pPr>
              <w:pStyle w:val="TableContents"/>
              <w:bidi w:val="0"/>
              <w:spacing w:before="0" w:after="0"/>
              <w:ind w:left="0" w:right="0" w:hanging="0"/>
              <w:jc w:val="right"/>
              <w:rPr/>
            </w:pPr>
            <w:r>
              <w:rPr/>
              <w:t>​</w:t>
            </w:r>
          </w:p>
        </w:tc>
        <w:tc>
          <w:tcPr>
            <w:tcW w:w="122"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12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w:t>
            </w:r>
          </w:p>
        </w:tc>
        <w:tc>
          <w:tcPr>
            <w:tcW w:w="109"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c>
          <w:tcPr>
            <w:tcW w:w="122"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vAlign w:val="center"/>
          </w:tcPr>
          <w:p>
            <w:pPr>
              <w:pStyle w:val="TableContents"/>
              <w:bidi w:val="0"/>
              <w:spacing w:before="0" w:after="0"/>
              <w:ind w:left="0" w:right="0" w:hanging="0"/>
              <w:jc w:val="right"/>
              <w:rPr/>
            </w:pPr>
            <w:r>
              <w:rPr/>
              <w:t>—</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0.500</w:t>
            </w:r>
          </w:p>
        </w:tc>
        <w:tc>
          <w:tcPr>
            <w:tcW w:w="122"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shd w:fill="CCEEFF" w:val="clear"/>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293"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2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pPr>
            <w:r>
              <w:rPr/>
              <w:t>​</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1293" w:type="dxa"/>
            <w:tcBorders/>
            <w:shd w:fill="CCEEFF" w:val="clear"/>
            <w:vAlign w:val="center"/>
          </w:tcPr>
          <w:p>
            <w:pPr>
              <w:pStyle w:val="TableContents"/>
              <w:bidi w:val="0"/>
              <w:spacing w:before="0" w:after="0"/>
              <w:ind w:left="0" w:right="0" w:hanging="0"/>
              <w:jc w:val="right"/>
              <w:rPr/>
            </w:pPr>
            <w:r>
              <w:rPr/>
              <w:t>​</w:t>
            </w:r>
          </w:p>
        </w:tc>
        <w:tc>
          <w:tcPr>
            <w:tcW w:w="122"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12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w:t>
            </w:r>
          </w:p>
        </w:tc>
        <w:tc>
          <w:tcPr>
            <w:tcW w:w="109"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6,128</w:t>
            </w:r>
          </w:p>
        </w:tc>
        <w:tc>
          <w:tcPr>
            <w:tcW w:w="122"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4,385</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17,049</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13,261</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0.320</w:t>
            </w:r>
          </w:p>
        </w:tc>
        <w:tc>
          <w:tcPr>
            <w:tcW w:w="122"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0.285</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0.920</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0.855</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lineRule="auto" w:line="271" w:before="0" w:after="200"/>
        <w:ind w:left="0" w:right="0" w:hanging="0"/>
        <w:jc w:val="left"/>
        <w:rPr>
          <w:rFonts w:ascii="Times New Roman;Times;serif" w:hAnsi="Times New Roman;Times;serif"/>
          <w:b/>
          <w:sz w:val="20"/>
        </w:rPr>
      </w:pPr>
      <w:bookmarkStart w:id="1515" w:name="Tc_foEAZbvNKU6Q0lWRrGZjvg_12_11"/>
      <w:bookmarkStart w:id="1516" w:name="Tc_Ud3U0hUXSkqmaW9VCtV3pQ_12_8"/>
      <w:bookmarkStart w:id="1517" w:name="Tc_nyOCDsT87Uq9TrPoa3pEpA_12_5"/>
      <w:bookmarkStart w:id="1518" w:name="Tc_JbfeFDqNo0W9VyEqONGlNg_12_2"/>
      <w:bookmarkStart w:id="1519" w:name="Tc_bxKxNfk1ZUqdoja8j-patg_12_0"/>
      <w:bookmarkStart w:id="1520" w:name="Tc_0jWuTxdWSUi-DmNYT2dUKw_11_11"/>
      <w:bookmarkStart w:id="1521" w:name="Tc_o5yJ0A4COE2r09iXuEfBBg_11_8"/>
      <w:bookmarkStart w:id="1522" w:name="Tc_zokRqmW3T06lV2daa4QBzQ_11_5"/>
      <w:bookmarkStart w:id="1523" w:name="Tc_WwIxVjzoXUu7XsvXkzCJWw_11_2"/>
      <w:bookmarkStart w:id="1524" w:name="Tc_UBdd9W8cKEay2zbF21wY3A_11_0"/>
      <w:bookmarkStart w:id="1525" w:name="Tc_Zsp5cs6qeE2vUcfuFxVCzA_10_0"/>
      <w:bookmarkStart w:id="1526" w:name="Tc_WBDwBeNTWkGJWP5zMk4FVw_9_0"/>
      <w:bookmarkStart w:id="1527" w:name="Tc_kcWueFQbbUKqx2PRZGe8Zw_7_0"/>
      <w:bookmarkStart w:id="1528" w:name="Tc_yf3cBhX1Fk6xImRq9h6sBw_6_0"/>
      <w:bookmarkStart w:id="1529" w:name="Tc_HLpAVzou40a9YmBkfZ60Pw_5_0"/>
      <w:bookmarkStart w:id="1530" w:name="Tc_6T9V8Needk6a4_Lox32KUA_3_11"/>
      <w:bookmarkStart w:id="1531" w:name="Tc_hBzlZtTPmEKKdw8Y8jtLrA_3_8"/>
      <w:bookmarkStart w:id="1532" w:name="Tc_EBd_tSTkeUqWC-xiDV2a1A_3_5"/>
      <w:bookmarkStart w:id="1533" w:name="Tc_sQmIjOAE3ESCwgSYmIiBLw_3_2"/>
      <w:bookmarkStart w:id="1534" w:name="Tc_iCP18uiWJEWfQNNXwnCA2A_3_0"/>
      <w:bookmarkStart w:id="1535" w:name="Tc_h8xbnJlRb0-fgqxTxn-lXQ_2_11"/>
      <w:bookmarkStart w:id="1536" w:name="Tc_DiwPkT7Fp0CyGpalEZ4p3g_2_8"/>
      <w:bookmarkStart w:id="1537" w:name="Tc_x3wvPdgvnUufQ7EAU7GmXA_2_5"/>
      <w:bookmarkStart w:id="1538" w:name="Tc__hlKmMKeOUu7UpKhUOxTLQ_2_2"/>
      <w:bookmarkStart w:id="1539" w:name="Tc_4gi_sEnTtUKA2jpnxZrSvA_1_8"/>
      <w:bookmarkStart w:id="1540" w:name="Tc_3VeYTvwymkGIIcqw0TqPUA_1_2"/>
      <w:bookmarkStart w:id="1541" w:name="_0626e53b_9dc9_43c0_bcdf_e18fd575388d"/>
      <w:bookmarkStart w:id="1542" w:name="_05de662d_cd7c_4f5e_a1ec_d168be590536"/>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r>
        <w:rPr>
          <w:rFonts w:ascii="Times New Roman;Times;serif" w:hAnsi="Times New Roman;Times;serif"/>
          <w:b/>
          <w:sz w:val="20"/>
        </w:rPr>
        <w:t>NOTE 16. COMMON STOCK AND EARNINGS PER SHARE</w:t>
      </w:r>
    </w:p>
    <w:p>
      <w:pPr>
        <w:pStyle w:val="TextBody"/>
        <w:bidi w:val="0"/>
        <w:spacing w:lineRule="auto" w:line="271" w:before="0" w:after="200"/>
        <w:ind w:left="0" w:right="0" w:firstLine="360"/>
        <w:jc w:val="both"/>
        <w:rPr>
          <w:rFonts w:ascii="Times New Roman;Times;serif" w:hAnsi="Times New Roman;Times;serif"/>
          <w:sz w:val="20"/>
        </w:rPr>
      </w:pPr>
      <w:r>
        <w:rPr>
          <w:rFonts w:ascii="Times New Roman;Times;serif" w:hAnsi="Times New Roman;Times;serif"/>
          <w:sz w:val="20"/>
        </w:rPr>
        <w:t>Basic earnings per common share is computed by dividing net income (loss) attributable to the Company for the period by the weighted average number of shares of common stock outstanding for the period. Diluted earnings per common share is determined based on the assumption that the OP Units are redeemed for shares of our common stock on a one-for-one basis.</w:t>
      </w:r>
    </w:p>
    <w:p>
      <w:pPr>
        <w:pStyle w:val="TextBody"/>
        <w:bidi w:val="0"/>
        <w:spacing w:lineRule="auto" w:line="271" w:before="0" w:after="20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following is a reconciliation of basic and diluted earnings per common share (in thousands, except share and per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27"/>
        <w:gridCol w:w="109"/>
        <w:gridCol w:w="248"/>
        <w:gridCol w:w="1225"/>
        <w:gridCol w:w="109"/>
        <w:gridCol w:w="248"/>
        <w:gridCol w:w="1225"/>
        <w:gridCol w:w="109"/>
        <w:gridCol w:w="248"/>
        <w:gridCol w:w="1225"/>
        <w:gridCol w:w="109"/>
        <w:gridCol w:w="247"/>
        <w:gridCol w:w="1276"/>
      </w:tblGrid>
      <w:tr>
        <w:trPr/>
        <w:tc>
          <w:tcPr>
            <w:tcW w:w="38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326" name="Frame3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57480" cy="175260"/>
                      <wp:effectExtent l="0" t="0" r="0" b="0"/>
                      <wp:wrapNone/>
                      <wp:docPr id="327" name="Frame32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777875" cy="175260"/>
                      <wp:effectExtent l="0" t="0" r="0" b="0"/>
                      <wp:wrapNone/>
                      <wp:docPr id="328" name="Frame328"/>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329" name="Frame3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57480" cy="175260"/>
                      <wp:effectExtent l="0" t="0" r="0" b="0"/>
                      <wp:wrapNone/>
                      <wp:docPr id="330" name="Frame330"/>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777875" cy="175260"/>
                      <wp:effectExtent l="0" t="0" r="0" b="0"/>
                      <wp:wrapNone/>
                      <wp:docPr id="331" name="Frame331"/>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215" cy="175260"/>
                      <wp:effectExtent l="0" t="0" r="0" b="0"/>
                      <wp:wrapNone/>
                      <wp:docPr id="332" name="Frame3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57480" cy="175260"/>
                      <wp:effectExtent l="0" t="0" r="0" b="0"/>
                      <wp:wrapNone/>
                      <wp:docPr id="333" name="Frame333"/>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777875" cy="175260"/>
                      <wp:effectExtent l="0" t="0" r="0" b="0"/>
                      <wp:wrapNone/>
                      <wp:docPr id="334" name="Frame334"/>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9215" cy="175260"/>
                      <wp:effectExtent l="0" t="0" r="0" b="0"/>
                      <wp:wrapNone/>
                      <wp:docPr id="335" name="Frame3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56845" cy="175260"/>
                      <wp:effectExtent l="0" t="0" r="0" b="0"/>
                      <wp:wrapNone/>
                      <wp:docPr id="336" name="Frame33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810260" cy="175260"/>
                      <wp:effectExtent l="0" t="0" r="0" b="0"/>
                      <wp:wrapNone/>
                      <wp:docPr id="337" name="Frame337"/>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7"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30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center"/>
              <w:rPr/>
            </w:pPr>
            <w:r>
              <w:rPr/>
              <w:t>​</w:t>
            </w:r>
          </w:p>
        </w:tc>
        <w:tc>
          <w:tcPr>
            <w:tcW w:w="31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8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4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0"/>
              <w:ind w:left="0" w:right="0" w:hanging="0"/>
              <w:jc w:val="left"/>
              <w:rPr/>
            </w:pPr>
            <w:r>
              <w:rPr/>
              <w:t>​</w:t>
            </w:r>
          </w:p>
        </w:tc>
        <w:tc>
          <w:tcPr>
            <w:tcW w:w="14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center"/>
              <w:rPr/>
            </w:pPr>
            <w:r>
              <w:rPr/>
              <w:t>​</w:t>
            </w:r>
          </w:p>
        </w:tc>
        <w:tc>
          <w:tcPr>
            <w:tcW w:w="14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0"/>
              <w:ind w:left="0" w:right="0" w:hanging="0"/>
              <w:jc w:val="left"/>
              <w:rPr/>
            </w:pPr>
            <w:r>
              <w:rPr/>
              <w:t>​</w:t>
            </w:r>
          </w:p>
        </w:tc>
        <w:tc>
          <w:tcPr>
            <w:tcW w:w="15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r>
      <w:tr>
        <w:trPr/>
        <w:tc>
          <w:tcPr>
            <w:tcW w:w="3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109" w:type="dxa"/>
            <w:tcBorders/>
            <w:shd w:fill="CCEEFF" w:val="clear"/>
            <w:vAlign w:val="center"/>
          </w:tcPr>
          <w:p>
            <w:pPr>
              <w:pStyle w:val="TableContents"/>
              <w:bidi w:val="0"/>
              <w:spacing w:before="0" w:after="0"/>
              <w:ind w:left="0" w:right="0" w:hanging="0"/>
              <w:jc w:val="righ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7,510</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w:t>
            </w:r>
          </w:p>
        </w:tc>
      </w:tr>
      <w:tr>
        <w:trPr/>
        <w:tc>
          <w:tcPr>
            <w:tcW w:w="38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8"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pPr>
            <w:r>
              <w:rPr/>
              <w:t>​</w:t>
            </w:r>
          </w:p>
        </w:tc>
      </w:tr>
      <w:tr>
        <w:trPr/>
        <w:tc>
          <w:tcPr>
            <w:tcW w:w="3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17,694,160</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14,158,190</w:t>
            </w:r>
          </w:p>
        </w:tc>
        <w:tc>
          <w:tcPr>
            <w:tcW w:w="109" w:type="dxa"/>
            <w:tcBorders/>
            <w:shd w:fill="CCEEFF" w:val="clear"/>
            <w:vAlign w:val="center"/>
          </w:tcPr>
          <w:p>
            <w:pPr>
              <w:pStyle w:val="TableContents"/>
              <w:bidi w:val="0"/>
              <w:spacing w:before="0" w:after="0"/>
              <w:ind w:left="0" w:right="0" w:hanging="0"/>
              <w:jc w:val="righ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16,776,481</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14,328,245</w:t>
            </w:r>
          </w:p>
        </w:tc>
      </w:tr>
      <w:tr>
        <w:trPr/>
        <w:tc>
          <w:tcPr>
            <w:tcW w:w="382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Number of Common Shares Applicable to OP Units using Treasury Stock Method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1,223,854</w:t>
            </w:r>
          </w:p>
        </w:tc>
        <w:tc>
          <w:tcPr>
            <w:tcW w:w="109"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1,223,854</w:t>
            </w:r>
          </w:p>
        </w:tc>
        <w:tc>
          <w:tcPr>
            <w:tcW w:w="109" w:type="dxa"/>
            <w:tcBorders/>
            <w:vAlign w:val="center"/>
          </w:tcPr>
          <w:p>
            <w:pPr>
              <w:pStyle w:val="TableContents"/>
              <w:bidi w:val="0"/>
              <w:spacing w:before="0" w:after="0"/>
              <w:ind w:left="0" w:right="0" w:hanging="0"/>
              <w:jc w:val="righ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1,223,854</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1,223,854</w:t>
            </w:r>
          </w:p>
        </w:tc>
      </w:tr>
      <w:tr>
        <w:trPr/>
        <w:tc>
          <w:tcPr>
            <w:tcW w:w="3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Shares Applicable to Diluted Earnings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18,918,014</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15,382,044</w:t>
            </w:r>
          </w:p>
        </w:tc>
        <w:tc>
          <w:tcPr>
            <w:tcW w:w="109" w:type="dxa"/>
            <w:tcBorders/>
            <w:shd w:fill="CCEEFF" w:val="clear"/>
            <w:vAlign w:val="center"/>
          </w:tcPr>
          <w:p>
            <w:pPr>
              <w:pStyle w:val="TableContents"/>
              <w:bidi w:val="0"/>
              <w:spacing w:before="0" w:after="0"/>
              <w:ind w:left="0" w:right="0" w:hanging="0"/>
              <w:jc w:val="righ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18,000,335</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15,552,099</w:t>
            </w:r>
          </w:p>
        </w:tc>
      </w:tr>
      <w:tr>
        <w:trPr/>
        <w:tc>
          <w:tcPr>
            <w:tcW w:w="38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8"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pPr>
            <w:r>
              <w:rPr/>
              <w:t>​</w:t>
            </w:r>
          </w:p>
        </w:tc>
      </w:tr>
      <w:tr>
        <w:trPr/>
        <w:tc>
          <w:tcPr>
            <w:tcW w:w="38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pPr>
            <w:r>
              <w:rPr/>
              <w:t>​</w:t>
            </w:r>
          </w:p>
        </w:tc>
      </w:tr>
      <w:tr>
        <w:trPr/>
        <w:tc>
          <w:tcPr>
            <w:tcW w:w="3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8"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pPr>
            <w:r>
              <w:rPr/>
              <w:t>​</w:t>
            </w:r>
          </w:p>
        </w:tc>
      </w:tr>
      <w:tr>
        <w:trPr/>
        <w:tc>
          <w:tcPr>
            <w:tcW w:w="3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109" w:type="dxa"/>
            <w:tcBorders/>
            <w:shd w:fill="CCEEFF" w:val="clear"/>
            <w:vAlign w:val="center"/>
          </w:tcPr>
          <w:p>
            <w:pPr>
              <w:pStyle w:val="TableContents"/>
              <w:bidi w:val="0"/>
              <w:spacing w:before="0" w:after="0"/>
              <w:ind w:left="0" w:right="0" w:hanging="0"/>
              <w:jc w:val="righ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r>
      <w:tr>
        <w:trPr/>
        <w:tc>
          <w:tcPr>
            <w:tcW w:w="3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109" w:type="dxa"/>
            <w:tcBorders/>
            <w:vAlign w:val="center"/>
          </w:tcPr>
          <w:p>
            <w:pPr>
              <w:pStyle w:val="TableContents"/>
              <w:bidi w:val="0"/>
              <w:spacing w:before="0" w:after="0"/>
              <w:ind w:left="0" w:right="0" w:hanging="0"/>
              <w:jc w:val="righ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0.42</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OP Units issued to CTO and its subsidiaries in connection with our formation transactions (See Note 19, “Related Party Management Company”).</w:t>
            </w:r>
          </w:p>
        </w:tc>
      </w:tr>
    </w:tbl>
    <w:p>
      <w:pPr>
        <w:pStyle w:val="TextBody"/>
        <w:bidi w:val="0"/>
        <w:spacing w:lineRule="auto" w:line="271" w:before="0" w:after="0"/>
        <w:ind w:left="0" w:right="0" w:hanging="0"/>
        <w:jc w:val="both"/>
        <w:rPr/>
      </w:pPr>
      <w:r>
        <w:rPr/>
        <w:t> </w:t>
      </w:r>
    </w:p>
    <w:p>
      <w:pPr>
        <w:pStyle w:val="TextBody"/>
        <w:bidi w:val="0"/>
        <w:spacing w:lineRule="auto" w:line="271" w:before="0" w:after="0"/>
        <w:ind w:left="0" w:right="0" w:hanging="0"/>
        <w:jc w:val="both"/>
        <w:rPr/>
      </w:pPr>
      <w:r>
        <w:rPr/>
        <w:t> </w:t>
      </w:r>
    </w:p>
    <w:p>
      <w:pPr>
        <w:pStyle w:val="TextBody"/>
        <w:bidi w:val="0"/>
        <w:spacing w:lineRule="auto" w:line="271"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1" w:before="0" w:after="200"/>
        <w:ind w:left="0" w:right="0" w:hanging="0"/>
        <w:jc w:val="left"/>
        <w:rPr>
          <w:rFonts w:ascii="Times New Roman;Times;serif" w:hAnsi="Times New Roman;Times;serif"/>
          <w:b/>
          <w:sz w:val="20"/>
        </w:rPr>
      </w:pPr>
      <w:r>
        <w:rPr>
          <w:rFonts w:ascii="Times New Roman;Times;serif" w:hAnsi="Times New Roman;Times;serif"/>
          <w:b/>
          <w:sz w:val="20"/>
        </w:rPr>
        <w:t>NOTE 17. SHARE REPURCHASES</w:t>
      </w:r>
    </w:p>
    <w:p>
      <w:pPr>
        <w:pStyle w:val="TextBody"/>
        <w:bidi w:val="0"/>
        <w:spacing w:lineRule="auto" w:line="271" w:before="0" w:after="200"/>
        <w:ind w:left="0" w:right="0" w:firstLine="360"/>
        <w:jc w:val="both"/>
        <w:rPr>
          <w:rFonts w:ascii="Times New Roman;Times;serif" w:hAnsi="Times New Roman;Times;serif"/>
          <w:sz w:val="20"/>
        </w:rPr>
      </w:pPr>
      <w:r>
        <w:rPr>
          <w:rFonts w:ascii="Times New Roman;Times;serif" w:hAnsi="Times New Roman;Times;serif"/>
          <w:sz w:val="20"/>
        </w:rPr>
        <w:t>In February 2025, the Board approved a common stock repurchase program (the “Common Stock Repurchase Program”). Pursuant to the Common Stock Repurchase Program, the Company may repurchase shares of its common stock for a total purchase price of up to $10.0 million. Shares may be purchased under the Common Stock Repurchase Program in open market transactions, including through block purchases, through privately negotiated transactions or pursuant to any trading plan that may be adopted in accordance with Rule 10b5-1 under the Securities Exchange Act of 1934, as amended. The Common Stock Repurchase Program does not obligate the Company to acquire any particular amount of shares of its common stock and may be modified or suspended.</w:t>
      </w:r>
    </w:p>
    <w:p>
      <w:pPr>
        <w:pStyle w:val="TextBody"/>
        <w:bidi w:val="0"/>
        <w:spacing w:lineRule="auto" w:line="271" w:before="0" w:after="0"/>
        <w:ind w:left="0" w:right="0" w:firstLine="360"/>
        <w:jc w:val="both"/>
        <w:rPr>
          <w:rFonts w:ascii="Times New Roman;Times;serif" w:hAnsi="Times New Roman;Times;serif"/>
          <w:sz w:val="20"/>
        </w:rPr>
      </w:pPr>
      <w:r>
        <w:rPr>
          <w:rFonts w:ascii="Times New Roman;Times;serif" w:hAnsi="Times New Roman;Times;serif"/>
          <w:sz w:val="20"/>
        </w:rPr>
        <w:t>The Company was not active under the Common Stock Repurchase Program during the nine months ended September 30, 2026. Under the Common Stock Repurchase Program, the Company repurchased 546,390 shares of its common stock on the open market for a total cost of $8.8 million, or an average price per share of $16.07, during the nine months ended September 30, 2025. As of September 30, 2026, $1.2 million remained available for repurchases under the Common Stock Repurchase Program.</w:t>
      </w:r>
    </w:p>
    <w:p>
      <w:pPr>
        <w:pStyle w:val="TextBody"/>
        <w:bidi w:val="0"/>
        <w:spacing w:lineRule="auto" w:line="271" w:before="0" w:after="0"/>
        <w:ind w:left="0" w:right="0" w:hanging="0"/>
        <w:jc w:val="both"/>
        <w:rPr>
          <w:shd w:fill="FFFFFF" w:val="clear"/>
        </w:rPr>
      </w:pPr>
      <w:r>
        <w:rPr>
          <w:shd w:fill="FFFFFF" w:val="clear"/>
        </w:rPr>
        <w:t> </w:t>
      </w:r>
    </w:p>
    <w:p>
      <w:pPr>
        <w:pStyle w:val="TextBody"/>
        <w:bidi w:val="0"/>
        <w:spacing w:lineRule="auto" w:line="271" w:before="0" w:after="0"/>
        <w:ind w:left="0" w:right="0" w:hanging="0"/>
        <w:jc w:val="both"/>
        <w:rPr>
          <w:shd w:fill="FFFFFF" w:val="clear"/>
        </w:rPr>
      </w:pPr>
      <w:r>
        <w:rPr>
          <w:shd w:fill="FFFFFF" w:val="clear"/>
        </w:rPr>
        <w:t>​</w:t>
      </w:r>
    </w:p>
    <w:p>
      <w:pPr>
        <w:pStyle w:val="TextBody"/>
        <w:bidi w:val="0"/>
        <w:spacing w:lineRule="auto" w:line="271" w:before="0" w:after="200"/>
        <w:ind w:left="0" w:right="0" w:hanging="0"/>
        <w:jc w:val="left"/>
        <w:rPr>
          <w:rFonts w:ascii="Times New Roman;Times;serif" w:hAnsi="Times New Roman;Times;serif"/>
          <w:b/>
          <w:sz w:val="20"/>
        </w:rPr>
      </w:pPr>
      <w:r>
        <w:rPr>
          <w:rFonts w:ascii="Times New Roman;Times;serif" w:hAnsi="Times New Roman;Times;serif"/>
          <w:b/>
          <w:sz w:val="20"/>
        </w:rPr>
        <w:t>NOTE 18. STOCK-BASED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Company’s non-employee director compensation policy, each non-employee member of the Board receives a portion of their annual retainer fee in shares of Company common stock, and a portion in cash; and, with respect to the cash portion, each director may elect to receive such portion in shares of Company common stock rather than cash. The number of shares issued to the directors is calculated quarterly by dividing (i) the amount of the quarterly retainer fee payment due to such director by (ii) the 20-day trailing average closing price of the Company’s common stock as of the last business day of the quarter for which such payment applied, rounded down to the nearest whole number of shares. During the nine months ended September 30, 2026, the expense recognized for the value of the Company’s common stock received by non-employee directors totaled $0.3 million, or 15,102 shares, of which 5,060 were issued on April 1, 2026, 4,782 shares were issued on July 1, 2026, and 5,260 shares were issued on October 1, 2026. During the nine months ended September 30, 2025, the expense recognized for the value of the Company’s common stock received by non-employee directors totaled $0.3 million, or 18,554 shares, of which 5,806 were issued on April 1, 2025, 6,276 shares were issued on July 1, 2025, and 6,472 shares were issued on October 1, 2025.</w:t>
      </w:r>
    </w:p>
    <w:p>
      <w:pPr>
        <w:pStyle w:val="TextBody"/>
        <w:bidi w:val="0"/>
        <w:spacing w:lineRule="auto" w:line="271" w:before="0" w:after="0"/>
        <w:ind w:left="0" w:right="0" w:hanging="0"/>
        <w:jc w:val="both"/>
        <w:rPr/>
      </w:pPr>
      <w:r>
        <w:rPr/>
        <w:t> </w:t>
      </w:r>
    </w:p>
    <w:p>
      <w:pPr>
        <w:pStyle w:val="TextBody"/>
        <w:bidi w:val="0"/>
        <w:spacing w:lineRule="auto" w:line="271" w:before="0" w:after="0"/>
        <w:ind w:left="0" w:right="0" w:hanging="0"/>
        <w:jc w:val="both"/>
        <w:rPr/>
      </w:pPr>
      <w:r>
        <w:rPr/>
        <w:t>​</w:t>
      </w:r>
    </w:p>
    <w:p>
      <w:pPr>
        <w:pStyle w:val="TextBody"/>
        <w:bidi w:val="0"/>
        <w:spacing w:lineRule="auto" w:line="268" w:before="0" w:after="200"/>
        <w:ind w:left="0" w:right="0" w:hanging="0"/>
        <w:jc w:val="left"/>
        <w:rPr>
          <w:rFonts w:ascii="Times New Roman;Times;serif" w:hAnsi="Times New Roman;Times;serif"/>
          <w:b/>
          <w:sz w:val="20"/>
        </w:rPr>
      </w:pPr>
      <w:r>
        <w:rPr>
          <w:rFonts w:ascii="Times New Roman;Times;serif" w:hAnsi="Times New Roman;Times;serif"/>
          <w:b/>
          <w:sz w:val="20"/>
        </w:rPr>
        <w:t>NOTE 19. RELATED PARTY MANAGEMENT COMPANY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are externally managed by the Manager, a wholly owned subsidiary of CTO. Subsequent to the IPO, through September 30, 2026, CTO has, directly and indirectly through a wholly owned subsidiary, purchased an aggregate of 431,912 shares of PINE common stock in the open market including (i) 109,081 shares purchased during the year ended December 31, 2025 for $1.6 million, or an average price per share of $14.24, (ii) 29,807 shares purchased during the year ended December 31, 2024 for $0.4 million, or an average price per share of $14.97, (iii) 129,271 shares purchased during the year ended December 31, 2023 for $2.1 million, or an average price per share of $16.21, (iv) 155,665 shares purchased during the year ended December 31, 2022 for $2.7 million, or an average price per share of $17.57 and (v) 8,088 shares purchased during the year ended December 31, 2021 for $0.1 million, or an average price per share of $17.65.</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of September 30, 2026, CTO owns, directly and indirectly through wholly owned subsidiaries, in the aggregate, 1,223,854 OP Units and 1,247,702 shares of PINE common stock, inclusive of (i) 394,737 shares of common stock totaling $7.5 million issued in connection with a private placement that closed concurrently with the IPO, (ii) 421,053 shares of common stock totaling $8.0 million issued in connection with the IPO, and (iii) 431,912 shares of common stock totaling $7.0 million purchased by CTO, directly and indirectly through a wholly owned subsidiary, subsequent to the IPO. The aggregate 1,223,854 OP Units and 1,247,702 shares of PINE common stock held by CTO represent an investment totaling $42.9 million, or 12.9% of PINE’s combined total of 19,159,261 shares of outstanding common stock and OP Units, as of September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3" w:before="0" w:after="200"/>
        <w:ind w:left="0" w:right="0" w:hanging="0"/>
        <w:jc w:val="both"/>
        <w:rPr>
          <w:rFonts w:ascii="Times New Roman;Times;serif" w:hAnsi="Times New Roman;Times;serif"/>
          <w:i/>
          <w:sz w:val="20"/>
        </w:rPr>
      </w:pPr>
      <w:r>
        <w:rPr>
          <w:rFonts w:ascii="Times New Roman;Times;serif" w:hAnsi="Times New Roman;Times;serif"/>
          <w:i/>
          <w:sz w:val="20"/>
        </w:rPr>
        <w:t>Management Agreement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 Our Manager has waived a portion of the base management fee attributable to the inclusion of the net cash proceeds from the issuance of the Series A Preferred Stock in our “total equity” (the “Incremental Equity Base”), such that the base management fee rate on the Incremental Equity Base is equal to 0.75% per annum (0.1875% per quarter), instead of 1.50% per annum (0.375% per quarter) as provided in the Management Agreement.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2025.</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July 18, 2024, the Operating Partnership and PINE entered into an amendment (the “Amendment”) to the Management Agreement with the Manager. The Amendment extended the expiration date of the initial term of the Management Agreement from November 26, 2024 to January 31, 2025, and on that date the term of the Management Agreement automatically renewed for a one-year term. The current term of the Management Agreement expires on January 31, 2027, and the Management Agreement will automatically renew for an unlimited number of successive one-year periods thereafter, unless the Management Agreement is not renewed or is terminated in accordance with its terms.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Our independent directors review our Manager’s performance and the management fees annually, and the Management Agreement may be terminated annually upon the affirmative vote of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w:t>
      </w:r>
      <w:r>
        <w:rPr>
          <w:rFonts w:ascii="Times New Roman;Times;serif" w:hAnsi="Times New Roman;Times;serif"/>
          <w:b w:val="false"/>
          <w:i w:val="false"/>
          <w:caps w:val="false"/>
          <w:smallCaps w:val="false"/>
          <w:sz w:val="20"/>
        </w:rPr>
        <w:t>two</w:t>
      </w:r>
      <w:r>
        <w:rPr>
          <w:rFonts w:ascii="Times New Roman;Times;serif" w:hAnsi="Times New Roman;Times;serif"/>
          <w:sz w:val="20"/>
        </w:rPr>
        <w:t>-thirds of our independent directors. We may also terminate the Management Agreement for cause at any time, without the payment of any termination fee, with 30 days’ prior written notice from the Board.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incurred management fee expenses totaling $1.4 million and $4.1 million during the three and nine months ended September 30, 2026, respectively. The Company also paid dividends on the common stock and OP Units owned by affiliates of the Manager in the amount of $0.8 million and $2.3 million for the three and nine months ended September 30, 2026, respectively.</w:t>
      </w:r>
      <w:r>
        <w:rPr>
          <w:rFonts w:ascii="Times New Roman;Times;serif" w:hAnsi="Times New Roman;Times;serif"/>
          <w:sz w:val="20"/>
          <w:shd w:fill="FFFFFF" w:val="clear"/>
        </w:rPr>
        <w:t xml:space="preserve"> </w:t>
      </w:r>
      <w:r>
        <w:rPr>
          <w:rFonts w:ascii="Times New Roman;Times;serif" w:hAnsi="Times New Roman;Times;serif"/>
          <w:sz w:val="20"/>
        </w:rPr>
        <w:t>The Company incurred management fee expenses totaling $1.1 million and $3.3 million during the three and nine months ended September 30, 2025, respectively. The Company also paid dividends on the common stock and OP Units owned by affiliates of the Manager in the amount of $0.7 million and $2.1 million for the three and nine months ended September 30, 2025,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200"/>
        <w:ind w:left="0" w:right="0" w:firstLine="360"/>
        <w:jc w:val="both"/>
        <w:rPr>
          <w:rFonts w:ascii="Times New Roman;Times;serif" w:hAnsi="Times New Roman;Times;serif"/>
          <w:sz w:val="20"/>
        </w:rPr>
      </w:pPr>
      <w:bookmarkStart w:id="1543" w:name="Tc_ykNhyTRKeUyakkQESABg-Q_5_5"/>
      <w:bookmarkStart w:id="1544" w:name="Tc_jgNzsnQCgk2qUTz-2Evu2A_5_2"/>
      <w:bookmarkStart w:id="1545" w:name="Tc_NlyNM92KgkWPUM7rS7Ucgw_5_0"/>
      <w:bookmarkStart w:id="1546" w:name="Tc_RhSOsHSO3UqbotMcRuwDZQ_4_0"/>
      <w:bookmarkStart w:id="1547" w:name="Tc_zPd3bvqa1k-FilhmU0AuCw_3_5"/>
      <w:bookmarkStart w:id="1548" w:name="Tc_7fY70xWaTEOQN40tXd6_AA_3_2"/>
      <w:bookmarkStart w:id="1549" w:name="Tc_yM_4lOh3uk-tk2ytX_oLgQ_3_0"/>
      <w:bookmarkStart w:id="1550" w:name="Tc_gPMWPFAvQkeKIjVJQv1qzQ_2_5"/>
      <w:bookmarkStart w:id="1551" w:name="Tc_JQEF2EC2J0C5h30jyLl2Nw_2_2"/>
      <w:bookmarkStart w:id="1552" w:name="Tc_wcUoiJIR1E2jManQnB4TmA_2_0"/>
      <w:bookmarkStart w:id="1553" w:name="Tc_FsG0tLXjd0CGi42JhU5R6A_1_2"/>
      <w:bookmarkStart w:id="1554" w:name="_3beaee23_8fc3_462b_860c_5e95bab89bba"/>
      <w:bookmarkEnd w:id="1543"/>
      <w:bookmarkEnd w:id="1544"/>
      <w:bookmarkEnd w:id="1545"/>
      <w:bookmarkEnd w:id="1546"/>
      <w:bookmarkEnd w:id="1547"/>
      <w:bookmarkEnd w:id="1548"/>
      <w:bookmarkEnd w:id="1549"/>
      <w:bookmarkEnd w:id="1550"/>
      <w:bookmarkEnd w:id="1551"/>
      <w:bookmarkEnd w:id="1552"/>
      <w:bookmarkEnd w:id="1553"/>
      <w:bookmarkEnd w:id="1554"/>
      <w:r>
        <w:rPr>
          <w:rFonts w:ascii="Times New Roman;Times;serif" w:hAnsi="Times New Roman;Times;serif"/>
          <w:sz w:val="20"/>
        </w:rPr>
        <w:t>The following table represents amounts due to CTO (in thousands):</w:t>
      </w:r>
    </w:p>
    <w:p>
      <w:pPr>
        <w:pStyle w:val="TextBody"/>
        <w:bidi w:val="0"/>
        <w:spacing w:before="0" w:after="0"/>
        <w:ind w:left="0" w:right="0" w:hanging="0"/>
        <w:jc w:val="left"/>
        <w:rPr/>
      </w:pPr>
      <w:r>
        <w:rPr/>
        <w:t>​</w:t>
      </w:r>
    </w:p>
    <w:tbl>
      <w:tblPr>
        <w:tblW w:w="6738" w:type="dxa"/>
        <w:jc w:val="left"/>
        <w:tblInd w:w="0" w:type="dxa"/>
        <w:tblLayout w:type="fixed"/>
        <w:tblCellMar>
          <w:top w:w="0" w:type="dxa"/>
          <w:left w:w="0" w:type="dxa"/>
          <w:bottom w:w="0" w:type="dxa"/>
          <w:right w:w="0" w:type="dxa"/>
        </w:tblCellMar>
      </w:tblPr>
      <w:tblGrid>
        <w:gridCol w:w="2506"/>
        <w:gridCol w:w="346"/>
        <w:gridCol w:w="477"/>
        <w:gridCol w:w="1293"/>
        <w:gridCol w:w="346"/>
        <w:gridCol w:w="414"/>
        <w:gridCol w:w="1356"/>
      </w:tblGrid>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821055" cy="175260"/>
                      <wp:effectExtent l="0" t="0" r="0" b="0"/>
                      <wp:wrapNone/>
                      <wp:docPr id="338" name="Frame338"/>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861060" cy="175260"/>
                      <wp:effectExtent l="0" t="0" r="0" b="0"/>
                      <wp:wrapNone/>
                      <wp:docPr id="339" name="Frame339"/>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346" w:type="dxa"/>
            <w:tcBorders/>
            <w:vAlign w:val="center"/>
          </w:tcPr>
          <w:p>
            <w:pPr>
              <w:pStyle w:val="TableContents"/>
              <w:bidi w:val="0"/>
              <w:spacing w:before="0" w:after="0"/>
              <w:ind w:left="0" w:right="0" w:hanging="0"/>
              <w:jc w:val="lef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346" w:type="dxa"/>
            <w:tcBorders/>
            <w:vAlign w:val="center"/>
          </w:tcPr>
          <w:p>
            <w:pPr>
              <w:pStyle w:val="TableContents"/>
              <w:bidi w:val="0"/>
              <w:spacing w:before="0" w:after="0"/>
              <w:ind w:left="0" w:right="0" w:hanging="0"/>
              <w:jc w:val="righ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due to CTO</w:t>
            </w:r>
          </w:p>
        </w:tc>
        <w:tc>
          <w:tcPr>
            <w:tcW w:w="34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c>
          <w:tcPr>
            <w:tcW w:w="346" w:type="dxa"/>
            <w:tcBorders/>
            <w:shd w:fill="CCEEFF" w:val="clear"/>
            <w:vAlign w:val="center"/>
          </w:tcPr>
          <w:p>
            <w:pPr>
              <w:pStyle w:val="TableContents"/>
              <w:bidi w:val="0"/>
              <w:spacing w:before="0" w:after="0"/>
              <w:ind w:left="0" w:right="0" w:hanging="0"/>
              <w:jc w:val="righ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46" w:type="dxa"/>
            <w:tcBorders/>
            <w:vAlign w:val="center"/>
          </w:tcPr>
          <w:p>
            <w:pPr>
              <w:pStyle w:val="TableContents"/>
              <w:bidi w:val="0"/>
              <w:spacing w:before="0" w:after="0"/>
              <w:ind w:left="0" w:right="0" w:hanging="0"/>
              <w:jc w:val="left"/>
              <w:rPr/>
            </w:pPr>
            <w:r>
              <w:rPr/>
              <w:t>​</w:t>
            </w:r>
          </w:p>
        </w:tc>
        <w:tc>
          <w:tcPr>
            <w:tcW w:w="4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righ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25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4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c>
          <w:tcPr>
            <w:tcW w:w="346" w:type="dxa"/>
            <w:tcBorders/>
            <w:shd w:fill="CCEEFF" w:val="clear"/>
            <w:vAlign w:val="center"/>
          </w:tcPr>
          <w:p>
            <w:pPr>
              <w:pStyle w:val="TableContents"/>
              <w:bidi w:val="0"/>
              <w:spacing w:before="0" w:after="0"/>
              <w:ind w:left="0" w:right="0" w:hanging="0"/>
              <w:jc w:val="righ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1,350</w:t>
            </w:r>
          </w:p>
        </w:tc>
      </w:tr>
    </w:tbl>
    <w:tbl>
      <w:tblPr>
        <w:tblW w:w="7742" w:type="dxa"/>
        <w:jc w:val="left"/>
        <w:tblInd w:w="0" w:type="dxa"/>
        <w:tblLayout w:type="fixed"/>
        <w:tblCellMar>
          <w:top w:w="0" w:type="dxa"/>
          <w:left w:w="0" w:type="dxa"/>
          <w:bottom w:w="0" w:type="dxa"/>
          <w:right w:w="0" w:type="dxa"/>
        </w:tblCellMar>
      </w:tblPr>
      <w:tblGrid>
        <w:gridCol w:w="271"/>
        <w:gridCol w:w="747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7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Included in accrued expenses, see Note 11, “Accounts Payable, Accrued Expenses, and Other Liabilities”.</w:t>
            </w:r>
          </w:p>
        </w:tc>
      </w:tr>
    </w:tbl>
    <w:p>
      <w:pPr>
        <w:pStyle w:val="TextBody"/>
        <w:bidi w:val="0"/>
        <w:spacing w:lineRule="auto" w:line="268" w:before="0" w:after="0"/>
        <w:ind w:left="0" w:right="0" w:hanging="0"/>
        <w:jc w:val="both"/>
        <w:rPr/>
      </w:pPr>
      <w:r>
        <w:rPr/>
        <w:t> </w:t>
      </w:r>
    </w:p>
    <w:p>
      <w:pPr>
        <w:pStyle w:val="TextBody"/>
        <w:bidi w:val="0"/>
        <w:spacing w:lineRule="auto" w:line="268" w:before="0" w:after="160"/>
        <w:ind w:left="0" w:right="0" w:hanging="0"/>
        <w:jc w:val="both"/>
        <w:rPr/>
      </w:pPr>
      <w:r>
        <w:rPr/>
        <w:t> </w:t>
      </w:r>
    </w:p>
    <w:p>
      <w:pPr>
        <w:pStyle w:val="TextBody"/>
        <w:bidi w:val="0"/>
        <w:spacing w:lineRule="auto" w:line="268" w:before="0" w:after="200"/>
        <w:ind w:left="0" w:right="0" w:hanging="0"/>
        <w:jc w:val="both"/>
        <w:rPr>
          <w:rFonts w:ascii="Times New Roman;Times;serif" w:hAnsi="Times New Roman;Times;serif"/>
          <w:i/>
          <w:sz w:val="20"/>
        </w:rPr>
      </w:pPr>
      <w:r>
        <w:rPr>
          <w:rFonts w:ascii="Times New Roman;Times;serif" w:hAnsi="Times New Roman;Times;serif"/>
          <w:i/>
          <w:sz w:val="20"/>
        </w:rPr>
        <w:t>ROFO Agreement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terms of the ROFO Agreement do not restrict CTO or any of its affiliates from providing financing for a third party’s acquisition of single-tenant, net leased properties or from developing and owning any single-tenant, net leased property.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The term of the ROFO Agreement will continue for so long as the Management Agreement with our Manager is in effect.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April 6, 2021, the Company entered into a purchase and sale agreement with a certain subsidiary of CTO for the purchase of one net lease property for $11.5 million. The acquisition was completed on April 23, 2021.</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April 2, 2021, the Company entered into a purchase and sale agreement with certain subsidiaries of CTO for the purchase of six net lease properties (the “CMBS Portfolio”). The terms of the purchase and sale agreement, as amended on April 20, 2021, provided a total purchase price of $44.5 million for the CMBS Portfolio. The acquisition of the CMBS Portfolio was completed on June 30, 2021.</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January 5, 2022, the Company entered into a purchase and sale agreement with a certain subsidiary of CTO for the purchase of one net lease property for $6.9 million. The acquisition was completed on January 7, 2022.</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entry into these purchase and sale agreements, and subsequent completion of the related acquisitions, are a result of the Company exercising its right to purchase the aforementioned properties under the ROFO Agreement.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Conflicts of Interest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may acquire, sell, or finance net leased properties that would potentially fit the investment criteria for our Manager or its affiliates. Similarly, our Manager or its affiliates may acquire, sell, or finance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Revenue Sharing Agreement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December 4, 2023, CTO entered into an asset management agreement to manage a portfolio of real estate assets. The Company entered into a revenue sharing agreement with CTO whereby the Company receives a share of the asset management fees, disposition management fees, leasing commissions, and other fees related to CTO’s management and administration of the portfolio (the “Revenue Sharing Agreement”). The Company’s share of the fees under the Revenue Sharing Agreement is based on fees earned by CTO associated with the single tenant properties within the portfolio.</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recognized less than $0.1 million and $0.1 million of revenue pursuant to the Revenue Sharing Agreement during the three and nine months ended September 30, 2026, respectively, which is included in other revenue on the Company’s consolidated statements of operations. The Company recognized $0.1 million and $0.3 million of revenue pursuant to the Revenue Sharing Agreement during the three and nine months ended September 30, 2025, respectively, which is included in other revenue on the Company’s consolidated statements of operations.</w:t>
      </w:r>
    </w:p>
    <w:p>
      <w:pPr>
        <w:pStyle w:val="TextBody"/>
        <w:bidi w:val="0"/>
        <w:spacing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lineRule="auto" w:line="268" w:before="0" w:after="200"/>
        <w:ind w:left="0" w:right="0" w:hanging="0"/>
        <w:jc w:val="left"/>
        <w:rPr>
          <w:rFonts w:ascii="Times New Roman;Times;serif" w:hAnsi="Times New Roman;Times;serif"/>
          <w:b/>
          <w:sz w:val="20"/>
        </w:rPr>
      </w:pPr>
      <w:r>
        <w:rPr>
          <w:rFonts w:ascii="Times New Roman;Times;serif" w:hAnsi="Times New Roman;Times;serif"/>
          <w:b/>
          <w:sz w:val="20"/>
        </w:rPr>
        <w:t>NOTE 20. COMMITMENTS AND CONTINGENCIES</w:t>
      </w:r>
    </w:p>
    <w:p>
      <w:pPr>
        <w:pStyle w:val="TextBody"/>
        <w:bidi w:val="0"/>
        <w:spacing w:lineRule="auto" w:line="268" w:before="0" w:after="200"/>
        <w:ind w:left="0" w:right="0" w:hanging="0"/>
        <w:jc w:val="both"/>
        <w:rPr>
          <w:rFonts w:ascii="Times New Roman;Times;serif" w:hAnsi="Times New Roman;Times;serif"/>
          <w:i/>
          <w:sz w:val="20"/>
        </w:rPr>
      </w:pPr>
      <w:r>
        <w:rPr>
          <w:rFonts w:ascii="Times New Roman;Times;serif" w:hAnsi="Times New Roman;Times;serif"/>
          <w:i/>
          <w:sz w:val="20"/>
        </w:rPr>
        <w:t>LEGAL PROCEEDINGS</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CONTRACTUAL COMMITMENTS – EXPENDITURES</w:t>
      </w:r>
    </w:p>
    <w:p>
      <w:pPr>
        <w:pStyle w:val="TextBody"/>
        <w:bidi w:val="0"/>
        <w:spacing w:before="0" w:after="200"/>
        <w:ind w:left="0" w:right="0" w:firstLine="432"/>
        <w:jc w:val="both"/>
        <w:rPr>
          <w:rFonts w:ascii="Times New Roman;Times;serif" w:hAnsi="Times New Roman;Times;serif"/>
          <w:sz w:val="20"/>
        </w:rPr>
      </w:pPr>
      <w:r>
        <w:rPr>
          <w:rFonts w:ascii="Times New Roman;Times;serif" w:hAnsi="Times New Roman;Times;serif"/>
          <w:sz w:val="20"/>
        </w:rPr>
        <w:t>The Company has unfunded loan commitments under the Company’s eight construction/redevelopment loans as described in Note 4, “Commercial Loans and Investments”. The unfunded portion of the construction/redevelopment loans totaled $75.5 million as of September 30, 2026.</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The Company has committed to fund certain capital improvements related to several properties, which include tenant improvements, landlord work, leasing commissions, and other capital improvements. As of September 30, 2026, the commitments totaled $3.3 million, of which $0.8 million has been paid, leaving a remaining commitment of $2.5 million. The improvements are generally expected to be completed within 12 months of September 30, 2026.</w:t>
      </w:r>
    </w:p>
    <w:p>
      <w:pPr>
        <w:pStyle w:val="TextBody"/>
        <w:bidi w:val="0"/>
        <w:spacing w:before="0" w:after="0"/>
        <w:ind w:left="0" w:right="0" w:hanging="0"/>
        <w:jc w:val="both"/>
        <w:rPr/>
      </w:pPr>
      <w:r>
        <w:rPr/>
        <w:t> </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21. BUSINESS SEGMENT DATA</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operates in two primary business segments: income properties and commercial loans and investments.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income property operations consist of lease income from income producing properties and our business plan is focused on investing in additional income-producing properties. Our income property operations accounted for 66% and 71% of our identifiable assets as of September 30, 2026 and December 31, 2025, respectively, and 65% and 82% of our consolidated revenues for the nine months ended September 30, 2026 and 2025, respectively. Our commercial loans and investment operations accounted for 31% and 25% of our identifiable assets as of September 30, 2026 and December 31, 2025, respectively, and 35% and 17% of our consolidated revenues for the nine months ended September 30, 2026 and 2025, respectively. As of September 30, 2026, our portfolio of commercial loans and investments consisted of 16 commercial loan investments, of which one is a sales-type lease and four are related to properties acquired through sale-leaseback transactions whereby the tenants have future repurchase rights.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Company’s CODM evaluates segment performance based on total revenues less direct costs of revenues when making decisions about allocating capital to the segments. The Company’s reportable segments are strategic business units that offer different products. They are managed separately because each segment requires different management techniques, knowledge, and skill.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bookmarkStart w:id="1555" w:name="Tc_1ostoNtVsE2pKaj7BGbZRw_25_7"/>
      <w:bookmarkStart w:id="1556" w:name="Tc_6C9qcX8noUCSG1RBqkM7ug_25_0"/>
      <w:bookmarkStart w:id="1557" w:name="Tc_n723UXYoRkiQjCGe5dtJbQ_24_0"/>
      <w:bookmarkStart w:id="1558" w:name="Tc_59UYLlw7LEmPa-Nl0AkZoQ_23_0"/>
      <w:bookmarkStart w:id="1559" w:name="Tc_5reQ9_ERSUu6dpUUSs4ALw_22_0"/>
      <w:bookmarkStart w:id="1560" w:name="Tc_ACjhZ_j6r0-QUjzu1e9RMQ_21_0"/>
      <w:bookmarkStart w:id="1561" w:name="Tc_vF4X6rvookeRWNePaetTLg_20_0"/>
      <w:bookmarkStart w:id="1562" w:name="Tc_nd5ccIBq9k6H2zheTMwDCQ_18_0"/>
      <w:bookmarkStart w:id="1563" w:name="Tc_QMuICaWOOUishcG8nixbmA_17_5"/>
      <w:bookmarkStart w:id="1564" w:name="Tc_KJV2RV3NY0-RgRUFdKqaTQ_17_0"/>
      <w:bookmarkStart w:id="1565" w:name="Tc_Cd8voFssyU2xOYN-N5X2nQ_16_0"/>
      <w:bookmarkStart w:id="1566" w:name="Tc_9ZmtJ2QhPE-r6eys4rsJeg_15_5"/>
      <w:bookmarkStart w:id="1567" w:name="Tc_W2wIhdReX0y2T_5YwD4FEw_15_0"/>
      <w:bookmarkStart w:id="1568" w:name="Tc_y6Xyt5-hakCf_E-Qoo9XVg_14_2"/>
      <w:bookmarkStart w:id="1569" w:name="Tc_-nxfZrPkfU26EXktCsGLKA_14_0"/>
      <w:bookmarkStart w:id="1570" w:name="Tc_PLwceSo7G0OmKsLC73PvtA_13_0"/>
      <w:bookmarkStart w:id="1571" w:name="Tc_XUahrjQj5k-fKCoFyHgzBw_12_5"/>
      <w:bookmarkStart w:id="1572" w:name="Tc_OD-KmDFWL0GNdl8i_LJrMQ_12_0"/>
      <w:bookmarkStart w:id="1573" w:name="Tc_k4gCEI_T60C2tG64CAZ9tQ_11_0"/>
      <w:bookmarkStart w:id="1574" w:name="Tc_6JgmMcKXLUqnyO-JtNYmZg_9_7"/>
      <w:bookmarkStart w:id="1575" w:name="Tc_fGfADWWja0K28WC7nvPTTQ_9_0"/>
      <w:bookmarkStart w:id="1576" w:name="Tc_AQ2BxBcg5EW5-P42a6sUdQ_8_0"/>
      <w:bookmarkStart w:id="1577" w:name="Tc_aGH3gDXtp0mWFaXtbBLx9A_7_0"/>
      <w:bookmarkStart w:id="1578" w:name="Tc_Q9XXvJaqIEKOxbiWcw72YA_5_0"/>
      <w:bookmarkStart w:id="1579" w:name="Tc_j8IuZDo5gEyAFYo0xuEYBw_4_2"/>
      <w:bookmarkStart w:id="1580" w:name="Tc_4BU1h23GNUuqkJcxinAtIA_4_0"/>
      <w:bookmarkStart w:id="1581" w:name="Tc_DfgWwKpLH0KroCkB_3GsVw_3_7"/>
      <w:bookmarkStart w:id="1582" w:name="Tc_Y9rhE2EeFE-B7CPmqlMnxw_3_5"/>
      <w:bookmarkStart w:id="1583" w:name="Tc_BCFFxNL7IU6MFhUWAVnUvw_3_4"/>
      <w:bookmarkStart w:id="1584" w:name="Tc_44ncdo6SBkaMG7aHHzMdZQ_3_1"/>
      <w:bookmarkStart w:id="1585" w:name="Tc_5Gu7N7k1zU-CNz3_zVlZHw_3_0"/>
      <w:bookmarkStart w:id="1586" w:name="Tc_7bp4zrfxjk2yvpwM28wBTw_2_0"/>
      <w:bookmarkStart w:id="1587" w:name="Tc_jRm6QF77wUK1In2MUUZWAA_1_7"/>
      <w:bookmarkStart w:id="1588" w:name="Tc_3I5fQTEV60-BWTiK8QvKhw_1_4"/>
      <w:bookmarkStart w:id="1589" w:name="Tc_Uvwta8UHAUy9qBYYTLyhug_1_1"/>
      <w:bookmarkStart w:id="1590" w:name="_1a794193_2875_40d7_ab39_b77d7ccfe6f3"/>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r>
        <w:rPr>
          <w:rFonts w:ascii="Times New Roman;Times;serif" w:hAnsi="Times New Roman;Times;serif"/>
          <w:sz w:val="20"/>
        </w:rPr>
        <w:t>Information about the Company’s operations in different segments for the three months ended September 30, 2026, is as follows (in thousands):</w:t>
      </w:r>
    </w:p>
    <w:tbl>
      <w:tblPr>
        <w:tblW w:w="10205" w:type="dxa"/>
        <w:jc w:val="left"/>
        <w:tblInd w:w="0" w:type="dxa"/>
        <w:tblLayout w:type="fixed"/>
        <w:tblCellMar>
          <w:top w:w="0" w:type="dxa"/>
          <w:left w:w="0" w:type="dxa"/>
          <w:bottom w:w="0" w:type="dxa"/>
          <w:right w:w="0" w:type="dxa"/>
        </w:tblCellMar>
      </w:tblPr>
      <w:tblGrid>
        <w:gridCol w:w="4724"/>
        <w:gridCol w:w="365"/>
        <w:gridCol w:w="1173"/>
        <w:gridCol w:w="109"/>
        <w:gridCol w:w="747"/>
        <w:gridCol w:w="2031"/>
        <w:gridCol w:w="109"/>
        <w:gridCol w:w="211"/>
        <w:gridCol w:w="736"/>
      </w:tblGrid>
      <w:tr>
        <w:trPr/>
        <w:tc>
          <w:tcPr>
            <w:tcW w:w="4724"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31775" cy="175260"/>
                      <wp:effectExtent l="0" t="0" r="0" b="0"/>
                      <wp:wrapNone/>
                      <wp:docPr id="340" name="Frame340"/>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744855" cy="175260"/>
                      <wp:effectExtent l="0" t="0" r="0" b="0"/>
                      <wp:wrapNone/>
                      <wp:docPr id="341" name="Frame341"/>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215" cy="175260"/>
                      <wp:effectExtent l="0" t="0" r="0" b="0"/>
                      <wp:wrapNone/>
                      <wp:docPr id="342" name="Frame3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74345" cy="175260"/>
                      <wp:effectExtent l="0" t="0" r="0" b="0"/>
                      <wp:wrapNone/>
                      <wp:docPr id="343" name="Frame343"/>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289685" cy="175260"/>
                      <wp:effectExtent l="0" t="0" r="0" b="0"/>
                      <wp:wrapNone/>
                      <wp:docPr id="344" name="Frame344"/>
                      <a:graphic xmlns:a="http://schemas.openxmlformats.org/drawingml/2006/main">
                        <a:graphicData uri="http://schemas.microsoft.com/office/word/2010/wordprocessingShape">
                          <wps:wsp>
                            <wps:cNvSpPr txBox="1"/>
                            <wps:spPr>
                              <a:xfrm>
                                <a:off x="0" y="0"/>
                                <a:ext cx="128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9215" cy="175260"/>
                      <wp:effectExtent l="0" t="0" r="0" b="0"/>
                      <wp:wrapNone/>
                      <wp:docPr id="345" name="Frame3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67360" cy="175260"/>
                      <wp:effectExtent l="0" t="0" r="0" b="0"/>
                      <wp:wrapNone/>
                      <wp:docPr id="347" name="Frame34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4" w:type="dxa"/>
            <w:tcBorders/>
            <w:vAlign w:val="center"/>
          </w:tcPr>
          <w:p>
            <w:pPr>
              <w:pStyle w:val="TableContents"/>
              <w:bidi w:val="0"/>
              <w:spacing w:before="0" w:after="0"/>
              <w:ind w:left="0" w:right="0" w:hanging="0"/>
              <w:jc w:val="left"/>
              <w:rPr/>
            </w:pPr>
            <w:r>
              <w:rPr/>
              <w:t>​</w:t>
            </w:r>
          </w:p>
        </w:tc>
        <w:tc>
          <w:tcPr>
            <w:tcW w:w="15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109" w:type="dxa"/>
            <w:tcBorders/>
            <w:vAlign w:val="center"/>
          </w:tcPr>
          <w:p>
            <w:pPr>
              <w:pStyle w:val="TableContents"/>
              <w:bidi w:val="0"/>
              <w:spacing w:before="0" w:after="0"/>
              <w:ind w:left="0" w:right="0" w:hanging="0"/>
              <w:jc w:val="center"/>
              <w:rPr/>
            </w:pPr>
            <w:r>
              <w:rPr/>
              <w:t>​</w:t>
            </w:r>
          </w:p>
        </w:tc>
        <w:tc>
          <w:tcPr>
            <w:tcW w:w="27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20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3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12,812</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12,812</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7,611</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for Reportable Segments</w:t>
            </w:r>
          </w:p>
        </w:tc>
        <w:tc>
          <w:tcPr>
            <w:tcW w:w="365" w:type="dxa"/>
            <w:tcBorders/>
            <w:vAlign w:val="center"/>
          </w:tcPr>
          <w:p>
            <w:pPr>
              <w:pStyle w:val="TableContents"/>
              <w:bidi w:val="0"/>
              <w:spacing w:before="0" w:after="0"/>
              <w:ind w:left="0" w:right="0" w:hanging="0"/>
              <w:jc w:val="center"/>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12,812</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w:t>
            </w:r>
          </w:p>
        </w:tc>
        <w:tc>
          <w:tcPr>
            <w:tcW w:w="2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20,423</w:t>
            </w:r>
          </w:p>
        </w:tc>
      </w:tr>
      <w:tr>
        <w:trPr/>
        <w:tc>
          <w:tcPr>
            <w:tcW w:w="4724"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Revenues</w:t>
            </w:r>
          </w:p>
        </w:tc>
        <w:tc>
          <w:tcPr>
            <w:tcW w:w="365" w:type="dxa"/>
            <w:tcBorders/>
            <w:vAlign w:val="center"/>
          </w:tcPr>
          <w:p>
            <w:pPr>
              <w:pStyle w:val="TableContents"/>
              <w:bidi w:val="0"/>
              <w:spacing w:before="0" w:after="0"/>
              <w:ind w:left="0" w:right="0" w:hanging="0"/>
              <w:jc w:val="center"/>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Consolidated Revenues</w:t>
            </w:r>
          </w:p>
        </w:tc>
        <w:tc>
          <w:tcPr>
            <w:tcW w:w="365" w:type="dxa"/>
            <w:tcBorders/>
            <w:vAlign w:val="center"/>
          </w:tcPr>
          <w:p>
            <w:pPr>
              <w:pStyle w:val="TableContents"/>
              <w:bidi w:val="0"/>
              <w:spacing w:before="0" w:after="0"/>
              <w:ind w:left="0" w:right="0" w:hanging="0"/>
              <w:jc w:val="center"/>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20,460</w:t>
            </w:r>
          </w:p>
        </w:tc>
      </w:tr>
      <w:tr>
        <w:trPr/>
        <w:tc>
          <w:tcPr>
            <w:tcW w:w="4724"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65" w:type="dxa"/>
            <w:tcBorders/>
            <w:vAlign w:val="center"/>
          </w:tcPr>
          <w:p>
            <w:pPr>
              <w:pStyle w:val="TableContents"/>
              <w:bidi w:val="0"/>
              <w:spacing w:before="0" w:after="0"/>
              <w:ind w:left="0" w:right="0" w:hanging="0"/>
              <w:jc w:val="center"/>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w:t>
            </w:r>
          </w:p>
        </w:tc>
        <w:tc>
          <w:tcPr>
            <w:tcW w:w="109" w:type="dxa"/>
            <w:tcBorders/>
            <w:shd w:fill="CCEEFF" w:val="cle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2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65" w:type="dxa"/>
            <w:tcBorders/>
            <w:vAlign w:val="center"/>
          </w:tcPr>
          <w:p>
            <w:pPr>
              <w:pStyle w:val="TableContents"/>
              <w:bidi w:val="0"/>
              <w:spacing w:before="0" w:after="0"/>
              <w:ind w:left="0" w:right="0" w:hanging="0"/>
              <w:jc w:val="center"/>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10,717</w:t>
            </w:r>
          </w:p>
        </w:tc>
        <w:tc>
          <w:tcPr>
            <w:tcW w:w="109"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2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18,328</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2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6,881</w:t>
            </w:r>
          </w:p>
        </w:tc>
        <w:tc>
          <w:tcPr>
            <w:tcW w:w="109" w:type="dxa"/>
            <w:tcBorders/>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0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6,881</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3,836</w:t>
            </w:r>
          </w:p>
        </w:tc>
        <w:tc>
          <w:tcPr>
            <w:tcW w:w="109"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2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11,523</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109" w:type="dxa"/>
            <w:tcBorders/>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0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 for Reportable Segments</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4,108</w:t>
            </w:r>
          </w:p>
        </w:tc>
        <w:tc>
          <w:tcPr>
            <w:tcW w:w="109"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2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11,795</w:t>
            </w:r>
          </w:p>
        </w:tc>
      </w:tr>
      <w:tr>
        <w:trPr/>
        <w:tc>
          <w:tcPr>
            <w:tcW w:w="4724"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5" w:type="dxa"/>
            <w:tcBorders/>
            <w:vAlign w:val="center"/>
          </w:tcPr>
          <w:p>
            <w:pPr>
              <w:pStyle w:val="TableContents"/>
              <w:bidi w:val="0"/>
              <w:spacing w:before="0" w:after="0"/>
              <w:ind w:left="0" w:right="0" w:hanging="0"/>
              <w:jc w:val="center"/>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65"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65"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Net Income</w:t>
            </w:r>
          </w:p>
        </w:tc>
        <w:tc>
          <w:tcPr>
            <w:tcW w:w="365"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5,012</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bookmarkStart w:id="1591" w:name="Tc_6apEe-uV2EulcMv3hrjFTg_25_7"/>
      <w:bookmarkStart w:id="1592" w:name="Tc_y4I31j_d6EGq5p9e6jvDZw_25_0"/>
      <w:bookmarkStart w:id="1593" w:name="Tc_g2gJTWnxoUWfyy58M6usKw_24_0"/>
      <w:bookmarkStart w:id="1594" w:name="Tc_s3jOhUM1gEyaCfjVJrLuiQ_23_0"/>
      <w:bookmarkStart w:id="1595" w:name="Tc_-pwNzTzSYkubjNvVWD54sg_22_0"/>
      <w:bookmarkStart w:id="1596" w:name="Tc_7HUP6PU-X02VK907O6oKfg_21_0"/>
      <w:bookmarkStart w:id="1597" w:name="Tc_z4UDhHV_6EaAyqsMm0C81Q_20_0"/>
      <w:bookmarkStart w:id="1598" w:name="Tc_38ySmh9pz0q40Bf38emguQ_18_0"/>
      <w:bookmarkStart w:id="1599" w:name="Tc_5QSYV_VubkewC8Q1TWNvEg_17_5"/>
      <w:bookmarkStart w:id="1600" w:name="Tc_G-qXQlI73kmEUw3fAhRULA_17_0"/>
      <w:bookmarkStart w:id="1601" w:name="Tc_mGmrXEdq5EmR-6f_UgYrpw_16_0"/>
      <w:bookmarkStart w:id="1602" w:name="Tc_SoK2ysXJYUWkKeqVwuQM-A_15_5"/>
      <w:bookmarkStart w:id="1603" w:name="Tc_eVQ8giTNxEKs75cckHhiag_15_0"/>
      <w:bookmarkStart w:id="1604" w:name="Tc_70IbS0DmAEydA7dYQvhV-A_14_0"/>
      <w:bookmarkStart w:id="1605" w:name="Tc_oZJhE_X4ik6jfE1XZOw7og_13_0"/>
      <w:bookmarkStart w:id="1606" w:name="Tc_y711A2L_UECSYu6mUMHiiw_12_5"/>
      <w:bookmarkStart w:id="1607" w:name="Tc_ZiOflZ2-S0CZiWH4V0oHCQ_12_0"/>
      <w:bookmarkStart w:id="1608" w:name="Tc_IVAcjU9J_UaYeazy-YoziA_11_0"/>
      <w:bookmarkStart w:id="1609" w:name="Tc_0RQTKa-99kCZ-tjXvbVPXQ_9_7"/>
      <w:bookmarkStart w:id="1610" w:name="Tc_o2NrQGqx_EOHHNGJwltKtQ_9_0"/>
      <w:bookmarkStart w:id="1611" w:name="Tc_nKgZz-0OI0iqzcSx-R6kuQ_8_0"/>
      <w:bookmarkStart w:id="1612" w:name="Tc_LlqG9gVMsUe-6QPbh_jQqA_7_0"/>
      <w:bookmarkStart w:id="1613" w:name="Tc_kl95CqrF4kKDGnezxT3O2A_5_0"/>
      <w:bookmarkStart w:id="1614" w:name="Tc_LIL2BTXOLUis2YF8tGZw7A_4_2"/>
      <w:bookmarkStart w:id="1615" w:name="Tc_71dNhF1Yfk-qjxe9ihi9EQ_4_0"/>
      <w:bookmarkStart w:id="1616" w:name="Tc_LhnkfycJBkGbg3M78k39yg_3_7"/>
      <w:bookmarkStart w:id="1617" w:name="Tc_zgMkkIlGgUO5QeOklwXNJw_3_5"/>
      <w:bookmarkStart w:id="1618" w:name="Tc_l2cnap_ojkKjbCr2aAD5Xg_3_4"/>
      <w:bookmarkStart w:id="1619" w:name="Tc_QYh_dC8BxUGMC1Do8XF2ZQ_3_1"/>
      <w:bookmarkStart w:id="1620" w:name="Tc_tSMU1CKt2EWD9uPh3Iu3-g_3_0"/>
      <w:bookmarkStart w:id="1621" w:name="Tc_ZUFqVLQLTkal_BpMAEDDhg_2_0"/>
      <w:bookmarkStart w:id="1622" w:name="Tc_xSWmRuIhrEKR6PMMugLQWg_1_7"/>
      <w:bookmarkStart w:id="1623" w:name="Tc_cO62HJYhj0GsHfJz8SzMrA_1_4"/>
      <w:bookmarkStart w:id="1624" w:name="Tc_r2l5Wu01oEG8J5YGCJCstQ_1_1"/>
      <w:bookmarkStart w:id="1625" w:name="_d720f99d_398f_44aa_9ccb_3c20cec98db7"/>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r>
        <w:rPr>
          <w:rFonts w:ascii="Times New Roman;Times;serif" w:hAnsi="Times New Roman;Times;serif"/>
          <w:sz w:val="20"/>
        </w:rPr>
        <w:t>Information about the Company’s operations in different segments for the three months ended September 30, 2025 is as follows (in thousands):</w:t>
      </w:r>
    </w:p>
    <w:tbl>
      <w:tblPr>
        <w:tblW w:w="10205" w:type="dxa"/>
        <w:jc w:val="left"/>
        <w:tblInd w:w="0" w:type="dxa"/>
        <w:tblLayout w:type="fixed"/>
        <w:tblCellMar>
          <w:top w:w="0" w:type="dxa"/>
          <w:left w:w="0" w:type="dxa"/>
          <w:bottom w:w="0" w:type="dxa"/>
          <w:right w:w="0" w:type="dxa"/>
        </w:tblCellMar>
      </w:tblPr>
      <w:tblGrid>
        <w:gridCol w:w="4724"/>
        <w:gridCol w:w="365"/>
        <w:gridCol w:w="1173"/>
        <w:gridCol w:w="109"/>
        <w:gridCol w:w="747"/>
        <w:gridCol w:w="2031"/>
        <w:gridCol w:w="109"/>
        <w:gridCol w:w="211"/>
        <w:gridCol w:w="736"/>
      </w:tblGrid>
      <w:tr>
        <w:trPr/>
        <w:tc>
          <w:tcPr>
            <w:tcW w:w="4724"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31775" cy="175260"/>
                      <wp:effectExtent l="0" t="0" r="0" b="0"/>
                      <wp:wrapNone/>
                      <wp:docPr id="348" name="Frame348"/>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744855" cy="175260"/>
                      <wp:effectExtent l="0" t="0" r="0" b="0"/>
                      <wp:wrapNone/>
                      <wp:docPr id="349" name="Frame349"/>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215" cy="175260"/>
                      <wp:effectExtent l="0" t="0" r="0" b="0"/>
                      <wp:wrapNone/>
                      <wp:docPr id="350" name="Frame3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74345" cy="175260"/>
                      <wp:effectExtent l="0" t="0" r="0" b="0"/>
                      <wp:wrapNone/>
                      <wp:docPr id="351" name="Frame351"/>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289685" cy="175260"/>
                      <wp:effectExtent l="0" t="0" r="0" b="0"/>
                      <wp:wrapNone/>
                      <wp:docPr id="352" name="Frame352"/>
                      <a:graphic xmlns:a="http://schemas.openxmlformats.org/drawingml/2006/main">
                        <a:graphicData uri="http://schemas.microsoft.com/office/word/2010/wordprocessingShape">
                          <wps:wsp>
                            <wps:cNvSpPr txBox="1"/>
                            <wps:spPr>
                              <a:xfrm>
                                <a:off x="0" y="0"/>
                                <a:ext cx="128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9215" cy="175260"/>
                      <wp:effectExtent l="0" t="0" r="0" b="0"/>
                      <wp:wrapNone/>
                      <wp:docPr id="353" name="Frame3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67360" cy="175260"/>
                      <wp:effectExtent l="0" t="0" r="0" b="0"/>
                      <wp:wrapNone/>
                      <wp:docPr id="355" name="Frame35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4" w:type="dxa"/>
            <w:tcBorders/>
            <w:vAlign w:val="center"/>
          </w:tcPr>
          <w:p>
            <w:pPr>
              <w:pStyle w:val="TableContents"/>
              <w:bidi w:val="0"/>
              <w:spacing w:before="0" w:after="0"/>
              <w:ind w:left="0" w:right="0" w:hanging="0"/>
              <w:jc w:val="left"/>
              <w:rPr/>
            </w:pPr>
            <w:r>
              <w:rPr/>
              <w:t>​</w:t>
            </w:r>
          </w:p>
        </w:tc>
        <w:tc>
          <w:tcPr>
            <w:tcW w:w="15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109" w:type="dxa"/>
            <w:tcBorders/>
            <w:vAlign w:val="center"/>
          </w:tcPr>
          <w:p>
            <w:pPr>
              <w:pStyle w:val="TableContents"/>
              <w:bidi w:val="0"/>
              <w:spacing w:before="0" w:after="0"/>
              <w:ind w:left="0" w:right="0" w:hanging="0"/>
              <w:jc w:val="center"/>
              <w:rPr/>
            </w:pPr>
            <w:r>
              <w:rPr/>
              <w:t>​</w:t>
            </w:r>
          </w:p>
        </w:tc>
        <w:tc>
          <w:tcPr>
            <w:tcW w:w="27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20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3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12,122</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12,122</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for Reportable Segments</w:t>
            </w:r>
          </w:p>
        </w:tc>
        <w:tc>
          <w:tcPr>
            <w:tcW w:w="365" w:type="dxa"/>
            <w:tcBorders/>
            <w:vAlign w:val="center"/>
          </w:tcPr>
          <w:p>
            <w:pPr>
              <w:pStyle w:val="TableContents"/>
              <w:bidi w:val="0"/>
              <w:spacing w:before="0" w:after="0"/>
              <w:ind w:left="0" w:right="0" w:hanging="0"/>
              <w:jc w:val="righ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12,122</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w:t>
            </w:r>
          </w:p>
        </w:tc>
        <w:tc>
          <w:tcPr>
            <w:tcW w:w="2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14,442</w:t>
            </w:r>
          </w:p>
        </w:tc>
      </w:tr>
      <w:tr>
        <w:trPr/>
        <w:tc>
          <w:tcPr>
            <w:tcW w:w="4724"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Revenues</w:t>
            </w:r>
          </w:p>
        </w:tc>
        <w:tc>
          <w:tcPr>
            <w:tcW w:w="365" w:type="dxa"/>
            <w:tcBorders/>
            <w:vAlign w:val="center"/>
          </w:tcPr>
          <w:p>
            <w:pPr>
              <w:pStyle w:val="TableContents"/>
              <w:bidi w:val="0"/>
              <w:spacing w:before="0" w:after="0"/>
              <w:ind w:left="0" w:right="0" w:hanging="0"/>
              <w:jc w:val="right"/>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5" w:type="dxa"/>
            <w:tcBorders/>
            <w:shd w:fill="CCEEFF" w:val="clear"/>
            <w:vAlign w:val="center"/>
          </w:tcPr>
          <w:p>
            <w:pPr>
              <w:pStyle w:val="TableContents"/>
              <w:bidi w:val="0"/>
              <w:spacing w:before="0" w:after="0"/>
              <w:ind w:left="0" w:right="0" w:hanging="0"/>
              <w:jc w:val="right"/>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Consolidated Revenues</w:t>
            </w:r>
          </w:p>
        </w:tc>
        <w:tc>
          <w:tcPr>
            <w:tcW w:w="365" w:type="dxa"/>
            <w:tcBorders/>
            <w:vAlign w:val="center"/>
          </w:tcPr>
          <w:p>
            <w:pPr>
              <w:pStyle w:val="TableContents"/>
              <w:bidi w:val="0"/>
              <w:spacing w:before="0" w:after="0"/>
              <w:ind w:left="0" w:right="0" w:hanging="0"/>
              <w:jc w:val="right"/>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14,563</w:t>
            </w:r>
          </w:p>
        </w:tc>
      </w:tr>
      <w:tr>
        <w:trPr/>
        <w:tc>
          <w:tcPr>
            <w:tcW w:w="4724"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65" w:type="dxa"/>
            <w:tcBorders/>
            <w:vAlign w:val="center"/>
          </w:tcPr>
          <w:p>
            <w:pPr>
              <w:pStyle w:val="TableContents"/>
              <w:bidi w:val="0"/>
              <w:spacing w:before="0" w:after="0"/>
              <w:ind w:left="0" w:right="0" w:hanging="0"/>
              <w:jc w:val="center"/>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w:t>
            </w:r>
          </w:p>
        </w:tc>
        <w:tc>
          <w:tcPr>
            <w:tcW w:w="109" w:type="dxa"/>
            <w:tcBorders/>
            <w:shd w:fill="CCEEFF" w:val="cle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2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65" w:type="dxa"/>
            <w:tcBorders/>
            <w:vAlign w:val="center"/>
          </w:tcPr>
          <w:p>
            <w:pPr>
              <w:pStyle w:val="TableContents"/>
              <w:bidi w:val="0"/>
              <w:spacing w:before="0" w:after="0"/>
              <w:ind w:left="0" w:right="0" w:hanging="0"/>
              <w:jc w:val="center"/>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10,231</w:t>
            </w:r>
          </w:p>
        </w:tc>
        <w:tc>
          <w:tcPr>
            <w:tcW w:w="109"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2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12,551</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1,975</w:t>
            </w:r>
          </w:p>
        </w:tc>
        <w:tc>
          <w:tcPr>
            <w:tcW w:w="109"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2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6,597</w:t>
            </w:r>
          </w:p>
        </w:tc>
        <w:tc>
          <w:tcPr>
            <w:tcW w:w="109" w:type="dxa"/>
            <w:tcBorders/>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0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6,597</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w:t>
            </w:r>
          </w:p>
        </w:tc>
        <w:tc>
          <w:tcPr>
            <w:tcW w:w="109"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2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4,039</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Disposition of Assets</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0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 for Reportable Segments</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109"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2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3,993</w:t>
            </w:r>
          </w:p>
        </w:tc>
      </w:tr>
      <w:tr>
        <w:trPr/>
        <w:tc>
          <w:tcPr>
            <w:tcW w:w="4724"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Loss</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5" w:type="dxa"/>
            <w:tcBorders/>
            <w:vAlign w:val="center"/>
          </w:tcPr>
          <w:p>
            <w:pPr>
              <w:pStyle w:val="TableContents"/>
              <w:bidi w:val="0"/>
              <w:spacing w:before="0" w:after="0"/>
              <w:ind w:left="0" w:right="0" w:hanging="0"/>
              <w:jc w:val="center"/>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65" w:type="dxa"/>
            <w:tcBorders/>
            <w:shd w:fill="CCEEFF" w:val="clear"/>
            <w:vAlign w:val="center"/>
          </w:tcPr>
          <w:p>
            <w:pPr>
              <w:pStyle w:val="TableContents"/>
              <w:bidi w:val="0"/>
              <w:spacing w:before="0" w:after="0"/>
              <w:ind w:left="0" w:right="0" w:hanging="0"/>
              <w:jc w:val="right"/>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65" w:type="dxa"/>
            <w:tcBorders/>
            <w:vAlign w:val="center"/>
          </w:tcPr>
          <w:p>
            <w:pPr>
              <w:pStyle w:val="TableContents"/>
              <w:bidi w:val="0"/>
              <w:spacing w:before="0" w:after="0"/>
              <w:ind w:left="0" w:right="0" w:hanging="0"/>
              <w:jc w:val="right"/>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65" w:type="dxa"/>
            <w:tcBorders/>
            <w:shd w:fill="CCEEFF" w:val="clear"/>
            <w:vAlign w:val="center"/>
          </w:tcPr>
          <w:p>
            <w:pPr>
              <w:pStyle w:val="TableContents"/>
              <w:bidi w:val="0"/>
              <w:spacing w:before="0" w:after="0"/>
              <w:ind w:left="0" w:right="0" w:hanging="0"/>
              <w:jc w:val="right"/>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(3,910)</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Net Loss</w:t>
            </w:r>
          </w:p>
        </w:tc>
        <w:tc>
          <w:tcPr>
            <w:tcW w:w="365" w:type="dxa"/>
            <w:tcBorders/>
            <w:vAlign w:val="center"/>
          </w:tcPr>
          <w:p>
            <w:pPr>
              <w:pStyle w:val="TableContents"/>
              <w:bidi w:val="0"/>
              <w:spacing w:before="0" w:after="0"/>
              <w:ind w:left="0" w:right="0" w:hanging="0"/>
              <w:jc w:val="right"/>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bookmarkStart w:id="1626" w:name="Tc_X8iasXOvT0GIoR7Bvnj5rg_25_7"/>
      <w:bookmarkStart w:id="1627" w:name="Tc_Km5BLRlLZ02rmgdbfJB8Og_25_0"/>
      <w:bookmarkStart w:id="1628" w:name="Tc_d0YuSVKw4ECjwx3DtjUPLw_24_0"/>
      <w:bookmarkStart w:id="1629" w:name="Tc_CsmfKfAtzUOmH8RpQyHNFA_23_0"/>
      <w:bookmarkStart w:id="1630" w:name="Tc_Skgll3R55kKy44m0kbwZLA_22_0"/>
      <w:bookmarkStart w:id="1631" w:name="Tc_lcJRA-MyAUaCDg4XZLKOWw_21_0"/>
      <w:bookmarkStart w:id="1632" w:name="Tc_SK2EtxqeH0esKZf5uMBS8w_20_0"/>
      <w:bookmarkStart w:id="1633" w:name="Tc_j4RAzg2TdkiKPk4ggCCbbw_18_0"/>
      <w:bookmarkStart w:id="1634" w:name="Tc_T60pQXsJMUiTwmAxyDyWSQ_17_5"/>
      <w:bookmarkStart w:id="1635" w:name="Tc_nPnoQCWb8UmPeIScyTq7tA_17_0"/>
      <w:bookmarkStart w:id="1636" w:name="Tc_AelruXp-bEaqwt1_5VjgrA_16_0"/>
      <w:bookmarkStart w:id="1637" w:name="Tc_Wlt1u6WppkSK20ZwCtaJOQ_15_5"/>
      <w:bookmarkStart w:id="1638" w:name="Tc_XjJviFrhokOUNp_XUt0oNA_15_0"/>
      <w:bookmarkStart w:id="1639" w:name="Tc_0-0fXedDgUqFpLkIGVv2aQ_14_0"/>
      <w:bookmarkStart w:id="1640" w:name="Tc_68uhP-sceUqVbcq6q6Dvag_13_0"/>
      <w:bookmarkStart w:id="1641" w:name="Tc_rxL4wIaVoUOHP8S_n8FFVQ_12_5"/>
      <w:bookmarkStart w:id="1642" w:name="Tc_N57Qa3von0GUzs7wbbzOjQ_12_0"/>
      <w:bookmarkStart w:id="1643" w:name="Tc_ew0TyeI-PUOsbYW9VaIH-g_11_0"/>
      <w:bookmarkStart w:id="1644" w:name="Tc_54tXHlL1hE-TP_tlBAs1Ug_9_7"/>
      <w:bookmarkStart w:id="1645" w:name="Tc_A0fH5t3w2EuGNmRI42p9sQ_9_0"/>
      <w:bookmarkStart w:id="1646" w:name="Tc_2wOEJ9fCC0uk2SePZCCUYA_8_0"/>
      <w:bookmarkStart w:id="1647" w:name="Tc_Dd_1OiG6iEOVA2SiiKbuig_7_0"/>
      <w:bookmarkStart w:id="1648" w:name="Tc_HnzUBRyYDUWDphIO6UR_Gg_5_0"/>
      <w:bookmarkStart w:id="1649" w:name="Tc_7ki1q7kM0k6nZjQ2ygutcg_4_2"/>
      <w:bookmarkStart w:id="1650" w:name="Tc__oLN5TsgV0Wwi0OF2KJjLQ_4_0"/>
      <w:bookmarkStart w:id="1651" w:name="Tc_PDCGaDs0YkKf7wto4CMlfA_3_7"/>
      <w:bookmarkStart w:id="1652" w:name="Tc_55TAvhkWq0Khg_Y1eMVSRw_3_5"/>
      <w:bookmarkStart w:id="1653" w:name="Tc_iPWN2O6DmkKZDBidDbTJSg_3_4"/>
      <w:bookmarkStart w:id="1654" w:name="Tc_M4zf8nDyx0eY5wo0mGqzOA_3_1"/>
      <w:bookmarkStart w:id="1655" w:name="Tc_xq2RdVhXAUyNYK3RWxvdMA_3_0"/>
      <w:bookmarkStart w:id="1656" w:name="Tc_YF021mlhV0CXRLGBj4_kIA_2_0"/>
      <w:bookmarkStart w:id="1657" w:name="Tc_KD1szCbpXkaPb78FXMmc5g_1_7"/>
      <w:bookmarkStart w:id="1658" w:name="Tc_TkcEmddzgUiPR6ZshIGCfA_1_4"/>
      <w:bookmarkStart w:id="1659" w:name="Tc_9phh3iX4z0qxNNDy1s7iNA_1_1"/>
      <w:bookmarkStart w:id="1660" w:name="_ee73b56a_8ce4_459e_b4b3_6d119befbeb6"/>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r>
        <w:rPr>
          <w:rFonts w:ascii="Times New Roman;Times;serif" w:hAnsi="Times New Roman;Times;serif"/>
          <w:sz w:val="20"/>
        </w:rPr>
        <w:t>Information about the Company’s operations in different segments for the nine months ended September 30, 2026, is as follows (in thousands):</w:t>
      </w:r>
    </w:p>
    <w:tbl>
      <w:tblPr>
        <w:tblW w:w="10205" w:type="dxa"/>
        <w:jc w:val="left"/>
        <w:tblInd w:w="0" w:type="dxa"/>
        <w:tblLayout w:type="fixed"/>
        <w:tblCellMar>
          <w:top w:w="0" w:type="dxa"/>
          <w:left w:w="0" w:type="dxa"/>
          <w:bottom w:w="0" w:type="dxa"/>
          <w:right w:w="0" w:type="dxa"/>
        </w:tblCellMar>
      </w:tblPr>
      <w:tblGrid>
        <w:gridCol w:w="4664"/>
        <w:gridCol w:w="362"/>
        <w:gridCol w:w="1166"/>
        <w:gridCol w:w="109"/>
        <w:gridCol w:w="653"/>
        <w:gridCol w:w="2097"/>
        <w:gridCol w:w="109"/>
        <w:gridCol w:w="211"/>
        <w:gridCol w:w="834"/>
      </w:tblGrid>
      <w:tr>
        <w:trPr/>
        <w:tc>
          <w:tcPr>
            <w:tcW w:w="4664"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29870" cy="175260"/>
                      <wp:effectExtent l="0" t="0" r="0" b="0"/>
                      <wp:wrapNone/>
                      <wp:docPr id="356" name="Frame356"/>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740410" cy="175260"/>
                      <wp:effectExtent l="0" t="0" r="0" b="0"/>
                      <wp:wrapNone/>
                      <wp:docPr id="357" name="Frame357"/>
                      <a:graphic xmlns:a="http://schemas.openxmlformats.org/drawingml/2006/main">
                        <a:graphicData uri="http://schemas.microsoft.com/office/word/2010/wordprocessingShape">
                          <wps:wsp>
                            <wps:cNvSpPr txBox="1"/>
                            <wps:spPr>
                              <a:xfrm>
                                <a:off x="0" y="0"/>
                                <a:ext cx="74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9215" cy="175260"/>
                      <wp:effectExtent l="0" t="0" r="0" b="0"/>
                      <wp:wrapNone/>
                      <wp:docPr id="358" name="Frame3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14655" cy="175260"/>
                      <wp:effectExtent l="0" t="0" r="0" b="0"/>
                      <wp:wrapNone/>
                      <wp:docPr id="359" name="Frame359"/>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1595" cy="175260"/>
                      <wp:effectExtent l="0" t="0" r="0" b="0"/>
                      <wp:wrapNone/>
                      <wp:docPr id="360" name="Frame360"/>
                      <a:graphic xmlns:a="http://schemas.openxmlformats.org/drawingml/2006/main">
                        <a:graphicData uri="http://schemas.microsoft.com/office/word/2010/wordprocessingShape">
                          <wps:wsp>
                            <wps:cNvSpPr txBox="1"/>
                            <wps:spPr>
                              <a:xfrm>
                                <a:off x="0" y="0"/>
                                <a:ext cx="1331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29590" cy="175260"/>
                      <wp:effectExtent l="0" t="0" r="0" b="0"/>
                      <wp:wrapNone/>
                      <wp:docPr id="363" name="Frame363"/>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64" w:type="dxa"/>
            <w:tcBorders/>
            <w:vAlign w:val="center"/>
          </w:tcPr>
          <w:p>
            <w:pPr>
              <w:pStyle w:val="TableContents"/>
              <w:bidi w:val="0"/>
              <w:spacing w:before="0" w:after="1"/>
              <w:ind w:left="0" w:right="0" w:hanging="0"/>
              <w:jc w:val="left"/>
              <w:rPr/>
            </w:pPr>
            <w:r>
              <w:rPr/>
              <w:t>​</w:t>
            </w:r>
          </w:p>
        </w:tc>
        <w:tc>
          <w:tcPr>
            <w:tcW w:w="15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109" w:type="dxa"/>
            <w:tcBorders/>
            <w:vAlign w:val="center"/>
          </w:tcPr>
          <w:p>
            <w:pPr>
              <w:pStyle w:val="TableContents"/>
              <w:bidi w:val="0"/>
              <w:spacing w:before="0" w:after="1"/>
              <w:ind w:left="0" w:right="0" w:hanging="0"/>
              <w:jc w:val="center"/>
              <w:rPr/>
            </w:pPr>
            <w:r>
              <w:rPr/>
              <w:t>​</w:t>
            </w:r>
          </w:p>
        </w:tc>
        <w:tc>
          <w:tcPr>
            <w:tcW w:w="27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1"/>
              <w:ind w:left="0" w:right="0" w:hanging="0"/>
              <w:jc w:val="center"/>
              <w:rPr/>
            </w:pPr>
            <w:r>
              <w:rPr/>
              <w:t>​</w:t>
            </w:r>
          </w:p>
        </w:tc>
        <w:tc>
          <w:tcPr>
            <w:tcW w:w="10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62" w:type="dxa"/>
            <w:tcBorders/>
            <w:shd w:fill="CCEEFF" w:val="clear"/>
            <w:vAlign w:val="center"/>
          </w:tcPr>
          <w:p>
            <w:pPr>
              <w:pStyle w:val="TableContents"/>
              <w:bidi w:val="0"/>
              <w:spacing w:before="0" w:after="1"/>
              <w:ind w:left="0" w:right="0" w:hanging="0"/>
              <w:jc w:val="center"/>
              <w:rPr/>
            </w:pPr>
            <w:r>
              <w:rPr/>
              <w:t>​</w:t>
            </w:r>
          </w:p>
        </w:tc>
        <w:tc>
          <w:tcPr>
            <w:tcW w:w="116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653" w:type="dxa"/>
            <w:tcBorders/>
            <w:shd w:fill="CCEEFF" w:val="clear"/>
            <w:vAlign w:val="center"/>
          </w:tcPr>
          <w:p>
            <w:pPr>
              <w:pStyle w:val="TableContents"/>
              <w:bidi w:val="0"/>
              <w:spacing w:before="0" w:after="1"/>
              <w:ind w:left="0" w:right="0" w:hanging="0"/>
              <w:jc w:val="center"/>
              <w:rPr/>
            </w:pPr>
            <w:r>
              <w:rPr/>
              <w:t>​</w:t>
            </w:r>
          </w:p>
        </w:tc>
        <w:tc>
          <w:tcPr>
            <w:tcW w:w="2097"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34" w:type="dxa"/>
            <w:tcBorders/>
            <w:shd w:fill="CCEEFF" w:val="clear"/>
            <w:vAlign w:val="center"/>
          </w:tcPr>
          <w:p>
            <w:pPr>
              <w:pStyle w:val="TableContents"/>
              <w:bidi w:val="0"/>
              <w:spacing w:before="0" w:after="1"/>
              <w:ind w:left="0" w:right="0" w:hanging="0"/>
              <w:jc w:val="center"/>
              <w:rPr/>
            </w:pPr>
            <w:r>
              <w:rPr/>
              <w:t>​</w:t>
            </w:r>
          </w:p>
        </w:tc>
      </w:tr>
      <w:tr>
        <w:trPr/>
        <w:tc>
          <w:tcPr>
            <w:tcW w:w="4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36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38,051</w:t>
            </w:r>
          </w:p>
        </w:tc>
        <w:tc>
          <w:tcPr>
            <w:tcW w:w="109" w:type="dxa"/>
            <w:tcBorders/>
            <w:vAlign w:val="center"/>
          </w:tcPr>
          <w:p>
            <w:pPr>
              <w:pStyle w:val="TableContents"/>
              <w:bidi w:val="0"/>
              <w:spacing w:before="0" w:after="1"/>
              <w:ind w:left="0" w:right="0" w:hanging="0"/>
              <w:jc w:val="right"/>
              <w:rPr/>
            </w:pPr>
            <w:r>
              <w:rPr/>
              <w:t>​</w:t>
            </w:r>
          </w:p>
        </w:tc>
        <w:tc>
          <w:tcPr>
            <w:tcW w:w="65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0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38,051</w:t>
            </w:r>
          </w:p>
        </w:tc>
      </w:tr>
      <w:tr>
        <w:trPr/>
        <w:tc>
          <w:tcPr>
            <w:tcW w:w="4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6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1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6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20,700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20,700</w:t>
            </w:r>
          </w:p>
        </w:tc>
      </w:tr>
      <w:tr>
        <w:trPr/>
        <w:tc>
          <w:tcPr>
            <w:tcW w:w="4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for Reportable Segments</w:t>
            </w:r>
          </w:p>
        </w:tc>
        <w:tc>
          <w:tcPr>
            <w:tcW w:w="362" w:type="dxa"/>
            <w:tcBorders/>
            <w:vAlign w:val="center"/>
          </w:tcPr>
          <w:p>
            <w:pPr>
              <w:pStyle w:val="TableContents"/>
              <w:bidi w:val="0"/>
              <w:spacing w:before="0" w:after="1"/>
              <w:ind w:left="0" w:right="0" w:hanging="0"/>
              <w:jc w:val="center"/>
              <w:rPr/>
            </w:pPr>
            <w:r>
              <w:rPr/>
              <w:t>​</w:t>
            </w:r>
          </w:p>
        </w:tc>
        <w:tc>
          <w:tcPr>
            <w:tcW w:w="11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38,051</w:t>
            </w:r>
          </w:p>
        </w:tc>
        <w:tc>
          <w:tcPr>
            <w:tcW w:w="109" w:type="dxa"/>
            <w:tcBorders/>
            <w:vAlign w:val="center"/>
          </w:tcPr>
          <w:p>
            <w:pPr>
              <w:pStyle w:val="TableContents"/>
              <w:bidi w:val="0"/>
              <w:spacing w:before="0" w:after="1"/>
              <w:ind w:left="0" w:right="0" w:hanging="0"/>
              <w:jc w:val="right"/>
              <w:rPr/>
            </w:pPr>
            <w:r>
              <w:rPr/>
              <w:t>​</w:t>
            </w:r>
          </w:p>
        </w:tc>
        <w:tc>
          <w:tcPr>
            <w:tcW w:w="653" w:type="dxa"/>
            <w:tcBorders/>
            <w:vAlign w:val="center"/>
          </w:tcPr>
          <w:p>
            <w:pPr>
              <w:pStyle w:val="TableContents"/>
              <w:bidi w:val="0"/>
              <w:spacing w:before="0" w:after="1"/>
              <w:ind w:left="0" w:right="0" w:hanging="0"/>
              <w:jc w:val="right"/>
              <w:rPr/>
            </w:pPr>
            <w:r>
              <w:rPr/>
              <w:t>​</w:t>
            </w:r>
          </w:p>
        </w:tc>
        <w:tc>
          <w:tcPr>
            <w:tcW w:w="20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20,700</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58,751</w:t>
            </w:r>
          </w:p>
        </w:tc>
      </w:tr>
      <w:tr>
        <w:trPr/>
        <w:tc>
          <w:tcPr>
            <w:tcW w:w="4664"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center"/>
              <w:rPr/>
            </w:pPr>
            <w:r>
              <w:rPr/>
              <w:t>​</w:t>
            </w:r>
          </w:p>
        </w:tc>
        <w:tc>
          <w:tcPr>
            <w:tcW w:w="11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653" w:type="dxa"/>
            <w:tcBorders/>
            <w:shd w:fill="CCEEFF" w:val="clear"/>
            <w:vAlign w:val="center"/>
          </w:tcPr>
          <w:p>
            <w:pPr>
              <w:pStyle w:val="TableContents"/>
              <w:bidi w:val="0"/>
              <w:spacing w:before="0" w:after="1"/>
              <w:ind w:left="0" w:right="0" w:hanging="0"/>
              <w:jc w:val="right"/>
              <w:rPr/>
            </w:pPr>
            <w:r>
              <w:rPr/>
              <w:t>​</w:t>
            </w:r>
          </w:p>
        </w:tc>
        <w:tc>
          <w:tcPr>
            <w:tcW w:w="209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34" w:type="dxa"/>
            <w:tcBorders/>
            <w:shd w:fill="CCEEFF" w:val="clear"/>
            <w:vAlign w:val="center"/>
          </w:tcPr>
          <w:p>
            <w:pPr>
              <w:pStyle w:val="TableContents"/>
              <w:bidi w:val="0"/>
              <w:spacing w:before="0" w:after="1"/>
              <w:ind w:left="0" w:right="0" w:hanging="0"/>
              <w:jc w:val="right"/>
              <w:rPr/>
            </w:pPr>
            <w:r>
              <w:rPr/>
              <w:t>​</w:t>
            </w:r>
          </w:p>
        </w:tc>
      </w:tr>
      <w:tr>
        <w:trPr/>
        <w:tc>
          <w:tcPr>
            <w:tcW w:w="4664"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Revenues</w:t>
            </w:r>
          </w:p>
        </w:tc>
        <w:tc>
          <w:tcPr>
            <w:tcW w:w="362" w:type="dxa"/>
            <w:tcBorders/>
            <w:vAlign w:val="center"/>
          </w:tcPr>
          <w:p>
            <w:pPr>
              <w:pStyle w:val="TableContents"/>
              <w:bidi w:val="0"/>
              <w:spacing w:before="0" w:after="1"/>
              <w:ind w:left="0" w:right="0" w:hanging="0"/>
              <w:jc w:val="center"/>
              <w:rPr/>
            </w:pPr>
            <w:r>
              <w:rPr/>
              <w:t>​</w:t>
            </w:r>
          </w:p>
        </w:tc>
        <w:tc>
          <w:tcPr>
            <w:tcW w:w="11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653" w:type="dxa"/>
            <w:tcBorders/>
            <w:vAlign w:val="center"/>
          </w:tcPr>
          <w:p>
            <w:pPr>
              <w:pStyle w:val="TableContents"/>
              <w:bidi w:val="0"/>
              <w:spacing w:before="0" w:after="1"/>
              <w:ind w:left="0" w:right="0" w:hanging="0"/>
              <w:jc w:val="right"/>
              <w:rPr/>
            </w:pPr>
            <w:r>
              <w:rPr/>
              <w:t>​</w:t>
            </w:r>
          </w:p>
        </w:tc>
        <w:tc>
          <w:tcPr>
            <w:tcW w:w="20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834" w:type="dxa"/>
            <w:tcBorders/>
            <w:vAlign w:val="center"/>
          </w:tcPr>
          <w:p>
            <w:pPr>
              <w:pStyle w:val="TableContents"/>
              <w:bidi w:val="0"/>
              <w:spacing w:before="0" w:after="1"/>
              <w:ind w:left="0" w:right="0" w:hanging="0"/>
              <w:jc w:val="right"/>
              <w:rPr/>
            </w:pPr>
            <w:r>
              <w:rPr/>
              <w:t>​</w:t>
            </w:r>
          </w:p>
        </w:tc>
      </w:tr>
      <w:tr>
        <w:trPr/>
        <w:tc>
          <w:tcPr>
            <w:tcW w:w="4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2" w:type="dxa"/>
            <w:tcBorders/>
            <w:shd w:fill="CCEEFF" w:val="clear"/>
            <w:vAlign w:val="center"/>
          </w:tcPr>
          <w:p>
            <w:pPr>
              <w:pStyle w:val="TableContents"/>
              <w:bidi w:val="0"/>
              <w:spacing w:before="0" w:after="1"/>
              <w:ind w:left="0" w:right="0" w:hanging="0"/>
              <w:jc w:val="center"/>
              <w:rPr/>
            </w:pPr>
            <w:r>
              <w:rPr/>
              <w:t>​</w:t>
            </w:r>
          </w:p>
        </w:tc>
        <w:tc>
          <w:tcPr>
            <w:tcW w:w="11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653" w:type="dxa"/>
            <w:tcBorders/>
            <w:shd w:fill="CCEEFF" w:val="clear"/>
            <w:vAlign w:val="center"/>
          </w:tcPr>
          <w:p>
            <w:pPr>
              <w:pStyle w:val="TableContents"/>
              <w:bidi w:val="0"/>
              <w:spacing w:before="0" w:after="1"/>
              <w:ind w:left="0" w:right="0" w:hanging="0"/>
              <w:jc w:val="right"/>
              <w:rPr/>
            </w:pPr>
            <w:r>
              <w:rPr/>
              <w:t>​</w:t>
            </w:r>
          </w:p>
        </w:tc>
        <w:tc>
          <w:tcPr>
            <w:tcW w:w="209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4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Consolidated Revenues</w:t>
            </w:r>
          </w:p>
        </w:tc>
        <w:tc>
          <w:tcPr>
            <w:tcW w:w="362" w:type="dxa"/>
            <w:tcBorders/>
            <w:vAlign w:val="center"/>
          </w:tcPr>
          <w:p>
            <w:pPr>
              <w:pStyle w:val="TableContents"/>
              <w:bidi w:val="0"/>
              <w:spacing w:before="0" w:after="1"/>
              <w:ind w:left="0" w:right="0" w:hanging="0"/>
              <w:jc w:val="center"/>
              <w:rPr/>
            </w:pPr>
            <w:r>
              <w:rPr/>
              <w:t>​</w:t>
            </w:r>
          </w:p>
        </w:tc>
        <w:tc>
          <w:tcPr>
            <w:tcW w:w="11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653" w:type="dxa"/>
            <w:tcBorders/>
            <w:vAlign w:val="center"/>
          </w:tcPr>
          <w:p>
            <w:pPr>
              <w:pStyle w:val="TableContents"/>
              <w:bidi w:val="0"/>
              <w:spacing w:before="0" w:after="1"/>
              <w:ind w:left="0" w:right="0" w:hanging="0"/>
              <w:jc w:val="right"/>
              <w:rPr/>
            </w:pPr>
            <w:r>
              <w:rPr/>
              <w:t>​</w:t>
            </w:r>
          </w:p>
        </w:tc>
        <w:tc>
          <w:tcPr>
            <w:tcW w:w="20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58,868</w:t>
            </w:r>
          </w:p>
        </w:tc>
      </w:tr>
      <w:tr>
        <w:trPr/>
        <w:tc>
          <w:tcPr>
            <w:tcW w:w="4664"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center"/>
              <w:rPr/>
            </w:pPr>
            <w:r>
              <w:rPr/>
              <w:t>​</w:t>
            </w:r>
          </w:p>
        </w:tc>
        <w:tc>
          <w:tcPr>
            <w:tcW w:w="11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653" w:type="dxa"/>
            <w:tcBorders/>
            <w:shd w:fill="CCEEFF" w:val="clear"/>
            <w:vAlign w:val="center"/>
          </w:tcPr>
          <w:p>
            <w:pPr>
              <w:pStyle w:val="TableContents"/>
              <w:bidi w:val="0"/>
              <w:spacing w:before="0" w:after="1"/>
              <w:ind w:left="0" w:right="0" w:hanging="0"/>
              <w:jc w:val="right"/>
              <w:rPr/>
            </w:pPr>
            <w:r>
              <w:rPr/>
              <w:t>​</w:t>
            </w:r>
          </w:p>
        </w:tc>
        <w:tc>
          <w:tcPr>
            <w:tcW w:w="209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34" w:type="dxa"/>
            <w:tcBorders/>
            <w:shd w:fill="CCEEFF" w:val="clear"/>
            <w:vAlign w:val="center"/>
          </w:tcPr>
          <w:p>
            <w:pPr>
              <w:pStyle w:val="TableContents"/>
              <w:bidi w:val="0"/>
              <w:spacing w:before="0" w:after="1"/>
              <w:ind w:left="0" w:right="0" w:hanging="0"/>
              <w:jc w:val="right"/>
              <w:rPr/>
            </w:pPr>
            <w:r>
              <w:rPr/>
              <w:t>​</w:t>
            </w:r>
          </w:p>
        </w:tc>
      </w:tr>
      <w:tr>
        <w:trPr/>
        <w:tc>
          <w:tcPr>
            <w:tcW w:w="4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62" w:type="dxa"/>
            <w:tcBorders/>
            <w:vAlign w:val="center"/>
          </w:tcPr>
          <w:p>
            <w:pPr>
              <w:pStyle w:val="TableContents"/>
              <w:bidi w:val="0"/>
              <w:spacing w:before="0" w:after="1"/>
              <w:ind w:left="0" w:right="0" w:hanging="0"/>
              <w:jc w:val="center"/>
              <w:rPr/>
            </w:pPr>
            <w:r>
              <w:rPr/>
              <w:t>​</w:t>
            </w:r>
          </w:p>
        </w:tc>
        <w:tc>
          <w:tcPr>
            <w:tcW w:w="11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center"/>
              <w:rPr/>
            </w:pPr>
            <w:r>
              <w:rPr/>
              <w:t>​</w:t>
            </w:r>
          </w:p>
        </w:tc>
        <w:tc>
          <w:tcPr>
            <w:tcW w:w="20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right"/>
              <w:rPr/>
            </w:pPr>
            <w:r>
              <w:rPr/>
              <w:t>​</w:t>
            </w:r>
          </w:p>
        </w:tc>
      </w:tr>
      <w:tr>
        <w:trPr/>
        <w:tc>
          <w:tcPr>
            <w:tcW w:w="4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36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1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6,482</w:t>
            </w:r>
          </w:p>
        </w:tc>
        <w:tc>
          <w:tcPr>
            <w:tcW w:w="109" w:type="dxa"/>
            <w:tcBorders/>
            <w:shd w:fill="CCEEFF" w:val="clear"/>
            <w:vAlign w:val="center"/>
          </w:tcPr>
          <w:p>
            <w:pPr>
              <w:pStyle w:val="TableContents"/>
              <w:bidi w:val="0"/>
              <w:spacing w:before="0" w:after="1"/>
              <w:ind w:left="0" w:right="0" w:hanging="0"/>
              <w:jc w:val="left"/>
              <w:rPr/>
            </w:pPr>
            <w:r>
              <w:rPr/>
              <w:t>​</w:t>
            </w:r>
          </w:p>
        </w:tc>
        <w:tc>
          <w:tcPr>
            <w:tcW w:w="653"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20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6,482</w:t>
            </w:r>
          </w:p>
        </w:tc>
      </w:tr>
      <w:tr>
        <w:trPr/>
        <w:tc>
          <w:tcPr>
            <w:tcW w:w="4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62" w:type="dxa"/>
            <w:tcBorders/>
            <w:vAlign w:val="center"/>
          </w:tcPr>
          <w:p>
            <w:pPr>
              <w:pStyle w:val="TableContents"/>
              <w:bidi w:val="0"/>
              <w:spacing w:before="0" w:after="1"/>
              <w:ind w:left="0" w:right="0" w:hanging="0"/>
              <w:jc w:val="center"/>
              <w:rPr/>
            </w:pPr>
            <w:r>
              <w:rPr/>
              <w:t>​</w:t>
            </w:r>
          </w:p>
        </w:tc>
        <w:tc>
          <w:tcPr>
            <w:tcW w:w="11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31,569</w:t>
            </w:r>
          </w:p>
        </w:tc>
        <w:tc>
          <w:tcPr>
            <w:tcW w:w="109"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center"/>
              <w:rPr/>
            </w:pPr>
            <w:r>
              <w:rPr/>
              <w:t>​</w:t>
            </w:r>
          </w:p>
        </w:tc>
        <w:tc>
          <w:tcPr>
            <w:tcW w:w="20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20,700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52,269</w:t>
            </w:r>
          </w:p>
        </w:tc>
      </w:tr>
      <w:tr>
        <w:trPr/>
        <w:tc>
          <w:tcPr>
            <w:tcW w:w="4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362" w:type="dxa"/>
            <w:tcBorders/>
            <w:shd w:fill="CCEEFF" w:val="clear"/>
            <w:vAlign w:val="center"/>
          </w:tcPr>
          <w:p>
            <w:pPr>
              <w:pStyle w:val="TableContents"/>
              <w:bidi w:val="0"/>
              <w:spacing w:before="0" w:after="1"/>
              <w:ind w:left="0" w:right="0" w:hanging="0"/>
              <w:jc w:val="center"/>
              <w:rPr/>
            </w:pPr>
            <w:r>
              <w:rPr/>
              <w:t>​</w:t>
            </w:r>
          </w:p>
        </w:tc>
        <w:tc>
          <w:tcPr>
            <w:tcW w:w="11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109"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center"/>
              <w:rPr/>
            </w:pPr>
            <w:r>
              <w:rPr/>
              <w:t>​</w:t>
            </w:r>
          </w:p>
        </w:tc>
        <w:tc>
          <w:tcPr>
            <w:tcW w:w="20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w:t>
            </w:r>
          </w:p>
        </w:tc>
      </w:tr>
      <w:tr>
        <w:trPr/>
        <w:tc>
          <w:tcPr>
            <w:tcW w:w="4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62"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20,901</w:t>
            </w:r>
          </w:p>
        </w:tc>
        <w:tc>
          <w:tcPr>
            <w:tcW w:w="109" w:type="dxa"/>
            <w:tcBorders/>
            <w:vAlign w:val="center"/>
          </w:tcPr>
          <w:p>
            <w:pPr>
              <w:pStyle w:val="TableContents"/>
              <w:bidi w:val="0"/>
              <w:spacing w:before="0" w:after="1"/>
              <w:ind w:left="0" w:right="0" w:hanging="0"/>
              <w:jc w:val="left"/>
              <w:rPr/>
            </w:pPr>
            <w:r>
              <w:rPr/>
              <w:t>​</w:t>
            </w:r>
          </w:p>
        </w:tc>
        <w:tc>
          <w:tcPr>
            <w:tcW w:w="653"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09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20,901</w:t>
            </w:r>
          </w:p>
        </w:tc>
      </w:tr>
      <w:tr>
        <w:trPr/>
        <w:tc>
          <w:tcPr>
            <w:tcW w:w="4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62" w:type="dxa"/>
            <w:tcBorders/>
            <w:shd w:fill="CCEEFF" w:val="clear"/>
            <w:vAlign w:val="center"/>
          </w:tcPr>
          <w:p>
            <w:pPr>
              <w:pStyle w:val="TableContents"/>
              <w:bidi w:val="0"/>
              <w:spacing w:before="0" w:after="1"/>
              <w:ind w:left="0" w:right="0" w:hanging="0"/>
              <w:jc w:val="center"/>
              <w:rPr/>
            </w:pPr>
            <w:r>
              <w:rPr/>
              <w:t>​</w:t>
            </w:r>
          </w:p>
        </w:tc>
        <w:tc>
          <w:tcPr>
            <w:tcW w:w="11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10,507</w:t>
            </w:r>
          </w:p>
        </w:tc>
        <w:tc>
          <w:tcPr>
            <w:tcW w:w="109"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center"/>
              <w:rPr/>
            </w:pPr>
            <w:r>
              <w:rPr/>
              <w:t>​</w:t>
            </w:r>
          </w:p>
        </w:tc>
        <w:tc>
          <w:tcPr>
            <w:tcW w:w="20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30,559</w:t>
            </w:r>
          </w:p>
        </w:tc>
      </w:tr>
      <w:tr>
        <w:trPr/>
        <w:tc>
          <w:tcPr>
            <w:tcW w:w="4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62"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109" w:type="dxa"/>
            <w:tcBorders/>
            <w:vAlign w:val="center"/>
          </w:tcPr>
          <w:p>
            <w:pPr>
              <w:pStyle w:val="TableContents"/>
              <w:bidi w:val="0"/>
              <w:spacing w:before="0" w:after="1"/>
              <w:ind w:left="0" w:right="0" w:hanging="0"/>
              <w:jc w:val="left"/>
              <w:rPr/>
            </w:pPr>
            <w:r>
              <w:rPr/>
              <w:t>​</w:t>
            </w:r>
          </w:p>
        </w:tc>
        <w:tc>
          <w:tcPr>
            <w:tcW w:w="653"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09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r>
      <w:tr>
        <w:trPr/>
        <w:tc>
          <w:tcPr>
            <w:tcW w:w="4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From Operations for Reportable Segments</w:t>
            </w:r>
          </w:p>
        </w:tc>
        <w:tc>
          <w:tcPr>
            <w:tcW w:w="362" w:type="dxa"/>
            <w:tcBorders/>
            <w:shd w:fill="CCEEFF" w:val="clear"/>
            <w:vAlign w:val="center"/>
          </w:tcPr>
          <w:p>
            <w:pPr>
              <w:pStyle w:val="TableContents"/>
              <w:bidi w:val="0"/>
              <w:spacing w:before="0" w:after="1"/>
              <w:ind w:left="0" w:right="0" w:hanging="0"/>
              <w:jc w:val="center"/>
              <w:rPr/>
            </w:pPr>
            <w:r>
              <w:rPr/>
              <w:t>​</w:t>
            </w:r>
          </w:p>
        </w:tc>
        <w:tc>
          <w:tcPr>
            <w:tcW w:w="11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10,876</w:t>
            </w:r>
          </w:p>
        </w:tc>
        <w:tc>
          <w:tcPr>
            <w:tcW w:w="109"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center"/>
              <w:rPr/>
            </w:pPr>
            <w:r>
              <w:rPr/>
              <w:t>​</w:t>
            </w:r>
          </w:p>
        </w:tc>
        <w:tc>
          <w:tcPr>
            <w:tcW w:w="20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30,928</w:t>
            </w:r>
          </w:p>
        </w:tc>
      </w:tr>
      <w:tr>
        <w:trPr/>
        <w:tc>
          <w:tcPr>
            <w:tcW w:w="4664"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center"/>
              <w:rPr/>
            </w:pPr>
            <w:r>
              <w:rPr/>
              <w:t>​</w:t>
            </w:r>
          </w:p>
        </w:tc>
        <w:tc>
          <w:tcPr>
            <w:tcW w:w="11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center"/>
              <w:rPr/>
            </w:pPr>
            <w:r>
              <w:rPr/>
              <w:t>​</w:t>
            </w:r>
          </w:p>
        </w:tc>
        <w:tc>
          <w:tcPr>
            <w:tcW w:w="20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right"/>
              <w:rPr/>
            </w:pPr>
            <w:r>
              <w:rPr/>
              <w:t>​</w:t>
            </w:r>
          </w:p>
        </w:tc>
      </w:tr>
      <w:tr>
        <w:trPr/>
        <w:tc>
          <w:tcPr>
            <w:tcW w:w="4664"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62" w:type="dxa"/>
            <w:tcBorders/>
            <w:shd w:fill="CCEEFF" w:val="clear"/>
            <w:vAlign w:val="center"/>
          </w:tcPr>
          <w:p>
            <w:pPr>
              <w:pStyle w:val="TableContents"/>
              <w:bidi w:val="0"/>
              <w:spacing w:before="0" w:after="1"/>
              <w:ind w:left="0" w:right="0" w:hanging="0"/>
              <w:jc w:val="center"/>
              <w:rPr/>
            </w:pPr>
            <w:r>
              <w:rPr/>
              <w:t>​</w:t>
            </w:r>
          </w:p>
        </w:tc>
        <w:tc>
          <w:tcPr>
            <w:tcW w:w="11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center"/>
              <w:rPr/>
            </w:pPr>
            <w:r>
              <w:rPr/>
              <w:t>​</w:t>
            </w:r>
          </w:p>
        </w:tc>
        <w:tc>
          <w:tcPr>
            <w:tcW w:w="209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34" w:type="dxa"/>
            <w:tcBorders/>
            <w:shd w:fill="CCEEFF" w:val="clear"/>
            <w:vAlign w:val="center"/>
          </w:tcPr>
          <w:p>
            <w:pPr>
              <w:pStyle w:val="TableContents"/>
              <w:bidi w:val="0"/>
              <w:spacing w:before="0" w:after="1"/>
              <w:ind w:left="0" w:right="0" w:hanging="0"/>
              <w:jc w:val="right"/>
              <w:rPr/>
            </w:pPr>
            <w:r>
              <w:rPr/>
              <w:t>​</w:t>
            </w:r>
          </w:p>
        </w:tc>
      </w:tr>
      <w:tr>
        <w:trPr/>
        <w:tc>
          <w:tcPr>
            <w:tcW w:w="4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2" w:type="dxa"/>
            <w:tcBorders/>
            <w:vAlign w:val="center"/>
          </w:tcPr>
          <w:p>
            <w:pPr>
              <w:pStyle w:val="TableContents"/>
              <w:bidi w:val="0"/>
              <w:spacing w:before="0" w:after="1"/>
              <w:ind w:left="0" w:right="0" w:hanging="0"/>
              <w:jc w:val="center"/>
              <w:rPr/>
            </w:pPr>
            <w:r>
              <w:rPr/>
              <w:t>​</w:t>
            </w:r>
          </w:p>
        </w:tc>
        <w:tc>
          <w:tcPr>
            <w:tcW w:w="11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center"/>
              <w:rPr/>
            </w:pPr>
            <w:r>
              <w:rPr/>
              <w:t>​</w:t>
            </w:r>
          </w:p>
        </w:tc>
        <w:tc>
          <w:tcPr>
            <w:tcW w:w="20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4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62" w:type="dxa"/>
            <w:tcBorders/>
            <w:shd w:fill="CCEEFF" w:val="clear"/>
            <w:vAlign w:val="center"/>
          </w:tcPr>
          <w:p>
            <w:pPr>
              <w:pStyle w:val="TableContents"/>
              <w:bidi w:val="0"/>
              <w:spacing w:before="0" w:after="1"/>
              <w:ind w:left="0" w:right="0" w:hanging="0"/>
              <w:jc w:val="center"/>
              <w:rPr/>
            </w:pPr>
            <w:r>
              <w:rPr/>
              <w:t>​</w:t>
            </w:r>
          </w:p>
        </w:tc>
        <w:tc>
          <w:tcPr>
            <w:tcW w:w="11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653" w:type="dxa"/>
            <w:tcBorders/>
            <w:shd w:fill="CCEEFF" w:val="clear"/>
            <w:vAlign w:val="center"/>
          </w:tcPr>
          <w:p>
            <w:pPr>
              <w:pStyle w:val="TableContents"/>
              <w:bidi w:val="0"/>
              <w:spacing w:before="0" w:after="1"/>
              <w:ind w:left="0" w:right="0" w:hanging="0"/>
              <w:jc w:val="right"/>
              <w:rPr/>
            </w:pPr>
            <w:r>
              <w:rPr/>
              <w:t>​</w:t>
            </w:r>
          </w:p>
        </w:tc>
        <w:tc>
          <w:tcPr>
            <w:tcW w:w="209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(5,896)</w:t>
            </w:r>
          </w:p>
        </w:tc>
      </w:tr>
      <w:tr>
        <w:trPr/>
        <w:tc>
          <w:tcPr>
            <w:tcW w:w="4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62" w:type="dxa"/>
            <w:tcBorders/>
            <w:vAlign w:val="center"/>
          </w:tcPr>
          <w:p>
            <w:pPr>
              <w:pStyle w:val="TableContents"/>
              <w:bidi w:val="0"/>
              <w:spacing w:before="0" w:after="1"/>
              <w:ind w:left="0" w:right="0" w:hanging="0"/>
              <w:jc w:val="left"/>
              <w:rPr/>
            </w:pPr>
            <w:r>
              <w:rPr/>
              <w:t>​</w:t>
            </w:r>
          </w:p>
        </w:tc>
        <w:tc>
          <w:tcPr>
            <w:tcW w:w="11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653" w:type="dxa"/>
            <w:tcBorders/>
            <w:vAlign w:val="center"/>
          </w:tcPr>
          <w:p>
            <w:pPr>
              <w:pStyle w:val="TableContents"/>
              <w:bidi w:val="0"/>
              <w:spacing w:before="0" w:after="1"/>
              <w:ind w:left="0" w:right="0" w:hanging="0"/>
              <w:jc w:val="right"/>
              <w:rPr/>
            </w:pPr>
            <w:r>
              <w:rPr/>
              <w:t>​</w:t>
            </w:r>
          </w:p>
        </w:tc>
        <w:tc>
          <w:tcPr>
            <w:tcW w:w="20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r>
      <w:tr>
        <w:trPr/>
        <w:tc>
          <w:tcPr>
            <w:tcW w:w="46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62" w:type="dxa"/>
            <w:tcBorders/>
            <w:shd w:fill="CCEEFF" w:val="clear"/>
            <w:vAlign w:val="center"/>
          </w:tcPr>
          <w:p>
            <w:pPr>
              <w:pStyle w:val="TableContents"/>
              <w:bidi w:val="0"/>
              <w:spacing w:before="0" w:after="1"/>
              <w:ind w:left="0" w:right="0" w:hanging="0"/>
              <w:jc w:val="left"/>
              <w:rPr/>
            </w:pPr>
            <w:r>
              <w:rPr/>
              <w:t>​</w:t>
            </w:r>
          </w:p>
        </w:tc>
        <w:tc>
          <w:tcPr>
            <w:tcW w:w="11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653" w:type="dxa"/>
            <w:tcBorders/>
            <w:shd w:fill="CCEEFF" w:val="clear"/>
            <w:vAlign w:val="center"/>
          </w:tcPr>
          <w:p>
            <w:pPr>
              <w:pStyle w:val="TableContents"/>
              <w:bidi w:val="0"/>
              <w:spacing w:before="0" w:after="1"/>
              <w:ind w:left="0" w:right="0" w:hanging="0"/>
              <w:jc w:val="right"/>
              <w:rPr/>
            </w:pPr>
            <w:r>
              <w:rPr/>
              <w:t>​</w:t>
            </w:r>
          </w:p>
        </w:tc>
        <w:tc>
          <w:tcPr>
            <w:tcW w:w="209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(13,760)</w:t>
            </w:r>
          </w:p>
        </w:tc>
      </w:tr>
      <w:tr>
        <w:trPr/>
        <w:tc>
          <w:tcPr>
            <w:tcW w:w="4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Income</w:t>
            </w:r>
          </w:p>
        </w:tc>
        <w:tc>
          <w:tcPr>
            <w:tcW w:w="362" w:type="dxa"/>
            <w:tcBorders/>
            <w:vAlign w:val="center"/>
          </w:tcPr>
          <w:p>
            <w:pPr>
              <w:pStyle w:val="TableContents"/>
              <w:bidi w:val="0"/>
              <w:spacing w:before="0" w:after="1"/>
              <w:ind w:left="0" w:right="0" w:hanging="0"/>
              <w:jc w:val="left"/>
              <w:rPr/>
            </w:pPr>
            <w:r>
              <w:rPr/>
              <w:t>​</w:t>
            </w:r>
          </w:p>
        </w:tc>
        <w:tc>
          <w:tcPr>
            <w:tcW w:w="11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653" w:type="dxa"/>
            <w:tcBorders/>
            <w:vAlign w:val="center"/>
          </w:tcPr>
          <w:p>
            <w:pPr>
              <w:pStyle w:val="TableContents"/>
              <w:bidi w:val="0"/>
              <w:spacing w:before="0" w:after="1"/>
              <w:ind w:left="0" w:right="0" w:hanging="0"/>
              <w:jc w:val="right"/>
              <w:rPr/>
            </w:pPr>
            <w:r>
              <w:rPr/>
              <w:t>​</w:t>
            </w:r>
          </w:p>
        </w:tc>
        <w:tc>
          <w:tcPr>
            <w:tcW w:w="209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11,861</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bookmarkStart w:id="1661" w:name="Tc_OiR3BHQml0G2LDqsPY54KA_6_10"/>
      <w:bookmarkStart w:id="1662" w:name="Tc_TqQ2sOjjEUaU8OBTIr2KkQ_6_7"/>
      <w:bookmarkStart w:id="1663" w:name="Tc_ynklp2dXw0eadxfmWrWFvg_6_4"/>
      <w:bookmarkStart w:id="1664" w:name="Tc_T-Av0-YXVUaSx7a0P1nB0w_6_1"/>
      <w:bookmarkStart w:id="1665" w:name="Tc_kDmukb47iUuqqMz3CH5ZvQ_6_0"/>
      <w:bookmarkStart w:id="1666" w:name="Tc_PgfgSOwVAkmBMygbdcMh2g_5_0"/>
      <w:bookmarkStart w:id="1667" w:name="Tc_aqHE4oL_-U6q5FRcm1j0jA_4_10"/>
      <w:bookmarkStart w:id="1668" w:name="Tc_agATXT7PakOTfyZk27Hg4A_4_7"/>
      <w:bookmarkStart w:id="1669" w:name="Tc_HgxexipLLkGCqgeUYUVlbw_4_4"/>
      <w:bookmarkStart w:id="1670" w:name="Tc_yaPwY8sCLk-wH1uGKKlYHQ_4_1"/>
      <w:bookmarkStart w:id="1671" w:name="Tc_o6ioG18Ks0iDOMcG8l7Tvw_4_0"/>
      <w:bookmarkStart w:id="1672" w:name="Tc_cFspm9TOC02qj4w_jWssVg_3_0"/>
      <w:bookmarkStart w:id="1673" w:name="Tc_vb-5xdFj8Uy-5HOywv0Gaw_2_10"/>
      <w:bookmarkStart w:id="1674" w:name="Tc_uRSlSRR11km0gl5pfTWWzA_2_7"/>
      <w:bookmarkStart w:id="1675" w:name="Tc_rdVI5qMHxk2QyWIjEMkd3A_2_4"/>
      <w:bookmarkStart w:id="1676" w:name="Tc_OyErLgoM_0KuhZy7LW0xrg_2_1"/>
      <w:bookmarkStart w:id="1677" w:name="Tc_4-d84VW3DEaJcEMwLYgOBQ_1_7"/>
      <w:bookmarkStart w:id="1678" w:name="Tc__6l-7uYoDkmGbQimXLtKyg_1_1"/>
      <w:bookmarkStart w:id="1679" w:name="_7a129bed_a7f0_4c71_898c_17620a454d71"/>
      <w:bookmarkStart w:id="1680" w:name="Tc_hglkfRi6mkCzNU7NxWT9sg_25_7"/>
      <w:bookmarkStart w:id="1681" w:name="Tc_y1OgNhBrq0Wo6vxELfJYvA_25_0"/>
      <w:bookmarkStart w:id="1682" w:name="Tc_nYdFLcCZ_ke6cR4LeT_YbA_24_0"/>
      <w:bookmarkStart w:id="1683" w:name="Tc_V1Bbo-YHHEW-QCKefcQv2Q_23_0"/>
      <w:bookmarkStart w:id="1684" w:name="Tc_Ge9qEe4tNE-Lw4yF0vWbtg_22_0"/>
      <w:bookmarkStart w:id="1685" w:name="Tc_cGrHgXI7vUysUh9au6Lglg_21_0"/>
      <w:bookmarkStart w:id="1686" w:name="Tc__l0tHzyHs0GnGsakBlVmtQ_20_0"/>
      <w:bookmarkStart w:id="1687" w:name="Tc_z3vL-MKijUuFJs1by_KtKw_18_0"/>
      <w:bookmarkStart w:id="1688" w:name="Tc_bSTqNZtOdEmv-My0thrZvg_17_5"/>
      <w:bookmarkStart w:id="1689" w:name="Tc_c5IlGS8TKEqFM2z3NsICzQ_17_0"/>
      <w:bookmarkStart w:id="1690" w:name="Tc_IjSK1S6vdUyT54mipJm27g_16_0"/>
      <w:bookmarkStart w:id="1691" w:name="Tc_Si9yybs5XkGjSAXdFu25TQ_15_5"/>
      <w:bookmarkStart w:id="1692" w:name="Tc_BIO85hdhYk-ajNGwzobOrA_15_0"/>
      <w:bookmarkStart w:id="1693" w:name="Tc_Zk_F4LzjR02P7BUc2JmpEg_14_0"/>
      <w:bookmarkStart w:id="1694" w:name="Tc_tprteYMA5UqEF5pYXcFAIA_13_0"/>
      <w:bookmarkStart w:id="1695" w:name="Tc_8-wLlGUcF0ytfPvuAb4clA_12_5"/>
      <w:bookmarkStart w:id="1696" w:name="Tc_ICRRmXMAHEm5zrRYPDNbiw_12_0"/>
      <w:bookmarkStart w:id="1697" w:name="Tc_ORg1P53mVken5D3THtwKyg_11_0"/>
      <w:bookmarkStart w:id="1698" w:name="Tc_1tsZ1YntAUitoAYwWYNT2Q_9_7"/>
      <w:bookmarkStart w:id="1699" w:name="Tc_wlefZYJ1yUKpbGDVwubpyg_9_0"/>
      <w:bookmarkStart w:id="1700" w:name="Tc_Y6lrjLLk5k25Ahq3HIUy2Q_8_0"/>
      <w:bookmarkStart w:id="1701" w:name="Tc_xowQppcRR0qq-HeqagWRsA_7_0"/>
      <w:bookmarkStart w:id="1702" w:name="Tc_y_8fQ8v5mEiJa4ob4jc5Rw_5_0"/>
      <w:bookmarkStart w:id="1703" w:name="Tc_kJ1qtMLVCUuTrEdXHvNJ6Q_4_2"/>
      <w:bookmarkStart w:id="1704" w:name="Tc_AplHKfADukKlvFLPfD7w-A_4_0"/>
      <w:bookmarkStart w:id="1705" w:name="Tc_G68rV0EMYUKCyMeOJfiBmg_3_7"/>
      <w:bookmarkStart w:id="1706" w:name="Tc_da9SIkggskiZVirnH2BpSQ_3_5"/>
      <w:bookmarkStart w:id="1707" w:name="Tc_783H2XhBYkWwJ3CxBFhIUA_3_4"/>
      <w:bookmarkStart w:id="1708" w:name="Tc_oIQoVMsB7EO1_PKqGCXlhA_3_1"/>
      <w:bookmarkStart w:id="1709" w:name="Tc_ZcLMas9ssUCe-lHFEBEVsg_3_0"/>
      <w:bookmarkStart w:id="1710" w:name="Tc_5iw-ZrPqIE-qijyBo8Tn3g_2_0"/>
      <w:bookmarkStart w:id="1711" w:name="Tc_MhUFOsTtFUC9v5SvvO9Q6A_1_7"/>
      <w:bookmarkStart w:id="1712" w:name="Tc_JORcEkSgjECAmNYANrhhDw_1_4"/>
      <w:bookmarkStart w:id="1713" w:name="Tc__irfDefJqUC5lc115vBwiA_1_1"/>
      <w:bookmarkStart w:id="1714" w:name="_8cad04dd_50c9_485e_a178_76ecb1080cec"/>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r>
        <w:rPr>
          <w:rFonts w:ascii="Times New Roman;Times;serif" w:hAnsi="Times New Roman;Times;serif"/>
          <w:sz w:val="20"/>
        </w:rPr>
        <w:t>Information about the Company’s operations in different segments for the nine months ended September 30, 2025, is as follows (in thousands):</w:t>
      </w:r>
    </w:p>
    <w:tbl>
      <w:tblPr>
        <w:tblW w:w="10205" w:type="dxa"/>
        <w:jc w:val="left"/>
        <w:tblInd w:w="0" w:type="dxa"/>
        <w:tblLayout w:type="fixed"/>
        <w:tblCellMar>
          <w:top w:w="0" w:type="dxa"/>
          <w:left w:w="0" w:type="dxa"/>
          <w:bottom w:w="0" w:type="dxa"/>
          <w:right w:w="0" w:type="dxa"/>
        </w:tblCellMar>
      </w:tblPr>
      <w:tblGrid>
        <w:gridCol w:w="4666"/>
        <w:gridCol w:w="362"/>
        <w:gridCol w:w="1166"/>
        <w:gridCol w:w="109"/>
        <w:gridCol w:w="739"/>
        <w:gridCol w:w="2011"/>
        <w:gridCol w:w="109"/>
        <w:gridCol w:w="211"/>
        <w:gridCol w:w="832"/>
      </w:tblGrid>
      <w:tr>
        <w:trPr/>
        <w:tc>
          <w:tcPr>
            <w:tcW w:w="466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29870" cy="175260"/>
                      <wp:effectExtent l="0" t="0" r="0" b="0"/>
                      <wp:wrapNone/>
                      <wp:docPr id="364" name="Frame364"/>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740410" cy="175260"/>
                      <wp:effectExtent l="0" t="0" r="0" b="0"/>
                      <wp:wrapNone/>
                      <wp:docPr id="365" name="Frame365"/>
                      <a:graphic xmlns:a="http://schemas.openxmlformats.org/drawingml/2006/main">
                        <a:graphicData uri="http://schemas.microsoft.com/office/word/2010/wordprocessingShape">
                          <wps:wsp>
                            <wps:cNvSpPr txBox="1"/>
                            <wps:spPr>
                              <a:xfrm>
                                <a:off x="0" y="0"/>
                                <a:ext cx="74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9215" cy="175260"/>
                      <wp:effectExtent l="0" t="0" r="0" b="0"/>
                      <wp:wrapNone/>
                      <wp:docPr id="366" name="Frame3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69265" cy="175260"/>
                      <wp:effectExtent l="0" t="0" r="0" b="0"/>
                      <wp:wrapNone/>
                      <wp:docPr id="367" name="Frame367"/>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276985" cy="175260"/>
                      <wp:effectExtent l="0" t="0" r="0" b="0"/>
                      <wp:wrapNone/>
                      <wp:docPr id="368" name="Frame368"/>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9215" cy="175260"/>
                      <wp:effectExtent l="0" t="0" r="0" b="0"/>
                      <wp:wrapNone/>
                      <wp:docPr id="369" name="Frame3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70"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28320" cy="175260"/>
                      <wp:effectExtent l="0" t="0" r="0" b="0"/>
                      <wp:wrapNone/>
                      <wp:docPr id="371" name="Frame371"/>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1"/>
              <w:ind w:left="0" w:right="0" w:hanging="0"/>
              <w:jc w:val="left"/>
              <w:rPr/>
            </w:pPr>
            <w:r>
              <w:rPr/>
              <w:t>​</w:t>
            </w:r>
          </w:p>
        </w:tc>
        <w:tc>
          <w:tcPr>
            <w:tcW w:w="15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109" w:type="dxa"/>
            <w:tcBorders/>
            <w:vAlign w:val="center"/>
          </w:tcPr>
          <w:p>
            <w:pPr>
              <w:pStyle w:val="TableContents"/>
              <w:bidi w:val="0"/>
              <w:spacing w:before="0" w:after="1"/>
              <w:ind w:left="0" w:right="0" w:hanging="0"/>
              <w:jc w:val="center"/>
              <w:rPr/>
            </w:pPr>
            <w:r>
              <w:rPr/>
              <w:t>​</w:t>
            </w:r>
          </w:p>
        </w:tc>
        <w:tc>
          <w:tcPr>
            <w:tcW w:w="27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1"/>
              <w:ind w:left="0" w:right="0" w:hanging="0"/>
              <w:jc w:val="center"/>
              <w:rPr/>
            </w:pPr>
            <w:r>
              <w:rPr/>
              <w:t>​</w:t>
            </w:r>
          </w:p>
        </w:tc>
        <w:tc>
          <w:tcPr>
            <w:tcW w:w="10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62" w:type="dxa"/>
            <w:tcBorders/>
            <w:shd w:fill="CCEEFF" w:val="clear"/>
            <w:vAlign w:val="center"/>
          </w:tcPr>
          <w:p>
            <w:pPr>
              <w:pStyle w:val="TableContents"/>
              <w:bidi w:val="0"/>
              <w:spacing w:before="0" w:after="1"/>
              <w:ind w:left="0" w:right="0" w:hanging="0"/>
              <w:jc w:val="center"/>
              <w:rPr/>
            </w:pPr>
            <w:r>
              <w:rPr/>
              <w:t>​</w:t>
            </w:r>
          </w:p>
        </w:tc>
        <w:tc>
          <w:tcPr>
            <w:tcW w:w="116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739" w:type="dxa"/>
            <w:tcBorders/>
            <w:shd w:fill="CCEEFF" w:val="clear"/>
            <w:vAlign w:val="center"/>
          </w:tcPr>
          <w:p>
            <w:pPr>
              <w:pStyle w:val="TableContents"/>
              <w:bidi w:val="0"/>
              <w:spacing w:before="0" w:after="1"/>
              <w:ind w:left="0" w:right="0" w:hanging="0"/>
              <w:jc w:val="center"/>
              <w:rPr/>
            </w:pPr>
            <w:r>
              <w:rPr/>
              <w:t>​</w:t>
            </w:r>
          </w:p>
        </w:tc>
        <w:tc>
          <w:tcPr>
            <w:tcW w:w="201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32" w:type="dxa"/>
            <w:tcBorders/>
            <w:shd w:fill="CCEEFF" w:val="clear"/>
            <w:vAlign w:val="center"/>
          </w:tcPr>
          <w:p>
            <w:pPr>
              <w:pStyle w:val="TableContents"/>
              <w:bidi w:val="0"/>
              <w:spacing w:before="0" w:after="1"/>
              <w:ind w:left="0" w:right="0" w:hanging="0"/>
              <w:jc w:val="center"/>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36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35,970</w:t>
            </w:r>
          </w:p>
        </w:tc>
        <w:tc>
          <w:tcPr>
            <w:tcW w:w="109" w:type="dxa"/>
            <w:tcBorders/>
            <w:vAlign w:val="center"/>
          </w:tcPr>
          <w:p>
            <w:pPr>
              <w:pStyle w:val="TableContents"/>
              <w:bidi w:val="0"/>
              <w:spacing w:before="0" w:after="1"/>
              <w:ind w:left="0" w:right="0" w:hanging="0"/>
              <w:jc w:val="right"/>
              <w:rPr/>
            </w:pPr>
            <w:r>
              <w:rPr/>
              <w:t>​</w:t>
            </w:r>
          </w:p>
        </w:tc>
        <w:tc>
          <w:tcPr>
            <w:tcW w:w="73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0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35,970</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7,358</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7,358</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for Reportable Segments</w:t>
            </w:r>
          </w:p>
        </w:tc>
        <w:tc>
          <w:tcPr>
            <w:tcW w:w="362" w:type="dxa"/>
            <w:tcBorders/>
            <w:vAlign w:val="center"/>
          </w:tcPr>
          <w:p>
            <w:pPr>
              <w:pStyle w:val="TableContents"/>
              <w:bidi w:val="0"/>
              <w:spacing w:before="0" w:after="1"/>
              <w:ind w:left="0" w:right="0" w:hanging="0"/>
              <w:jc w:val="right"/>
              <w:rPr/>
            </w:pPr>
            <w:r>
              <w:rPr/>
              <w:t>​</w:t>
            </w:r>
          </w:p>
        </w:tc>
        <w:tc>
          <w:tcPr>
            <w:tcW w:w="11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35,970</w:t>
            </w:r>
          </w:p>
        </w:tc>
        <w:tc>
          <w:tcPr>
            <w:tcW w:w="109" w:type="dxa"/>
            <w:tcBorders/>
            <w:vAlign w:val="center"/>
          </w:tcPr>
          <w:p>
            <w:pPr>
              <w:pStyle w:val="TableContents"/>
              <w:bidi w:val="0"/>
              <w:spacing w:before="0" w:after="1"/>
              <w:ind w:left="0" w:right="0" w:hanging="0"/>
              <w:jc w:val="right"/>
              <w:rPr/>
            </w:pPr>
            <w:r>
              <w:rPr/>
              <w:t>​</w:t>
            </w:r>
          </w:p>
        </w:tc>
        <w:tc>
          <w:tcPr>
            <w:tcW w:w="739" w:type="dxa"/>
            <w:tcBorders/>
            <w:vAlign w:val="center"/>
          </w:tcPr>
          <w:p>
            <w:pPr>
              <w:pStyle w:val="TableContents"/>
              <w:bidi w:val="0"/>
              <w:spacing w:before="0" w:after="1"/>
              <w:ind w:left="0" w:right="0" w:hanging="0"/>
              <w:jc w:val="right"/>
              <w:rPr/>
            </w:pPr>
            <w:r>
              <w:rPr/>
              <w:t>​</w:t>
            </w:r>
          </w:p>
        </w:tc>
        <w:tc>
          <w:tcPr>
            <w:tcW w:w="20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7,358</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43,328</w:t>
            </w:r>
          </w:p>
        </w:tc>
      </w:tr>
      <w:tr>
        <w:trPr/>
        <w:tc>
          <w:tcPr>
            <w:tcW w:w="4666"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right"/>
              <w:rPr/>
            </w:pPr>
            <w:r>
              <w:rPr/>
              <w:t>​</w:t>
            </w:r>
          </w:p>
        </w:tc>
        <w:tc>
          <w:tcPr>
            <w:tcW w:w="11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20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32" w:type="dxa"/>
            <w:tcBorders/>
            <w:shd w:fill="CCEEFF" w:val="clear"/>
            <w:vAlign w:val="center"/>
          </w:tcPr>
          <w:p>
            <w:pPr>
              <w:pStyle w:val="TableContents"/>
              <w:bidi w:val="0"/>
              <w:spacing w:before="0" w:after="1"/>
              <w:ind w:left="0" w:right="0" w:hanging="0"/>
              <w:jc w:val="righ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Revenues</w:t>
            </w:r>
          </w:p>
        </w:tc>
        <w:tc>
          <w:tcPr>
            <w:tcW w:w="362" w:type="dxa"/>
            <w:tcBorders/>
            <w:vAlign w:val="center"/>
          </w:tcPr>
          <w:p>
            <w:pPr>
              <w:pStyle w:val="TableContents"/>
              <w:bidi w:val="0"/>
              <w:spacing w:before="0" w:after="1"/>
              <w:ind w:left="0" w:right="0" w:hanging="0"/>
              <w:jc w:val="right"/>
              <w:rPr/>
            </w:pPr>
            <w:r>
              <w:rPr/>
              <w:t>​</w:t>
            </w:r>
          </w:p>
        </w:tc>
        <w:tc>
          <w:tcPr>
            <w:tcW w:w="11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739" w:type="dxa"/>
            <w:tcBorders/>
            <w:vAlign w:val="center"/>
          </w:tcPr>
          <w:p>
            <w:pPr>
              <w:pStyle w:val="TableContents"/>
              <w:bidi w:val="0"/>
              <w:spacing w:before="0" w:after="1"/>
              <w:ind w:left="0" w:right="0" w:hanging="0"/>
              <w:jc w:val="right"/>
              <w:rPr/>
            </w:pPr>
            <w:r>
              <w:rPr/>
              <w:t>​</w:t>
            </w:r>
          </w:p>
        </w:tc>
        <w:tc>
          <w:tcPr>
            <w:tcW w:w="20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832" w:type="dxa"/>
            <w:tcBorders/>
            <w:vAlign w:val="center"/>
          </w:tcPr>
          <w:p>
            <w:pPr>
              <w:pStyle w:val="TableContents"/>
              <w:bidi w:val="0"/>
              <w:spacing w:before="0" w:after="1"/>
              <w:ind w:left="0" w:right="0" w:hanging="0"/>
              <w:jc w:val="right"/>
              <w:rPr/>
            </w:pPr>
            <w:r>
              <w:rPr/>
              <w:t>​</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2" w:type="dxa"/>
            <w:tcBorders/>
            <w:shd w:fill="CCEEFF" w:val="clear"/>
            <w:vAlign w:val="center"/>
          </w:tcPr>
          <w:p>
            <w:pPr>
              <w:pStyle w:val="TableContents"/>
              <w:bidi w:val="0"/>
              <w:spacing w:before="0" w:after="1"/>
              <w:ind w:left="0" w:right="0" w:hanging="0"/>
              <w:jc w:val="right"/>
              <w:rPr/>
            </w:pPr>
            <w:r>
              <w:rPr/>
              <w:t>​</w:t>
            </w:r>
          </w:p>
        </w:tc>
        <w:tc>
          <w:tcPr>
            <w:tcW w:w="11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20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Consolidated Revenues</w:t>
            </w:r>
          </w:p>
        </w:tc>
        <w:tc>
          <w:tcPr>
            <w:tcW w:w="362" w:type="dxa"/>
            <w:tcBorders/>
            <w:vAlign w:val="center"/>
          </w:tcPr>
          <w:p>
            <w:pPr>
              <w:pStyle w:val="TableContents"/>
              <w:bidi w:val="0"/>
              <w:spacing w:before="0" w:after="1"/>
              <w:ind w:left="0" w:right="0" w:hanging="0"/>
              <w:jc w:val="right"/>
              <w:rPr/>
            </w:pPr>
            <w:r>
              <w:rPr/>
              <w:t>​</w:t>
            </w:r>
          </w:p>
        </w:tc>
        <w:tc>
          <w:tcPr>
            <w:tcW w:w="11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739" w:type="dxa"/>
            <w:tcBorders/>
            <w:vAlign w:val="center"/>
          </w:tcPr>
          <w:p>
            <w:pPr>
              <w:pStyle w:val="TableContents"/>
              <w:bidi w:val="0"/>
              <w:spacing w:before="0" w:after="1"/>
              <w:ind w:left="0" w:right="0" w:hanging="0"/>
              <w:jc w:val="right"/>
              <w:rPr/>
            </w:pPr>
            <w:r>
              <w:rPr/>
              <w:t>​</w:t>
            </w:r>
          </w:p>
        </w:tc>
        <w:tc>
          <w:tcPr>
            <w:tcW w:w="20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43,632</w:t>
            </w:r>
          </w:p>
        </w:tc>
      </w:tr>
      <w:tr>
        <w:trPr/>
        <w:tc>
          <w:tcPr>
            <w:tcW w:w="4666"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right"/>
              <w:rPr/>
            </w:pPr>
            <w:r>
              <w:rPr/>
              <w:t>​</w:t>
            </w:r>
          </w:p>
        </w:tc>
        <w:tc>
          <w:tcPr>
            <w:tcW w:w="11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20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32" w:type="dxa"/>
            <w:tcBorders/>
            <w:shd w:fill="CCEEFF" w:val="clear"/>
            <w:vAlign w:val="center"/>
          </w:tcPr>
          <w:p>
            <w:pPr>
              <w:pStyle w:val="TableContents"/>
              <w:bidi w:val="0"/>
              <w:spacing w:before="0" w:after="1"/>
              <w:ind w:left="0" w:right="0" w:hanging="0"/>
              <w:jc w:val="righ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62" w:type="dxa"/>
            <w:tcBorders/>
            <w:vAlign w:val="center"/>
          </w:tcPr>
          <w:p>
            <w:pPr>
              <w:pStyle w:val="TableContents"/>
              <w:bidi w:val="0"/>
              <w:spacing w:before="0" w:after="1"/>
              <w:ind w:left="0" w:right="0" w:hanging="0"/>
              <w:jc w:val="center"/>
              <w:rPr/>
            </w:pPr>
            <w:r>
              <w:rPr/>
              <w:t>​</w:t>
            </w:r>
          </w:p>
        </w:tc>
        <w:tc>
          <w:tcPr>
            <w:tcW w:w="11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pPr>
            <w:r>
              <w:rPr/>
              <w:t>​</w:t>
            </w:r>
          </w:p>
        </w:tc>
        <w:tc>
          <w:tcPr>
            <w:tcW w:w="20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32" w:type="dxa"/>
            <w:tcBorders/>
            <w:vAlign w:val="center"/>
          </w:tcPr>
          <w:p>
            <w:pPr>
              <w:pStyle w:val="TableContents"/>
              <w:bidi w:val="0"/>
              <w:spacing w:before="0" w:after="1"/>
              <w:ind w:left="0" w:right="0" w:hanging="0"/>
              <w:jc w:val="right"/>
              <w:rPr/>
            </w:pPr>
            <w:r>
              <w:rPr/>
              <w:t>​</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36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1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6,030</w:t>
            </w:r>
          </w:p>
        </w:tc>
        <w:tc>
          <w:tcPr>
            <w:tcW w:w="109" w:type="dxa"/>
            <w:tcBorders/>
            <w:shd w:fill="CCEEFF" w:val="clear"/>
            <w:vAlign w:val="center"/>
          </w:tcPr>
          <w:p>
            <w:pPr>
              <w:pStyle w:val="TableContents"/>
              <w:bidi w:val="0"/>
              <w:spacing w:before="0" w:after="1"/>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20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6,030</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62" w:type="dxa"/>
            <w:tcBorders/>
            <w:vAlign w:val="center"/>
          </w:tcPr>
          <w:p>
            <w:pPr>
              <w:pStyle w:val="TableContents"/>
              <w:bidi w:val="0"/>
              <w:spacing w:before="0" w:after="1"/>
              <w:ind w:left="0" w:right="0" w:hanging="0"/>
              <w:jc w:val="center"/>
              <w:rPr/>
            </w:pPr>
            <w:r>
              <w:rPr/>
              <w:t>​</w:t>
            </w:r>
          </w:p>
        </w:tc>
        <w:tc>
          <w:tcPr>
            <w:tcW w:w="11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29,940</w:t>
            </w:r>
          </w:p>
        </w:tc>
        <w:tc>
          <w:tcPr>
            <w:tcW w:w="109"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pPr>
            <w:r>
              <w:rPr/>
              <w:t>​</w:t>
            </w:r>
          </w:p>
        </w:tc>
        <w:tc>
          <w:tcPr>
            <w:tcW w:w="20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37,298</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362" w:type="dxa"/>
            <w:tcBorders/>
            <w:shd w:fill="CCEEFF" w:val="clear"/>
            <w:vAlign w:val="center"/>
          </w:tcPr>
          <w:p>
            <w:pPr>
              <w:pStyle w:val="TableContents"/>
              <w:bidi w:val="0"/>
              <w:spacing w:before="0" w:after="1"/>
              <w:ind w:left="0" w:right="0" w:hanging="0"/>
              <w:jc w:val="center"/>
              <w:rPr/>
            </w:pPr>
            <w:r>
              <w:rPr/>
              <w:t>​</w:t>
            </w:r>
          </w:p>
        </w:tc>
        <w:tc>
          <w:tcPr>
            <w:tcW w:w="11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6,615</w:t>
            </w:r>
          </w:p>
        </w:tc>
        <w:tc>
          <w:tcPr>
            <w:tcW w:w="109"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pPr>
            <w:r>
              <w:rPr/>
              <w:t>​</w:t>
            </w:r>
          </w:p>
        </w:tc>
        <w:tc>
          <w:tcPr>
            <w:tcW w:w="20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6,749</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62"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20,609</w:t>
            </w:r>
          </w:p>
        </w:tc>
        <w:tc>
          <w:tcPr>
            <w:tcW w:w="109" w:type="dxa"/>
            <w:tcBorders/>
            <w:vAlign w:val="center"/>
          </w:tcPr>
          <w:p>
            <w:pPr>
              <w:pStyle w:val="TableContents"/>
              <w:bidi w:val="0"/>
              <w:spacing w:before="0" w:after="1"/>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0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20,609</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62" w:type="dxa"/>
            <w:tcBorders/>
            <w:shd w:fill="CCEEFF" w:val="clear"/>
            <w:vAlign w:val="center"/>
          </w:tcPr>
          <w:p>
            <w:pPr>
              <w:pStyle w:val="TableContents"/>
              <w:bidi w:val="0"/>
              <w:spacing w:before="0" w:after="1"/>
              <w:ind w:left="0" w:right="0" w:hanging="0"/>
              <w:jc w:val="center"/>
              <w:rPr/>
            </w:pPr>
            <w:r>
              <w:rPr/>
              <w:t>​</w:t>
            </w:r>
          </w:p>
        </w:tc>
        <w:tc>
          <w:tcPr>
            <w:tcW w:w="11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2,716</w:t>
            </w:r>
          </w:p>
        </w:tc>
        <w:tc>
          <w:tcPr>
            <w:tcW w:w="109"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pPr>
            <w:r>
              <w:rPr/>
              <w:t>​</w:t>
            </w:r>
          </w:p>
        </w:tc>
        <w:tc>
          <w:tcPr>
            <w:tcW w:w="20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9,940</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62"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w:t>
            </w:r>
          </w:p>
        </w:tc>
        <w:tc>
          <w:tcPr>
            <w:tcW w:w="109" w:type="dxa"/>
            <w:tcBorders/>
            <w:vAlign w:val="center"/>
          </w:tcPr>
          <w:p>
            <w:pPr>
              <w:pStyle w:val="TableContents"/>
              <w:bidi w:val="0"/>
              <w:spacing w:before="0" w:after="1"/>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0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From Operations for Reportable Segments</w:t>
            </w:r>
          </w:p>
        </w:tc>
        <w:tc>
          <w:tcPr>
            <w:tcW w:w="362" w:type="dxa"/>
            <w:tcBorders/>
            <w:shd w:fill="CCEEFF" w:val="clear"/>
            <w:vAlign w:val="center"/>
          </w:tcPr>
          <w:p>
            <w:pPr>
              <w:pStyle w:val="TableContents"/>
              <w:bidi w:val="0"/>
              <w:spacing w:before="0" w:after="1"/>
              <w:ind w:left="0" w:right="0" w:hanging="0"/>
              <w:jc w:val="center"/>
              <w:rPr/>
            </w:pPr>
            <w:r>
              <w:rPr/>
              <w:t>​</w:t>
            </w:r>
          </w:p>
        </w:tc>
        <w:tc>
          <w:tcPr>
            <w:tcW w:w="11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4,759</w:t>
            </w:r>
          </w:p>
        </w:tc>
        <w:tc>
          <w:tcPr>
            <w:tcW w:w="109"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pPr>
            <w:r>
              <w:rPr/>
              <w:t>​</w:t>
            </w:r>
          </w:p>
        </w:tc>
        <w:tc>
          <w:tcPr>
            <w:tcW w:w="20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11,983</w:t>
            </w:r>
          </w:p>
        </w:tc>
      </w:tr>
      <w:tr>
        <w:trPr/>
        <w:tc>
          <w:tcPr>
            <w:tcW w:w="466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center"/>
              <w:rPr/>
            </w:pPr>
            <w:r>
              <w:rPr/>
              <w:t>​</w:t>
            </w:r>
          </w:p>
        </w:tc>
        <w:tc>
          <w:tcPr>
            <w:tcW w:w="11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pPr>
            <w:r>
              <w:rPr/>
              <w:t>​</w:t>
            </w:r>
          </w:p>
        </w:tc>
        <w:tc>
          <w:tcPr>
            <w:tcW w:w="20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32" w:type="dxa"/>
            <w:tcBorders/>
            <w:vAlign w:val="center"/>
          </w:tcPr>
          <w:p>
            <w:pPr>
              <w:pStyle w:val="TableContents"/>
              <w:bidi w:val="0"/>
              <w:spacing w:before="0" w:after="1"/>
              <w:ind w:left="0" w:right="0" w:hanging="0"/>
              <w:jc w:val="right"/>
              <w:rPr/>
            </w:pPr>
            <w:r>
              <w:rPr/>
              <w:t>​</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Loss</w:t>
            </w:r>
          </w:p>
        </w:tc>
        <w:tc>
          <w:tcPr>
            <w:tcW w:w="362" w:type="dxa"/>
            <w:tcBorders/>
            <w:shd w:fill="CCEEFF" w:val="clear"/>
            <w:vAlign w:val="center"/>
          </w:tcPr>
          <w:p>
            <w:pPr>
              <w:pStyle w:val="TableContents"/>
              <w:bidi w:val="0"/>
              <w:spacing w:before="0" w:after="1"/>
              <w:ind w:left="0" w:right="0" w:hanging="0"/>
              <w:jc w:val="center"/>
              <w:rPr/>
            </w:pPr>
            <w:r>
              <w:rPr/>
              <w:t>​</w:t>
            </w:r>
          </w:p>
        </w:tc>
        <w:tc>
          <w:tcPr>
            <w:tcW w:w="11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pPr>
            <w:r>
              <w:rPr/>
              <w:t>​</w:t>
            </w:r>
          </w:p>
        </w:tc>
        <w:tc>
          <w:tcPr>
            <w:tcW w:w="20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32" w:type="dxa"/>
            <w:tcBorders/>
            <w:shd w:fill="CCEEFF" w:val="clear"/>
            <w:vAlign w:val="center"/>
          </w:tcPr>
          <w:p>
            <w:pPr>
              <w:pStyle w:val="TableContents"/>
              <w:bidi w:val="0"/>
              <w:spacing w:before="0" w:after="1"/>
              <w:ind w:left="0" w:right="0" w:hanging="0"/>
              <w:jc w:val="righ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2" w:type="dxa"/>
            <w:tcBorders/>
            <w:vAlign w:val="center"/>
          </w:tcPr>
          <w:p>
            <w:pPr>
              <w:pStyle w:val="TableContents"/>
              <w:bidi w:val="0"/>
              <w:spacing w:before="0" w:after="1"/>
              <w:ind w:left="0" w:right="0" w:hanging="0"/>
              <w:jc w:val="center"/>
              <w:rPr/>
            </w:pPr>
            <w:r>
              <w:rPr/>
              <w:t>​</w:t>
            </w:r>
          </w:p>
        </w:tc>
        <w:tc>
          <w:tcPr>
            <w:tcW w:w="11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pPr>
            <w:r>
              <w:rPr/>
              <w:t>​</w:t>
            </w:r>
          </w:p>
        </w:tc>
        <w:tc>
          <w:tcPr>
            <w:tcW w:w="20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62" w:type="dxa"/>
            <w:tcBorders/>
            <w:shd w:fill="CCEEFF" w:val="clear"/>
            <w:vAlign w:val="center"/>
          </w:tcPr>
          <w:p>
            <w:pPr>
              <w:pStyle w:val="TableContents"/>
              <w:bidi w:val="0"/>
              <w:spacing w:before="0" w:after="1"/>
              <w:ind w:left="0" w:right="0" w:hanging="0"/>
              <w:jc w:val="right"/>
              <w:rPr/>
            </w:pPr>
            <w:r>
              <w:rPr/>
              <w:t>​</w:t>
            </w:r>
          </w:p>
        </w:tc>
        <w:tc>
          <w:tcPr>
            <w:tcW w:w="11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20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(5,108)</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62" w:type="dxa"/>
            <w:tcBorders/>
            <w:vAlign w:val="center"/>
          </w:tcPr>
          <w:p>
            <w:pPr>
              <w:pStyle w:val="TableContents"/>
              <w:bidi w:val="0"/>
              <w:spacing w:before="0" w:after="1"/>
              <w:ind w:left="0" w:right="0" w:hanging="0"/>
              <w:jc w:val="right"/>
              <w:rPr/>
            </w:pPr>
            <w:r>
              <w:rPr/>
              <w:t>​</w:t>
            </w:r>
          </w:p>
        </w:tc>
        <w:tc>
          <w:tcPr>
            <w:tcW w:w="11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739" w:type="dxa"/>
            <w:tcBorders/>
            <w:vAlign w:val="center"/>
          </w:tcPr>
          <w:p>
            <w:pPr>
              <w:pStyle w:val="TableContents"/>
              <w:bidi w:val="0"/>
              <w:spacing w:before="0" w:after="1"/>
              <w:ind w:left="0" w:right="0" w:hanging="0"/>
              <w:jc w:val="right"/>
              <w:rPr/>
            </w:pPr>
            <w:r>
              <w:rPr/>
              <w:t>​</w:t>
            </w:r>
          </w:p>
        </w:tc>
        <w:tc>
          <w:tcPr>
            <w:tcW w:w="20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62" w:type="dxa"/>
            <w:tcBorders/>
            <w:shd w:fill="CCEEFF" w:val="clear"/>
            <w:vAlign w:val="center"/>
          </w:tcPr>
          <w:p>
            <w:pPr>
              <w:pStyle w:val="TableContents"/>
              <w:bidi w:val="0"/>
              <w:spacing w:before="0" w:after="1"/>
              <w:ind w:left="0" w:right="0" w:hanging="0"/>
              <w:jc w:val="right"/>
              <w:rPr/>
            </w:pPr>
            <w:r>
              <w:rPr/>
              <w:t>​</w:t>
            </w:r>
          </w:p>
        </w:tc>
        <w:tc>
          <w:tcPr>
            <w:tcW w:w="116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20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(11,822)</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Loss</w:t>
            </w:r>
          </w:p>
        </w:tc>
        <w:tc>
          <w:tcPr>
            <w:tcW w:w="362" w:type="dxa"/>
            <w:tcBorders/>
            <w:vAlign w:val="center"/>
          </w:tcPr>
          <w:p>
            <w:pPr>
              <w:pStyle w:val="TableContents"/>
              <w:bidi w:val="0"/>
              <w:spacing w:before="0" w:after="1"/>
              <w:ind w:left="0" w:right="0" w:hanging="0"/>
              <w:jc w:val="right"/>
              <w:rPr/>
            </w:pPr>
            <w:r>
              <w:rPr/>
              <w:t>​</w:t>
            </w:r>
          </w:p>
        </w:tc>
        <w:tc>
          <w:tcPr>
            <w:tcW w:w="116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739" w:type="dxa"/>
            <w:tcBorders/>
            <w:vAlign w:val="center"/>
          </w:tcPr>
          <w:p>
            <w:pPr>
              <w:pStyle w:val="TableContents"/>
              <w:bidi w:val="0"/>
              <w:spacing w:before="0" w:after="1"/>
              <w:ind w:left="0" w:right="0" w:hanging="0"/>
              <w:jc w:val="right"/>
              <w:rPr/>
            </w:pPr>
            <w:r>
              <w:rPr/>
              <w:t>​</w:t>
            </w:r>
          </w:p>
        </w:tc>
        <w:tc>
          <w:tcPr>
            <w:tcW w:w="20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(4,483)</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Capital expenditures of each segment for the three and nine months ended September 30, 2026 and 2025 are as follows (in thousands):</w:t>
      </w:r>
    </w:p>
    <w:tbl>
      <w:tblPr>
        <w:tblW w:w="10205" w:type="dxa"/>
        <w:jc w:val="left"/>
        <w:tblInd w:w="0" w:type="dxa"/>
        <w:tblLayout w:type="fixed"/>
        <w:tblCellMar>
          <w:top w:w="0" w:type="dxa"/>
          <w:left w:w="0" w:type="dxa"/>
          <w:bottom w:w="0" w:type="dxa"/>
          <w:right w:w="0" w:type="dxa"/>
        </w:tblCellMar>
      </w:tblPr>
      <w:tblGrid>
        <w:gridCol w:w="2887"/>
        <w:gridCol w:w="412"/>
        <w:gridCol w:w="1324"/>
        <w:gridCol w:w="109"/>
        <w:gridCol w:w="412"/>
        <w:gridCol w:w="1324"/>
        <w:gridCol w:w="109"/>
        <w:gridCol w:w="367"/>
        <w:gridCol w:w="1368"/>
        <w:gridCol w:w="109"/>
        <w:gridCol w:w="338"/>
        <w:gridCol w:w="1446"/>
      </w:tblGrid>
      <w:tr>
        <w:trPr/>
        <w:tc>
          <w:tcPr>
            <w:tcW w:w="2887"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61620" cy="175260"/>
                      <wp:effectExtent l="0" t="0" r="0" b="0"/>
                      <wp:wrapNone/>
                      <wp:docPr id="372" name="Frame372"/>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840740" cy="175260"/>
                      <wp:effectExtent l="0" t="0" r="0" b="0"/>
                      <wp:wrapNone/>
                      <wp:docPr id="373" name="Frame373"/>
                      <a:graphic xmlns:a="http://schemas.openxmlformats.org/drawingml/2006/main">
                        <a:graphicData uri="http://schemas.microsoft.com/office/word/2010/wordprocessingShape">
                          <wps:wsp>
                            <wps:cNvSpPr txBox="1"/>
                            <wps:spPr>
                              <a:xfrm>
                                <a:off x="0" y="0"/>
                                <a:ext cx="840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9215" cy="175260"/>
                      <wp:effectExtent l="0" t="0" r="0" b="0"/>
                      <wp:wrapNone/>
                      <wp:docPr id="374" name="Frame3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61620" cy="175260"/>
                      <wp:effectExtent l="0" t="0" r="0" b="0"/>
                      <wp:wrapNone/>
                      <wp:docPr id="375" name="Frame375"/>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840740" cy="175260"/>
                      <wp:effectExtent l="0" t="0" r="0" b="0"/>
                      <wp:wrapNone/>
                      <wp:docPr id="376" name="Frame376"/>
                      <a:graphic xmlns:a="http://schemas.openxmlformats.org/drawingml/2006/main">
                        <a:graphicData uri="http://schemas.microsoft.com/office/word/2010/wordprocessingShape">
                          <wps:wsp>
                            <wps:cNvSpPr txBox="1"/>
                            <wps:spPr>
                              <a:xfrm>
                                <a:off x="0" y="0"/>
                                <a:ext cx="840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9215" cy="175260"/>
                      <wp:effectExtent l="0" t="0" r="0" b="0"/>
                      <wp:wrapNone/>
                      <wp:docPr id="377" name="Frame3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33045" cy="175260"/>
                      <wp:effectExtent l="0" t="0" r="0" b="0"/>
                      <wp:wrapNone/>
                      <wp:docPr id="378" name="Frame378"/>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868680" cy="175260"/>
                      <wp:effectExtent l="0" t="0" r="0" b="0"/>
                      <wp:wrapNone/>
                      <wp:docPr id="379" name="Frame379"/>
                      <a:graphic xmlns:a="http://schemas.openxmlformats.org/drawingml/2006/main">
                        <a:graphicData uri="http://schemas.microsoft.com/office/word/2010/wordprocessingShape">
                          <wps:wsp>
                            <wps:cNvSpPr txBox="1"/>
                            <wps:spPr>
                              <a:xfrm>
                                <a:off x="0" y="0"/>
                                <a:ext cx="868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9215" cy="175260"/>
                      <wp:effectExtent l="0" t="0" r="0" b="0"/>
                      <wp:wrapNone/>
                      <wp:docPr id="380" name="Frame3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4630" cy="175260"/>
                      <wp:effectExtent l="0" t="0" r="0" b="0"/>
                      <wp:wrapNone/>
                      <wp:docPr id="381" name="Frame381"/>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918210" cy="175260"/>
                      <wp:effectExtent l="0" t="0" r="0" b="0"/>
                      <wp:wrapNone/>
                      <wp:docPr id="382" name="Frame382"/>
                      <a:graphic xmlns:a="http://schemas.openxmlformats.org/drawingml/2006/main">
                        <a:graphicData uri="http://schemas.microsoft.com/office/word/2010/wordprocessingShape">
                          <wps:wsp>
                            <wps:cNvSpPr txBox="1"/>
                            <wps:spPr>
                              <a:xfrm>
                                <a:off x="0" y="0"/>
                                <a:ext cx="91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7" w:type="dxa"/>
            <w:tcBorders/>
            <w:vAlign w:val="center"/>
          </w:tcPr>
          <w:p>
            <w:pPr>
              <w:pStyle w:val="TableContents"/>
              <w:bidi w:val="0"/>
              <w:spacing w:before="0" w:after="0"/>
              <w:ind w:left="0" w:right="0" w:hanging="0"/>
              <w:jc w:val="left"/>
              <w:rPr/>
            </w:pPr>
            <w:r>
              <w:rPr/>
              <w:t>​</w:t>
            </w:r>
          </w:p>
        </w:tc>
        <w:tc>
          <w:tcPr>
            <w:tcW w:w="358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center"/>
              <w:rPr/>
            </w:pPr>
            <w:r>
              <w:rPr/>
              <w:t>​</w:t>
            </w:r>
          </w:p>
        </w:tc>
        <w:tc>
          <w:tcPr>
            <w:tcW w:w="36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2887" w:type="dxa"/>
            <w:tcBorders/>
            <w:vAlign w:val="center"/>
          </w:tcPr>
          <w:p>
            <w:pPr>
              <w:pStyle w:val="TableContents"/>
              <w:bidi w:val="0"/>
              <w:spacing w:before="0" w:after="0"/>
              <w:ind w:left="0" w:right="0" w:hanging="0"/>
              <w:jc w:val="left"/>
              <w:rPr/>
            </w:pPr>
            <w:r>
              <w:rPr/>
              <w:t>​</w:t>
            </w:r>
          </w:p>
        </w:tc>
        <w:tc>
          <w:tcPr>
            <w:tcW w:w="1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0"/>
              <w:ind w:left="0" w:right="0" w:hanging="0"/>
              <w:jc w:val="center"/>
              <w:rPr/>
            </w:pPr>
            <w:r>
              <w:rPr/>
              <w:t>​</w:t>
            </w:r>
          </w:p>
        </w:tc>
        <w:tc>
          <w:tcPr>
            <w:tcW w:w="1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center"/>
              <w:rPr/>
            </w:pPr>
            <w:r>
              <w:rPr/>
              <w:t>​</w:t>
            </w:r>
          </w:p>
        </w:tc>
        <w:tc>
          <w:tcPr>
            <w:tcW w:w="1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0"/>
              <w:ind w:left="0" w:right="0" w:hanging="0"/>
              <w:jc w:val="center"/>
              <w:rPr/>
            </w:pPr>
            <w:r>
              <w:rPr/>
              <w:t>​</w:t>
            </w:r>
          </w:p>
        </w:tc>
        <w:tc>
          <w:tcPr>
            <w:tcW w:w="1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r>
      <w:tr>
        <w:trPr/>
        <w:tc>
          <w:tcPr>
            <w:tcW w:w="288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Expenditures:</w:t>
            </w:r>
          </w:p>
        </w:tc>
        <w:tc>
          <w:tcPr>
            <w:tcW w:w="412" w:type="dxa"/>
            <w:tcBorders/>
            <w:shd w:fill="CCEEFF" w:val="clear"/>
            <w:vAlign w:val="center"/>
          </w:tcPr>
          <w:p>
            <w:pPr>
              <w:pStyle w:val="TableContents"/>
              <w:bidi w:val="0"/>
              <w:spacing w:before="0" w:after="0"/>
              <w:ind w:left="0" w:right="0" w:hanging="0"/>
              <w:jc w:val="left"/>
              <w:rPr/>
            </w:pPr>
            <w:r>
              <w:rPr/>
              <w:t>​</w:t>
            </w:r>
          </w:p>
        </w:tc>
        <w:tc>
          <w:tcPr>
            <w:tcW w:w="132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left"/>
              <w:rPr/>
            </w:pPr>
            <w:r>
              <w:rPr/>
              <w:t>​</w:t>
            </w:r>
          </w:p>
        </w:tc>
        <w:tc>
          <w:tcPr>
            <w:tcW w:w="132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6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1446" w:type="dxa"/>
            <w:tcBorders/>
            <w:shd w:fill="CCEEFF" w:val="clear"/>
            <w:vAlign w:val="center"/>
          </w:tcPr>
          <w:p>
            <w:pPr>
              <w:pStyle w:val="TableContents"/>
              <w:bidi w:val="0"/>
              <w:spacing w:before="0" w:after="0"/>
              <w:ind w:left="0" w:right="0" w:hanging="0"/>
              <w:jc w:val="left"/>
              <w:rPr/>
            </w:pPr>
            <w:r>
              <w:rPr/>
              <w:t>​</w:t>
            </w:r>
          </w:p>
        </w:tc>
      </w:tr>
      <w:tr>
        <w:trPr/>
        <w:tc>
          <w:tcPr>
            <w:tcW w:w="28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4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35,697</w:t>
            </w:r>
          </w:p>
        </w:tc>
        <w:tc>
          <w:tcPr>
            <w:tcW w:w="109"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27,175</w:t>
            </w:r>
          </w:p>
        </w:tc>
        <w:tc>
          <w:tcPr>
            <w:tcW w:w="109"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56,548</w:t>
            </w:r>
          </w:p>
        </w:tc>
        <w:tc>
          <w:tcPr>
            <w:tcW w:w="109" w:type="dxa"/>
            <w:tcBorders/>
            <w:vAlign w:val="center"/>
          </w:tcPr>
          <w:p>
            <w:pPr>
              <w:pStyle w:val="TableContents"/>
              <w:bidi w:val="0"/>
              <w:spacing w:before="0" w:after="0"/>
              <w:ind w:left="0" w:right="0" w:hanging="0"/>
              <w:jc w:val="center"/>
              <w:rPr/>
            </w:pPr>
            <w:r>
              <w:rPr/>
              <w:t>​</w:t>
            </w:r>
          </w:p>
        </w:tc>
        <w:tc>
          <w:tcPr>
            <w:tcW w:w="3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67,514</w:t>
            </w:r>
          </w:p>
        </w:tc>
      </w:tr>
      <w:tr>
        <w:trPr/>
        <w:tc>
          <w:tcPr>
            <w:tcW w:w="28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41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3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9,941</w:t>
            </w:r>
          </w:p>
        </w:tc>
        <w:tc>
          <w:tcPr>
            <w:tcW w:w="109" w:type="dxa"/>
            <w:tcBorders/>
            <w:shd w:fill="CCEEFF" w:val="clear"/>
            <w:vAlign w:val="center"/>
          </w:tcPr>
          <w:p>
            <w:pPr>
              <w:pStyle w:val="TableContents"/>
              <w:bidi w:val="0"/>
              <w:spacing w:before="0" w:after="0"/>
              <w:ind w:left="0" w:right="0" w:hanging="0"/>
              <w:jc w:val="right"/>
              <w:rPr/>
            </w:pPr>
            <w:r>
              <w:rPr/>
              <w:t>​</w:t>
            </w:r>
          </w:p>
        </w:tc>
        <w:tc>
          <w:tcPr>
            <w:tcW w:w="4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30,320</w:t>
            </w:r>
          </w:p>
        </w:tc>
        <w:tc>
          <w:tcPr>
            <w:tcW w:w="109" w:type="dxa"/>
            <w:tcBorders/>
            <w:shd w:fill="CCEEFF" w:val="clear"/>
            <w:vAlign w:val="center"/>
          </w:tcPr>
          <w:p>
            <w:pPr>
              <w:pStyle w:val="TableContents"/>
              <w:bidi w:val="0"/>
              <w:spacing w:before="0" w:after="0"/>
              <w:ind w:left="0" w:right="0" w:hanging="0"/>
              <w:jc w:val="righ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3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97,183</w:t>
            </w:r>
          </w:p>
        </w:tc>
        <w:tc>
          <w:tcPr>
            <w:tcW w:w="109" w:type="dxa"/>
            <w:tcBorders/>
            <w:shd w:fill="CCEEFF" w:val="clear"/>
            <w:vAlign w:val="center"/>
          </w:tcPr>
          <w:p>
            <w:pPr>
              <w:pStyle w:val="TableContents"/>
              <w:bidi w:val="0"/>
              <w:spacing w:before="0" w:after="0"/>
              <w:ind w:left="0" w:right="0" w:hanging="0"/>
              <w:jc w:val="center"/>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63,418</w:t>
            </w:r>
          </w:p>
        </w:tc>
      </w:tr>
      <w:tr>
        <w:trPr/>
        <w:tc>
          <w:tcPr>
            <w:tcW w:w="28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412"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45,638</w:t>
            </w:r>
          </w:p>
        </w:tc>
        <w:tc>
          <w:tcPr>
            <w:tcW w:w="109" w:type="dxa"/>
            <w:tcBorders/>
            <w:vAlign w:val="center"/>
          </w:tcPr>
          <w:p>
            <w:pPr>
              <w:pStyle w:val="TableContents"/>
              <w:bidi w:val="0"/>
              <w:spacing w:before="0" w:after="0"/>
              <w:ind w:left="0" w:right="0" w:hanging="0"/>
              <w:jc w:val="right"/>
              <w:rPr/>
            </w:pPr>
            <w:r>
              <w:rPr/>
              <w:t>​</w:t>
            </w:r>
          </w:p>
        </w:tc>
        <w:tc>
          <w:tcPr>
            <w:tcW w:w="4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57,495</w:t>
            </w:r>
          </w:p>
        </w:tc>
        <w:tc>
          <w:tcPr>
            <w:tcW w:w="109" w:type="dxa"/>
            <w:tcBorders/>
            <w:vAlign w:val="center"/>
          </w:tcPr>
          <w:p>
            <w:pPr>
              <w:pStyle w:val="TableContents"/>
              <w:bidi w:val="0"/>
              <w:spacing w:before="0" w:after="0"/>
              <w:ind w:left="0" w:right="0" w:hanging="0"/>
              <w:jc w:val="righ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153,731</w:t>
            </w:r>
          </w:p>
        </w:tc>
        <w:tc>
          <w:tcPr>
            <w:tcW w:w="109" w:type="dxa"/>
            <w:tcBorders/>
            <w:vAlign w:val="center"/>
          </w:tcPr>
          <w:p>
            <w:pPr>
              <w:pStyle w:val="TableContents"/>
              <w:bidi w:val="0"/>
              <w:spacing w:before="0" w:after="0"/>
              <w:ind w:left="0" w:right="0" w:hanging="0"/>
              <w:jc w:val="center"/>
              <w:rPr/>
            </w:pPr>
            <w:r>
              <w:rPr/>
              <w:t>​</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4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130,932</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bookmarkStart w:id="1715" w:name="Tc_Oht5k6KK006qF2CyJErh3g_8_5"/>
      <w:bookmarkStart w:id="1716" w:name="Tc_JrPZFTgBNUiig4qhu5OAbA_8_2"/>
      <w:bookmarkStart w:id="1717" w:name="Tc_kQ6dybwDb0eLzWPRhNZ5Gw_8_0"/>
      <w:bookmarkStart w:id="1718" w:name="Tc_pm3VIcn-s0Whmz8ARGVT1g_7_0"/>
      <w:bookmarkStart w:id="1719" w:name="Tc_aYRYgKT_x0ONZbfmY1zQtA_6_3"/>
      <w:bookmarkStart w:id="1720" w:name="Tc_4D4rbWFxZEGS7e-kcNl8rw_6_0"/>
      <w:bookmarkStart w:id="1721" w:name="Tc_i-2H9__D8UmIhagqkBCnyA_5_0"/>
      <w:bookmarkStart w:id="1722" w:name="Tc_h1QjqlYso0C_eVQxQrPHRw_4_5"/>
      <w:bookmarkStart w:id="1723" w:name="Tc_0dtArEuHREen4HbDQspxMw_4_2"/>
      <w:bookmarkStart w:id="1724" w:name="Tc_bNedeDTHD0GgBLiVvfJAUA_4_0"/>
      <w:bookmarkStart w:id="1725" w:name="Tc_H_xPR2h_4UaQO5lNoN0cjw_3_0"/>
      <w:bookmarkStart w:id="1726" w:name="Tc_Au4Wx4nqM0WhlXk0873FgQ_2_5"/>
      <w:bookmarkStart w:id="1727" w:name="Tc_VxOone4DlEC_sXE2wsJyJQ_2_2"/>
      <w:bookmarkStart w:id="1728" w:name="Tc_zT2nMpL150yTmmY3IsztKg_1_2"/>
      <w:bookmarkStart w:id="1729" w:name="_6c0c659d_6ebf_4155_a98d_c909bf6d83ac"/>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r>
        <w:rPr>
          <w:rFonts w:ascii="Times New Roman;Times;serif" w:hAnsi="Times New Roman;Times;serif"/>
          <w:sz w:val="20"/>
        </w:rPr>
        <w:t>Identifiable assets of each segment as of September 30, 2026 and December 31, 2025 are as follows (in thousands):</w:t>
      </w:r>
    </w:p>
    <w:p>
      <w:pPr>
        <w:pStyle w:val="TextBody"/>
        <w:bidi w:val="0"/>
        <w:spacing w:before="0" w:after="0"/>
        <w:ind w:left="0" w:right="0" w:hanging="0"/>
        <w:jc w:val="left"/>
        <w:rPr/>
      </w:pPr>
      <w:r>
        <w:rPr/>
        <w:t>​</w:t>
      </w:r>
    </w:p>
    <w:tbl>
      <w:tblPr>
        <w:tblW w:w="6774" w:type="dxa"/>
        <w:jc w:val="left"/>
        <w:tblInd w:w="0" w:type="dxa"/>
        <w:tblLayout w:type="fixed"/>
        <w:tblCellMar>
          <w:top w:w="0" w:type="dxa"/>
          <w:left w:w="0" w:type="dxa"/>
          <w:bottom w:w="0" w:type="dxa"/>
          <w:right w:w="0" w:type="dxa"/>
        </w:tblCellMar>
      </w:tblPr>
      <w:tblGrid>
        <w:gridCol w:w="3016"/>
        <w:gridCol w:w="109"/>
        <w:gridCol w:w="375"/>
        <w:gridCol w:w="1395"/>
        <w:gridCol w:w="109"/>
        <w:gridCol w:w="336"/>
        <w:gridCol w:w="1434"/>
      </w:tblGrid>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38125" cy="175260"/>
                      <wp:effectExtent l="0" t="0" r="0" b="0"/>
                      <wp:wrapNone/>
                      <wp:docPr id="383" name="Frame38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885825" cy="175260"/>
                      <wp:effectExtent l="0" t="0" r="0" b="0"/>
                      <wp:wrapNone/>
                      <wp:docPr id="384" name="Frame384"/>
                      <a:graphic xmlns:a="http://schemas.openxmlformats.org/drawingml/2006/main">
                        <a:graphicData uri="http://schemas.microsoft.com/office/word/2010/wordprocessingShape">
                          <wps:wsp>
                            <wps:cNvSpPr txBox="1"/>
                            <wps:spPr>
                              <a:xfrm>
                                <a:off x="0" y="0"/>
                                <a:ext cx="885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9215" cy="175260"/>
                      <wp:effectExtent l="0" t="0" r="0" b="0"/>
                      <wp:wrapNone/>
                      <wp:docPr id="385" name="Frame3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3360" cy="175260"/>
                      <wp:effectExtent l="0" t="0" r="0" b="0"/>
                      <wp:wrapNone/>
                      <wp:docPr id="386" name="Frame386"/>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910590" cy="175260"/>
                      <wp:effectExtent l="0" t="0" r="0" b="0"/>
                      <wp:wrapNone/>
                      <wp:docPr id="387" name="Frame387"/>
                      <a:graphic xmlns:a="http://schemas.openxmlformats.org/drawingml/2006/main">
                        <a:graphicData uri="http://schemas.microsoft.com/office/word/2010/wordprocessingShape">
                          <wps:wsp>
                            <wps:cNvSpPr txBox="1"/>
                            <wps:spPr>
                              <a:xfrm>
                                <a:off x="0" y="0"/>
                                <a:ext cx="910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1"/>
              <w:ind w:left="0" w:right="0" w:hanging="0"/>
              <w:jc w:val="righ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Identifiable Assets:</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139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1434"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545,613</w:t>
            </w:r>
          </w:p>
        </w:tc>
        <w:tc>
          <w:tcPr>
            <w:tcW w:w="109" w:type="dxa"/>
            <w:tcBorders/>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4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505,273</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13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252,153</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14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182,397</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39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left"/>
              <w:rPr/>
            </w:pPr>
            <w:r>
              <w:rPr/>
              <w:t>​</w:t>
            </w:r>
          </w:p>
        </w:tc>
        <w:tc>
          <w:tcPr>
            <w:tcW w:w="14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23,340</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28,157</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vAlign w:val="center"/>
          </w:tcPr>
          <w:p>
            <w:pPr>
              <w:pStyle w:val="TableContents"/>
              <w:bidi w:val="0"/>
              <w:spacing w:before="0" w:after="1"/>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821,106</w:t>
            </w:r>
          </w:p>
        </w:tc>
        <w:tc>
          <w:tcPr>
            <w:tcW w:w="109" w:type="dxa"/>
            <w:tcBorders/>
            <w:vAlign w:val="center"/>
          </w:tcPr>
          <w:p>
            <w:pPr>
              <w:pStyle w:val="TableContents"/>
              <w:bidi w:val="0"/>
              <w:spacing w:before="0" w:after="1"/>
              <w:ind w:left="0" w:right="0" w:hanging="0"/>
              <w:jc w:val="right"/>
              <w:rPr/>
            </w:pPr>
            <w:r>
              <w:rPr/>
              <w:t>​</w:t>
            </w:r>
          </w:p>
        </w:tc>
        <w:tc>
          <w:tcPr>
            <w:tcW w:w="33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434"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715,874</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Identifiable assets by segment are those assets that are used in the Company’s operations in each segment. Corporate and other assets consist primarily of cash and restricted cash as well as the interest rate swaps.</w:t>
      </w:r>
    </w:p>
    <w:p>
      <w:pPr>
        <w:pStyle w:val="TextBody"/>
        <w:bidi w:val="0"/>
        <w:spacing w:before="0" w:after="0"/>
        <w:ind w:left="0" w:right="0" w:hanging="0"/>
        <w:jc w:val="both"/>
        <w:rPr/>
      </w:pPr>
      <w:r>
        <w:rPr/>
        <w:t> </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22. SUBSEQUENT EVENTS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Subsequent events and transactions were evaluated through October 22, 2026, the date the consolidated financial statements were issued.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October 9, 2026, the Company announced an agreement to acquire a 13-property industrial portfolio for $117.3 million, or $63 per square foot. The portfolio totals approximately 1.9 million square feet across 11 states and is 100% leased to nine tenants under absolute triple-net leases with annual rent escalations. The leases have a weighted average remaining lease term of 10.2 years, with no lease expirations before late 2031. The acquisition is expected to close in the fourth quarter of 2026, subject to customary closing conditions.</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Subsequent to quarter end, the Company received bank commitments for a new $100 million four-year term loan and a $75 million increase in commitments under the Revolving Facility, from $250 million to $325 million. The financing is expected to close in late October 2026, and the term loan proceeds will be used to repay outstanding borrowings under the Revolving Facility.</w:t>
      </w:r>
    </w:p>
    <w:p>
      <w:pPr>
        <w:pStyle w:val="TextBody"/>
        <w:bidi w:val="0"/>
        <w:spacing w:before="4" w:after="4"/>
        <w:ind w:left="0" w:right="0" w:hanging="0"/>
        <w:jc w:val="both"/>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730" w:name="ITEM2MANAGEMENTSDISCUSSIONANDANALYSIS"/>
      <w:bookmarkStart w:id="1731" w:name="_b52abb08_e44c_4ebb_b724_f3ce09476778"/>
      <w:bookmarkEnd w:id="1730"/>
      <w:bookmarkEnd w:id="1731"/>
      <w:r>
        <w:rPr>
          <w:rFonts w:ascii="Times New Roman;Times;serif" w:hAnsi="Times New Roman;Times;serif"/>
          <w:b/>
          <w:sz w:val="20"/>
        </w:rPr>
        <w:t>ITEM 2.              MANAGEMENT’S DISCUSSION AND ANALYSIS OF FINANCIAL CONDITION AND RESULTS OF OPERATIONS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When we refer to “we,” “us,” “our,”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discussion of forward-looking statements, see the section below entitled “Special Note Regarding Forward-Looking Statements.” Certain factors that could cause actual results or events to differ materially from those the Company anticipates or projects are described in “Part I, Item 1A. Risk Factors” of the Company’s Annual Report on Form 10-K for the year ended December 31, 2025, and in “Part II, Item 1A. Risk Factors” of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recession or downturn in economic conditions; our ability to successfully execute acquisition or development strategies; credit risk associated with us investing in commercial loans and investments; any loss of key management personnel; changes in local, regional, national and global economic conditions affecting the real estate development business and properties, including unstable macroeconomic conditions due to, among other things, geopolitical conflicts, inflation, higher interest rates, and tariffs and international trade policies; the impact of competitive real estate activity; the loss of any major property tenants; the ultimate geographic spread, severity and duration of pandemics,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“Part I, Item 1A. Risk Factors” of the Company’s Annual Report on Form 10-K for the year ended December 31, 2025 and “Part II, Item 1A. Risk Factors” of this Quarterly Report on Form 10-Q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Alpine Income Property Trust, Inc. is a Maryland corporation that conducts its operations so as to qualify as a REIT for U.S. federal income tax purposes. Substantially all of our operations are conducted through our Operating Partnership.</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seek to acquire, own and operate single-tenant net leased commercial income properties located in the United States. We target tenants in industries that we believe are favorably impacted by macroeconomic trends that support consumer spending, stable and growing employment, and positive consumer sentiment, as well as tenants in industries that have demonstrated resistance to the impact of the e-commerce retail sector or who use a physical presence as a component of their omnichannel strategy. We also seek to invest in properties that are net leased to tenants that we believe have attractive credit characteristics, stable operating histories, healthy rent coverage levels, are well-located within their respective markets and/or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nine months ended September 30, 2026, the Company acquired seven properties for a combined purchase price of $86.3 million, including capitalized acquisition costs. Of the total acquisitions, the Company acquired five properties for a combined purchase price of $60.0 million, including capitalized acquisition costs. The remaining $26.3 million of total acquisition costs are attributable to (i) the acquisition of one property for a purchase price of $10.0 million through a sale-leaseback transaction that includes a tenant repurchase option (the “2026 Sale-Leaseback Property”) and (ii) the acquisition of a property subject to a ground lease for $16.3 million which qualifies as a sales-type lease (the “2026 Sales-Type Lease”). Pursuant to FASB ASC Topic 842, Leases, GAAP requires that the 2026 Sale-Leaseback Property and the 2026 Sales-Type Lease be accounted for as financing arrangements, and accordingly the related assets and corresponding revenue are included in the Company’s commercial loans and investments in the accompanying consolidated balance sheets and consolidated statement of operations. However, as the 2026 Sale-Leaseback Property and the 2026 Sales-Type Lease both constitute real estate assets for both legal and tax purposes, we include them in the property portfolio when describing our property portfolio and for purposes of providing statistics related thereto. During the nine months ended September 30, 2026, the Company sold four properties for an aggregate sales price of $6.2 million, generating aggregate gains on sale of $0.4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September 30, 2026, we owned 130 properties, including the five properties classified as commercial loans and investments, with an aggregate gross leasable area of 4.8 million square feet, located in 31 states, with a weighted average remaining lease term of 8.7 years. Our portfolio was 99.6% occupied as of September 30, 2026.</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also originate or acquire commercial loans and investments associated with commercial real estate located in the United States. Our investments in commercial loans are generally secured by real estate or the borrower’s pledge of its ownership interest in an entity that owns real estate. As of September 30, 2026, the Company’s portfolio of commercial loans and investments had a total carrying value of $231.4 million and was comprised of eight construction/redevelopment loans, three mortgage notes, four properties acquired pursuant to sale-leaseback transactions whereby the tenants have a future repurchase rights, and one sales-type lease.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732" w:name="_6bb8fbf0_2e1d_4f42_af31_27d8b3b89e88"/>
      <w:bookmarkEnd w:id="1732"/>
      <w:r>
        <w:rPr>
          <w:rFonts w:ascii="Times New Roman;Times;serif" w:hAnsi="Times New Roman;Times;serif"/>
          <w:b/>
          <w:sz w:val="20"/>
        </w:rPr>
        <w:t>COMPARISON OF THE THREE MONTHS ENDED SEPTEMBER 30, 2026 AND 2025</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presents the Company’s results of operations for the three months ended September 30, 2026, as compared to the three months ended September 30, 2025 (in thousands): </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770"/>
        <w:gridCol w:w="109"/>
        <w:gridCol w:w="394"/>
        <w:gridCol w:w="1343"/>
        <w:gridCol w:w="109"/>
        <w:gridCol w:w="394"/>
        <w:gridCol w:w="1343"/>
        <w:gridCol w:w="109"/>
        <w:gridCol w:w="283"/>
        <w:gridCol w:w="903"/>
        <w:gridCol w:w="109"/>
        <w:gridCol w:w="1339"/>
      </w:tblGrid>
      <w:tr>
        <w:trPr/>
        <w:tc>
          <w:tcPr>
            <w:tcW w:w="37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9215" cy="175260"/>
                      <wp:effectExtent l="0" t="0" r="0" b="0"/>
                      <wp:wrapNone/>
                      <wp:docPr id="388" name="Frame3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50190" cy="175260"/>
                      <wp:effectExtent l="0" t="0" r="0" b="0"/>
                      <wp:wrapNone/>
                      <wp:docPr id="389" name="Frame389"/>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852805" cy="175260"/>
                      <wp:effectExtent l="0" t="0" r="0" b="0"/>
                      <wp:wrapNone/>
                      <wp:docPr id="390" name="Frame390"/>
                      <a:graphic xmlns:a="http://schemas.openxmlformats.org/drawingml/2006/main">
                        <a:graphicData uri="http://schemas.microsoft.com/office/word/2010/wordprocessingShape">
                          <wps:wsp>
                            <wps:cNvSpPr txBox="1"/>
                            <wps:spPr>
                              <a:xfrm>
                                <a:off x="0" y="0"/>
                                <a:ext cx="852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9215" cy="175260"/>
                      <wp:effectExtent l="0" t="0" r="0" b="0"/>
                      <wp:wrapNone/>
                      <wp:docPr id="391" name="Frame3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50190" cy="175260"/>
                      <wp:effectExtent l="0" t="0" r="0" b="0"/>
                      <wp:wrapNone/>
                      <wp:docPr id="392" name="Frame392"/>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852805" cy="175260"/>
                      <wp:effectExtent l="0" t="0" r="0" b="0"/>
                      <wp:wrapNone/>
                      <wp:docPr id="393" name="Frame393"/>
                      <a:graphic xmlns:a="http://schemas.openxmlformats.org/drawingml/2006/main">
                        <a:graphicData uri="http://schemas.microsoft.com/office/word/2010/wordprocessingShape">
                          <wps:wsp>
                            <wps:cNvSpPr txBox="1"/>
                            <wps:spPr>
                              <a:xfrm>
                                <a:off x="0" y="0"/>
                                <a:ext cx="852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9215" cy="175260"/>
                      <wp:effectExtent l="0" t="0" r="0" b="0"/>
                      <wp:wrapNone/>
                      <wp:docPr id="394" name="Frame3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79705" cy="175260"/>
                      <wp:effectExtent l="0" t="0" r="0" b="0"/>
                      <wp:wrapNone/>
                      <wp:docPr id="395" name="Frame395"/>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573405" cy="175260"/>
                      <wp:effectExtent l="0" t="0" r="0" b="0"/>
                      <wp:wrapNone/>
                      <wp:docPr id="396" name="Frame396"/>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9215" cy="175260"/>
                      <wp:effectExtent l="0" t="0" r="0" b="0"/>
                      <wp:wrapNone/>
                      <wp:docPr id="397" name="Frame3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850265" cy="175260"/>
                      <wp:effectExtent l="0" t="0" r="0" b="0"/>
                      <wp:wrapNone/>
                      <wp:docPr id="398" name="Frame398"/>
                      <a:graphic xmlns:a="http://schemas.openxmlformats.org/drawingml/2006/main">
                        <a:graphicData uri="http://schemas.microsoft.com/office/word/2010/wordprocessingShape">
                          <wps:wsp>
                            <wps:cNvSpPr txBox="1"/>
                            <wps:spPr>
                              <a:xfrm>
                                <a:off x="0" y="0"/>
                                <a:ext cx="850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Three Months Ended</w:t>
            </w:r>
          </w:p>
        </w:tc>
        <w:tc>
          <w:tcPr>
            <w:tcW w:w="109" w:type="dxa"/>
            <w:tcBorders/>
            <w:vAlign w:val="center"/>
          </w:tcPr>
          <w:p>
            <w:pPr>
              <w:pStyle w:val="TableContents"/>
              <w:bidi w:val="0"/>
              <w:spacing w:before="0" w:after="0"/>
              <w:ind w:left="0" w:right="0" w:hanging="0"/>
              <w:jc w:val="left"/>
              <w:rPr/>
            </w:pPr>
            <w:r>
              <w:rPr/>
              <w:t>​</w:t>
            </w:r>
          </w:p>
        </w:tc>
        <w:tc>
          <w:tcPr>
            <w:tcW w:w="2634" w:type="dxa"/>
            <w:gridSpan w:val="4"/>
            <w:tcBorders/>
            <w:vAlign w:val="center"/>
          </w:tcPr>
          <w:p>
            <w:pPr>
              <w:pStyle w:val="TableContents"/>
              <w:bidi w:val="0"/>
              <w:spacing w:before="0" w:after="0"/>
              <w:ind w:left="0" w:right="0" w:hanging="0"/>
              <w:jc w:val="center"/>
              <w:rPr/>
            </w:pPr>
            <w:r>
              <w:rPr/>
              <w:t>​</w:t>
            </w:r>
          </w:p>
        </w:tc>
      </w:tr>
      <w:tr>
        <w:trPr/>
        <w:tc>
          <w:tcPr>
            <w:tcW w:w="3770"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1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September 30, 2026</w:t>
            </w:r>
          </w:p>
        </w:tc>
        <w:tc>
          <w:tcPr>
            <w:tcW w:w="109" w:type="dxa"/>
            <w:tcBorders/>
            <w:vAlign w:val="center"/>
          </w:tcPr>
          <w:p>
            <w:pPr>
              <w:pStyle w:val="TableContents"/>
              <w:bidi w:val="0"/>
              <w:spacing w:before="0" w:after="0"/>
              <w:ind w:left="0" w:right="0" w:hanging="0"/>
              <w:jc w:val="left"/>
              <w:rPr/>
            </w:pPr>
            <w:r>
              <w:rPr/>
              <w:t>​</w:t>
            </w:r>
          </w:p>
        </w:tc>
        <w:tc>
          <w:tcPr>
            <w:tcW w:w="1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September 30, 2025</w:t>
            </w:r>
          </w:p>
        </w:tc>
        <w:tc>
          <w:tcPr>
            <w:tcW w:w="109" w:type="dxa"/>
            <w:tcBorders/>
            <w:vAlign w:val="center"/>
          </w:tcPr>
          <w:p>
            <w:pPr>
              <w:pStyle w:val="TableContents"/>
              <w:bidi w:val="0"/>
              <w:spacing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Variance</w:t>
            </w:r>
          </w:p>
        </w:tc>
        <w:tc>
          <w:tcPr>
            <w:tcW w:w="109" w:type="dxa"/>
            <w:tcBorders/>
            <w:vAlign w:val="center"/>
          </w:tcPr>
          <w:p>
            <w:pPr>
              <w:pStyle w:val="TableContents"/>
              <w:bidi w:val="0"/>
              <w:spacing w:before="0" w:after="0"/>
              <w:ind w:left="0" w:right="0" w:hanging="0"/>
              <w:jc w:val="center"/>
              <w:rPr/>
            </w:pPr>
            <w:r>
              <w:rPr/>
              <w:t>​</w:t>
            </w:r>
          </w:p>
        </w:tc>
        <w:tc>
          <w:tcPr>
            <w:tcW w:w="13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Variance</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center"/>
              <w:rPr/>
            </w:pPr>
            <w:r>
              <w:rPr/>
              <w:t>​</w:t>
            </w:r>
          </w:p>
        </w:tc>
        <w:tc>
          <w:tcPr>
            <w:tcW w:w="134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center"/>
              <w:rPr/>
            </w:pPr>
            <w:r>
              <w:rPr/>
              <w:t>​</w:t>
            </w:r>
          </w:p>
        </w:tc>
        <w:tc>
          <w:tcPr>
            <w:tcW w:w="134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0" w:hanging="0"/>
              <w:jc w:val="left"/>
              <w:rPr/>
            </w:pPr>
            <w:r>
              <w:rPr/>
              <w:t>​</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Lease Income</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12,812</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12,122</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690</w:t>
            </w:r>
          </w:p>
        </w:tc>
        <w:tc>
          <w:tcPr>
            <w:tcW w:w="109"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5.7%</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Interest Income from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7,611</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2,320</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5,291</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228.1%</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Other Revenue</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37</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121</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(84)</w:t>
            </w:r>
          </w:p>
        </w:tc>
        <w:tc>
          <w:tcPr>
            <w:tcW w:w="109" w:type="dxa"/>
            <w:tcBorders/>
            <w:vAlign w:val="center"/>
          </w:tcPr>
          <w:p>
            <w:pPr>
              <w:pStyle w:val="TableContents"/>
              <w:bidi w:val="0"/>
              <w:spacing w:before="0" w:after="0"/>
              <w:ind w:left="0" w:right="0" w:hanging="0"/>
              <w:jc w:val="left"/>
              <w:rPr/>
            </w:pPr>
            <w:r>
              <w:rPr/>
              <w:t>​</w:t>
            </w:r>
          </w:p>
        </w:tc>
        <w:tc>
          <w:tcPr>
            <w:tcW w:w="13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(69.4)%</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20,460</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14,563</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5,897</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40.5%</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Operating Expenses:</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left"/>
              <w:rPr/>
            </w:pPr>
            <w:r>
              <w:rPr/>
              <w:t>​</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Real Estate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2,095</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1,891</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204</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10.8%</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General and Administrative Expenses</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2,009</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1,695</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314</w:t>
            </w:r>
          </w:p>
        </w:tc>
        <w:tc>
          <w:tcPr>
            <w:tcW w:w="109"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18.5%</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Provision for Impairment and Adjustment to CECL Reserve</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(76)</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1,915</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(1,991)</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(104.0)%</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6,881</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6,597</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284</w:t>
            </w:r>
          </w:p>
        </w:tc>
        <w:tc>
          <w:tcPr>
            <w:tcW w:w="109" w:type="dxa"/>
            <w:tcBorders/>
            <w:vAlign w:val="center"/>
          </w:tcPr>
          <w:p>
            <w:pPr>
              <w:pStyle w:val="TableContents"/>
              <w:bidi w:val="0"/>
              <w:spacing w:before="0" w:after="0"/>
              <w:ind w:left="0" w:right="0" w:hanging="0"/>
              <w:jc w:val="left"/>
              <w:rPr/>
            </w:pPr>
            <w:r>
              <w:rPr/>
              <w:t>​</w:t>
            </w:r>
          </w:p>
        </w:tc>
        <w:tc>
          <w:tcPr>
            <w:tcW w:w="13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4.3%</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10,909</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12,098</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(1,189)</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(9.8)%</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Gain (Loss) on Disposition of Assets</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272</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(46)</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318</w:t>
            </w:r>
          </w:p>
        </w:tc>
        <w:tc>
          <w:tcPr>
            <w:tcW w:w="109" w:type="dxa"/>
            <w:tcBorders/>
            <w:vAlign w:val="center"/>
          </w:tcPr>
          <w:p>
            <w:pPr>
              <w:pStyle w:val="TableContents"/>
              <w:bidi w:val="0"/>
              <w:spacing w:before="0" w:after="0"/>
              <w:ind w:left="0" w:right="0" w:hanging="0"/>
              <w:jc w:val="left"/>
              <w:rPr/>
            </w:pPr>
            <w:r>
              <w:rPr/>
              <w:t>​</w:t>
            </w:r>
          </w:p>
        </w:tc>
        <w:tc>
          <w:tcPr>
            <w:tcW w:w="13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691.3%</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9,823</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2,419</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7,404</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306.1%</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Investment and Other Income</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68</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(51)</w:t>
            </w:r>
          </w:p>
        </w:tc>
        <w:tc>
          <w:tcPr>
            <w:tcW w:w="109"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(75.0)%</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(4,828)</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(3,910)</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(918)</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(23.5)%</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(Loss)</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5,012</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(1,423)</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6,435</w:t>
            </w:r>
          </w:p>
        </w:tc>
        <w:tc>
          <w:tcPr>
            <w:tcW w:w="109"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452.2%</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Less: Net Loss (Income) Attributable to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(324)</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113</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(437)</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(386.7)%</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(Loss) Attributable to Alpine Income Property Trust, Inc.</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3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4,688</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3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(1,310)</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5,998</w:t>
            </w:r>
          </w:p>
        </w:tc>
        <w:tc>
          <w:tcPr>
            <w:tcW w:w="109" w:type="dxa"/>
            <w:tcBorders/>
            <w:vAlign w:val="center"/>
          </w:tcPr>
          <w:p>
            <w:pPr>
              <w:pStyle w:val="TableContents"/>
              <w:bidi w:val="0"/>
              <w:spacing w:before="0" w:after="0"/>
              <w:ind w:left="0" w:right="0" w:hanging="0"/>
              <w:jc w:val="left"/>
              <w:rPr/>
            </w:pPr>
            <w:r>
              <w:rPr/>
              <w:t>​</w:t>
            </w:r>
          </w:p>
        </w:tc>
        <w:tc>
          <w:tcPr>
            <w:tcW w:w="133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2"/>
              </w:rPr>
            </w:pPr>
            <w:r>
              <w:rPr>
                <w:rFonts w:ascii="Times New Roman;Times;serif" w:hAnsi="Times New Roman;Times;serif"/>
                <w:sz w:val="22"/>
              </w:rPr>
              <w:t>457.9%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Income and Real Estate Expenses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Revenue from our property operations totaled $12.8 million and $12.1 million during the three months ended September 30, 2026 and 2025, respectively. The $0.7 million increase in lease income is primarily attributable to an increase in rents due to the volume of property acquisitions versus dispositions. The direct costs of revenues for our income properties totaled $2.1 million and $1.9 million during the three months ended September 30, 2026 and 2025, respectively.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Commercial Loans and Investments </w:t>
      </w:r>
    </w:p>
    <w:p>
      <w:pPr>
        <w:pStyle w:val="TextBody"/>
        <w:bidi w:val="0"/>
        <w:spacing w:before="0" w:after="0"/>
        <w:ind w:left="0" w:right="0" w:firstLine="360"/>
        <w:jc w:val="both"/>
        <w:rPr/>
      </w:pPr>
      <w:r>
        <w:rPr/>
        <w:t>​</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 xml:space="preserve">Interest income from commercial loans and investments totaled $7.6 million and $2.3 million for the three months ended September 30, 2026 and 2025, respectively. The $5.3 million increase in income is attributable to the expanded portfolio of commercial loans and investments which, as of September 30, 2026, was comprised of eight construction/redevelopment loans, three mortgage notes, four properties acquired pursuant to sale-leaseback transactions whereby the tenants have future repurchase rights, and one sales-type lease. As of September 30, 2025, the Company’s portfolio of commercial loans and investments was comprised of five construction loans, six mortgage notes, and three properties acquired pursuant to a sale-leaseback transaction whereby the tenant has a future repurchase right. </w:t>
      </w:r>
    </w:p>
    <w:p>
      <w:pPr>
        <w:pStyle w:val="TextBody"/>
        <w:bidi w:val="0"/>
        <w:spacing w:before="0" w:after="0"/>
        <w:ind w:left="0" w:right="0" w:firstLine="432"/>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Revenue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Other revenue totaled less than $0.1 million and $0.1 million for the three months ended September 30, 2026 and 2025, respectively. The revenue is attributable to fees earned from a revenue sharing agreement the Company entered into with CTO as further described in Note 19, “Related Party Management Company” in the Notes to the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General and Administrative Expenses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the Company’s general and administrative expenses for the three months ended September 30, 2026, as compared to the three months ended September 30, 2025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12"/>
        <w:gridCol w:w="109"/>
        <w:gridCol w:w="476"/>
        <w:gridCol w:w="1291"/>
        <w:gridCol w:w="121"/>
        <w:gridCol w:w="476"/>
        <w:gridCol w:w="1291"/>
        <w:gridCol w:w="109"/>
        <w:gridCol w:w="345"/>
        <w:gridCol w:w="691"/>
        <w:gridCol w:w="109"/>
        <w:gridCol w:w="1175"/>
      </w:tblGrid>
      <w:tr>
        <w:trPr/>
        <w:tc>
          <w:tcPr>
            <w:tcW w:w="40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9215" cy="175260"/>
                      <wp:effectExtent l="0" t="0" r="0" b="0"/>
                      <wp:wrapNone/>
                      <wp:docPr id="399" name="Frame3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02260" cy="175260"/>
                      <wp:effectExtent l="0" t="0" r="0" b="0"/>
                      <wp:wrapNone/>
                      <wp:docPr id="400" name="Frame400"/>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819785" cy="175260"/>
                      <wp:effectExtent l="0" t="0" r="0" b="0"/>
                      <wp:wrapNone/>
                      <wp:docPr id="401" name="Frame401"/>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76835" cy="175260"/>
                      <wp:effectExtent l="0" t="0" r="0" b="0"/>
                      <wp:wrapNone/>
                      <wp:docPr id="402" name="Frame402"/>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302260" cy="175260"/>
                      <wp:effectExtent l="0" t="0" r="0" b="0"/>
                      <wp:wrapNone/>
                      <wp:docPr id="403" name="Frame403"/>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819785" cy="175260"/>
                      <wp:effectExtent l="0" t="0" r="0" b="0"/>
                      <wp:wrapNone/>
                      <wp:docPr id="404" name="Frame404"/>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5" name="Frame4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075" cy="175260"/>
                      <wp:effectExtent l="0" t="0" r="0" b="0"/>
                      <wp:wrapNone/>
                      <wp:docPr id="406" name="Frame406"/>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38785" cy="175260"/>
                      <wp:effectExtent l="0" t="0" r="0" b="0"/>
                      <wp:wrapNone/>
                      <wp:docPr id="407" name="Frame4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9215" cy="175260"/>
                      <wp:effectExtent l="0" t="0" r="0" b="0"/>
                      <wp:wrapNone/>
                      <wp:docPr id="408" name="Frame4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746125" cy="175260"/>
                      <wp:effectExtent l="0" t="0" r="0" b="0"/>
                      <wp:wrapNone/>
                      <wp:docPr id="409" name="Frame409"/>
                      <a:graphic xmlns:a="http://schemas.openxmlformats.org/drawingml/2006/main">
                        <a:graphicData uri="http://schemas.microsoft.com/office/word/2010/wordprocessingShape">
                          <wps:wsp>
                            <wps:cNvSpPr txBox="1"/>
                            <wps:spPr>
                              <a:xfrm>
                                <a:off x="0" y="0"/>
                                <a:ext cx="746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left"/>
              <w:rPr/>
            </w:pPr>
            <w:r>
              <w:rPr/>
              <w:t>​</w:t>
            </w:r>
          </w:p>
        </w:tc>
      </w:tr>
      <w:tr>
        <w:trPr/>
        <w:tc>
          <w:tcPr>
            <w:tcW w:w="40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21" w:type="dxa"/>
            <w:tcBorders/>
            <w:vAlign w:val="center"/>
          </w:tcPr>
          <w:p>
            <w:pPr>
              <w:pStyle w:val="TableContents"/>
              <w:bidi w:val="0"/>
              <w:spacing w:before="0" w:after="0"/>
              <w:ind w:left="0" w:right="0" w:hanging="0"/>
              <w:jc w:val="left"/>
              <w:rPr/>
            </w:pPr>
            <w:r>
              <w:rPr/>
              <w:t>​</w:t>
            </w:r>
          </w:p>
        </w:tc>
        <w:tc>
          <w:tcPr>
            <w:tcW w:w="1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center"/>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to Manager</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c>
          <w:tcPr>
            <w:tcW w:w="121"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w:t>
            </w:r>
          </w:p>
        </w:tc>
        <w:tc>
          <w:tcPr>
            <w:tcW w:w="109" w:type="dxa"/>
            <w:tcBorders/>
            <w:shd w:fill="CCEEFF" w:val="clear"/>
            <w:vAlign w:val="center"/>
          </w:tcPr>
          <w:p>
            <w:pPr>
              <w:pStyle w:val="TableContents"/>
              <w:bidi w:val="0"/>
              <w:spacing w:before="0" w:after="0"/>
              <w:ind w:left="0" w:right="0" w:hanging="0"/>
              <w:jc w:val="center"/>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109"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r>
      <w:tr>
        <w:trPr/>
        <w:tc>
          <w:tcPr>
            <w:tcW w:w="401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Compensation Expense </w:t>
            </w:r>
          </w:p>
        </w:tc>
        <w:tc>
          <w:tcPr>
            <w:tcW w:w="109"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21"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09" w:type="dxa"/>
            <w:tcBorders/>
            <w:vAlign w:val="center"/>
          </w:tcPr>
          <w:p>
            <w:pPr>
              <w:pStyle w:val="TableContents"/>
              <w:bidi w:val="0"/>
              <w:spacing w:before="0" w:after="0"/>
              <w:ind w:left="0" w:right="0" w:hanging="0"/>
              <w:jc w:val="center"/>
              <w:rPr/>
            </w:pPr>
            <w:r>
              <w:rPr/>
              <w:t>​</w:t>
            </w:r>
          </w:p>
        </w:tc>
        <w:tc>
          <w:tcPr>
            <w:tcW w:w="345"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 xml:space="preserve">— </w:t>
            </w:r>
            <w:r>
              <w:rPr>
                <w:rFonts w:ascii="Times New Roman;Times;serif" w:hAnsi="Times New Roman;Times;serif"/>
                <w:sz w:val="20"/>
              </w:rPr>
              <w:t>%</w:t>
            </w:r>
          </w:p>
        </w:tc>
      </w:tr>
      <w:tr>
        <w:trPr/>
        <w:tc>
          <w:tcPr>
            <w:tcW w:w="40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&amp; Officer Insurance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21"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shd w:fill="CCEEFF" w:val="clear"/>
            <w:vAlign w:val="center"/>
          </w:tcPr>
          <w:p>
            <w:pPr>
              <w:pStyle w:val="TableContents"/>
              <w:bidi w:val="0"/>
              <w:spacing w:before="0" w:after="0"/>
              <w:ind w:left="0" w:right="0" w:hanging="0"/>
              <w:jc w:val="righ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pPr>
            <w:r>
              <w:rPr/>
              <w:t xml:space="preserve">— </w:t>
            </w:r>
            <w:r>
              <w:rPr>
                <w:rFonts w:ascii="Times New Roman;Times;serif" w:hAnsi="Times New Roman;Times;serif"/>
                <w:sz w:val="20"/>
              </w:rPr>
              <w:t>%</w:t>
            </w:r>
          </w:p>
        </w:tc>
      </w:tr>
      <w:tr>
        <w:trPr/>
        <w:tc>
          <w:tcPr>
            <w:tcW w:w="40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General and Administrative Expense</w:t>
            </w:r>
          </w:p>
        </w:tc>
        <w:tc>
          <w:tcPr>
            <w:tcW w:w="109" w:type="dxa"/>
            <w:tcBorders/>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121" w:type="dxa"/>
            <w:tcBorders/>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109" w:type="dxa"/>
            <w:tcBorders/>
            <w:vAlign w:val="center"/>
          </w:tcPr>
          <w:p>
            <w:pPr>
              <w:pStyle w:val="TableContents"/>
              <w:bidi w:val="0"/>
              <w:spacing w:before="0" w:after="0"/>
              <w:ind w:left="0" w:right="0" w:hanging="0"/>
              <w:jc w:val="righ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0"/>
              <w:ind w:left="0" w:right="0" w:hanging="0"/>
              <w:jc w:val="left"/>
              <w:rPr/>
            </w:pPr>
            <w:r>
              <w:rPr/>
              <w:t>​</w:t>
            </w:r>
          </w:p>
        </w:tc>
        <w:tc>
          <w:tcPr>
            <w:tcW w:w="11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40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w:t>
            </w:r>
          </w:p>
        </w:tc>
        <w:tc>
          <w:tcPr>
            <w:tcW w:w="121" w:type="dxa"/>
            <w:tcBorders/>
            <w:shd w:fill="CCEEFF" w:val="clear"/>
            <w:vAlign w:val="center"/>
          </w:tcPr>
          <w:p>
            <w:pPr>
              <w:pStyle w:val="TableContents"/>
              <w:bidi w:val="0"/>
              <w:spacing w:before="0" w:after="0"/>
              <w:ind w:left="0" w:right="0" w:hanging="0"/>
              <w:jc w:val="left"/>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w:t>
            </w:r>
          </w:p>
        </w:tc>
        <w:tc>
          <w:tcPr>
            <w:tcW w:w="109" w:type="dxa"/>
            <w:tcBorders/>
            <w:shd w:fill="CCEEFF" w:val="clear"/>
            <w:vAlign w:val="center"/>
          </w:tcPr>
          <w:p>
            <w:pPr>
              <w:pStyle w:val="TableContents"/>
              <w:bidi w:val="0"/>
              <w:spacing w:before="0" w:after="0"/>
              <w:ind w:left="0" w:right="0" w:hanging="0"/>
              <w:jc w:val="righ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109" w:type="dxa"/>
            <w:tcBorders/>
            <w:shd w:fill="CCEEFF" w:val="clear"/>
            <w:vAlign w:val="center"/>
          </w:tcPr>
          <w:p>
            <w:pPr>
              <w:pStyle w:val="TableContents"/>
              <w:bidi w:val="0"/>
              <w:spacing w:before="0" w:after="0"/>
              <w:ind w:left="0" w:right="0" w:hanging="0"/>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18.5%</w:t>
            </w:r>
          </w:p>
        </w:tc>
      </w:tr>
    </w:tbl>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totaled $2.0 million and $1.7 million during the three months ended September 30, 2026 and 2025, respectively. The $0.3 million increase is primarily the result of an increase in the management fee due to an increase in the weighted average of the Company’s equity base.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w:t>
      </w:r>
      <w:r>
        <w:rPr>
          <w:rFonts w:ascii="Times New Roman;Times;serif" w:hAnsi="Times New Roman;Times;serif"/>
          <w:b/>
          <w:sz w:val="20"/>
        </w:rPr>
        <w:t>rovision for Impairment and Adjustment to CECL Reserve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further described in Note 7, “Provision for Impairment and Adjustment to CECL Reserve,” during the three months ended September 30, 2025, the Company recorded a $1.9 million impairment charge representing the provision for losses related to a certain income property, for which the Company’s current intent is to dispose of such property in order to facilitate the re-investment of the proceeds therefrom into new investment opportunities. Additionally, during each of the three months ended September 30, 2026 and 2025, the Company recorded a less than $0.1 million adjustment to the provision for impairment representing the reduction in current expected credit losses (“CECL”) reserve related to our commercial loans and investments.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and amortization expense totaled $6.9 million and $6.6 million during the three months ended September 30, 2026 and 2025, respectively. The $0.3 million increase in depreciation and amortization expense is reflective of the increase in asset cost basis of the Company’s income property portfolio, which is partially offset by the impact of less depreciation due to certain recent acquisitions completed under a ground lease structure.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Gain on Disposition of Assets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three months ended September 30, 2026, the Company sold one vacant property for an aggregate sales price of $0.4 million, generating a gain on sale of $0.3 million. During the three months ended September 30, 2025, the Company sold three properties for an aggregate sales price of $6.2 million, generating an aggregate loss on sale of less than $0.1 million.</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Investment and other income was relatively flat and totaled under $0.1 million during each of the three month periods ended September 30, 2026 and 2025.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expense totaled $4.8 million and $3.9 million during the three months ended September 30, 2026 and 2025, respectively. The $0.9 million increase in interest expense is attributable to an increase in the Company’s long-term debt as well as $0.5 million of interest expense resulting from the sale of participation interest in the Company’s 2025 Mortgage Note as defined and further described in Note 4, “Commercial Loans and Investments” in the Notes to the Financial Statements. The overall increase in the Company’s long-term debt was primarily utilized to fund the acquisition of properties and commercial loans and investments during the nine months ended September 30, 2026.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(Loss)</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income totaled $4.7 million and net loss totaled $1.3 million during the three months ended September 30, 2026 and 2025, respectively. The $6.0 million increase in net income is attributable to the factors described above, most notably the $5.3 million increase in interest income from commercial loans and investments and the $2.0 million decrease in provision for impairment, which is partially offset by the $0.9 million increase in interest expense.</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COMPARISON OF THE NINE MONTHS ENDED SEPTEMBER 30, 2026 AND 2025</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presents the Company’s results of operations for the nine months ended September 30, 2026, as compared to the nine months ended September 30, 2025 (in thousands): </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770"/>
        <w:gridCol w:w="109"/>
        <w:gridCol w:w="367"/>
        <w:gridCol w:w="1371"/>
        <w:gridCol w:w="109"/>
        <w:gridCol w:w="367"/>
        <w:gridCol w:w="1371"/>
        <w:gridCol w:w="109"/>
        <w:gridCol w:w="270"/>
        <w:gridCol w:w="916"/>
        <w:gridCol w:w="109"/>
        <w:gridCol w:w="1337"/>
      </w:tblGrid>
      <w:tr>
        <w:trPr/>
        <w:tc>
          <w:tcPr>
            <w:tcW w:w="37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9215" cy="175260"/>
                      <wp:effectExtent l="0" t="0" r="0" b="0"/>
                      <wp:wrapNone/>
                      <wp:docPr id="410" name="Frame4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33045" cy="175260"/>
                      <wp:effectExtent l="0" t="0" r="0" b="0"/>
                      <wp:wrapNone/>
                      <wp:docPr id="411" name="Frame41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870585" cy="175260"/>
                      <wp:effectExtent l="0" t="0" r="0" b="0"/>
                      <wp:wrapNone/>
                      <wp:docPr id="412" name="Frame412"/>
                      <a:graphic xmlns:a="http://schemas.openxmlformats.org/drawingml/2006/main">
                        <a:graphicData uri="http://schemas.microsoft.com/office/word/2010/wordprocessingShape">
                          <wps:wsp>
                            <wps:cNvSpPr txBox="1"/>
                            <wps:spPr>
                              <a:xfrm>
                                <a:off x="0" y="0"/>
                                <a:ext cx="87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9215" cy="175260"/>
                      <wp:effectExtent l="0" t="0" r="0" b="0"/>
                      <wp:wrapNone/>
                      <wp:docPr id="413" name="Frame4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33045" cy="175260"/>
                      <wp:effectExtent l="0" t="0" r="0" b="0"/>
                      <wp:wrapNone/>
                      <wp:docPr id="414" name="Frame414"/>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870585" cy="175260"/>
                      <wp:effectExtent l="0" t="0" r="0" b="0"/>
                      <wp:wrapNone/>
                      <wp:docPr id="415" name="Frame415"/>
                      <a:graphic xmlns:a="http://schemas.openxmlformats.org/drawingml/2006/main">
                        <a:graphicData uri="http://schemas.microsoft.com/office/word/2010/wordprocessingShape">
                          <wps:wsp>
                            <wps:cNvSpPr txBox="1"/>
                            <wps:spPr>
                              <a:xfrm>
                                <a:off x="0" y="0"/>
                                <a:ext cx="87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9215" cy="175260"/>
                      <wp:effectExtent l="0" t="0" r="0" b="0"/>
                      <wp:wrapNone/>
                      <wp:docPr id="416" name="Frame4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71450" cy="175260"/>
                      <wp:effectExtent l="0" t="0" r="0" b="0"/>
                      <wp:wrapNone/>
                      <wp:docPr id="417" name="Frame417"/>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81660" cy="175260"/>
                      <wp:effectExtent l="0" t="0" r="0" b="0"/>
                      <wp:wrapNone/>
                      <wp:docPr id="418" name="Frame41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9215" cy="175260"/>
                      <wp:effectExtent l="0" t="0" r="0" b="0"/>
                      <wp:wrapNone/>
                      <wp:docPr id="419" name="Frame4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848995" cy="175260"/>
                      <wp:effectExtent l="0" t="0" r="0" b="0"/>
                      <wp:wrapNone/>
                      <wp:docPr id="420" name="Frame420"/>
                      <a:graphic xmlns:a="http://schemas.openxmlformats.org/drawingml/2006/main">
                        <a:graphicData uri="http://schemas.microsoft.com/office/word/2010/wordprocessingShape">
                          <wps:wsp>
                            <wps:cNvSpPr txBox="1"/>
                            <wps:spPr>
                              <a:xfrm>
                                <a:off x="0" y="0"/>
                                <a:ext cx="848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Nine Months Ended</w:t>
            </w:r>
          </w:p>
        </w:tc>
        <w:tc>
          <w:tcPr>
            <w:tcW w:w="109" w:type="dxa"/>
            <w:tcBorders/>
            <w:vAlign w:val="center"/>
          </w:tcPr>
          <w:p>
            <w:pPr>
              <w:pStyle w:val="TableContents"/>
              <w:bidi w:val="0"/>
              <w:spacing w:before="0" w:after="0"/>
              <w:ind w:left="0" w:right="0" w:hanging="0"/>
              <w:jc w:val="left"/>
              <w:rPr/>
            </w:pPr>
            <w:r>
              <w:rPr/>
              <w:t>​</w:t>
            </w:r>
          </w:p>
        </w:tc>
        <w:tc>
          <w:tcPr>
            <w:tcW w:w="2632" w:type="dxa"/>
            <w:gridSpan w:val="4"/>
            <w:tcBorders/>
            <w:vAlign w:val="center"/>
          </w:tcPr>
          <w:p>
            <w:pPr>
              <w:pStyle w:val="TableContents"/>
              <w:bidi w:val="0"/>
              <w:spacing w:before="0" w:after="0"/>
              <w:ind w:left="0" w:right="0" w:hanging="0"/>
              <w:jc w:val="center"/>
              <w:rPr/>
            </w:pPr>
            <w:r>
              <w:rPr/>
              <w:t>​</w:t>
            </w:r>
          </w:p>
        </w:tc>
      </w:tr>
      <w:tr>
        <w:trPr/>
        <w:tc>
          <w:tcPr>
            <w:tcW w:w="3770"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17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September 30, 2026</w:t>
            </w:r>
          </w:p>
        </w:tc>
        <w:tc>
          <w:tcPr>
            <w:tcW w:w="109" w:type="dxa"/>
            <w:tcBorders/>
            <w:vAlign w:val="center"/>
          </w:tcPr>
          <w:p>
            <w:pPr>
              <w:pStyle w:val="TableContents"/>
              <w:bidi w:val="0"/>
              <w:spacing w:before="0" w:after="0"/>
              <w:ind w:left="0" w:right="0" w:hanging="0"/>
              <w:jc w:val="left"/>
              <w:rPr/>
            </w:pPr>
            <w:r>
              <w:rPr/>
              <w:t>​</w:t>
            </w:r>
          </w:p>
        </w:tc>
        <w:tc>
          <w:tcPr>
            <w:tcW w:w="17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September 30, 2025</w:t>
            </w:r>
          </w:p>
        </w:tc>
        <w:tc>
          <w:tcPr>
            <w:tcW w:w="109" w:type="dxa"/>
            <w:tcBorders/>
            <w:vAlign w:val="center"/>
          </w:tcPr>
          <w:p>
            <w:pPr>
              <w:pStyle w:val="TableContents"/>
              <w:bidi w:val="0"/>
              <w:spacing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Variance</w:t>
            </w:r>
          </w:p>
        </w:tc>
        <w:tc>
          <w:tcPr>
            <w:tcW w:w="109" w:type="dxa"/>
            <w:tcBorders/>
            <w:vAlign w:val="center"/>
          </w:tcPr>
          <w:p>
            <w:pPr>
              <w:pStyle w:val="TableContents"/>
              <w:bidi w:val="0"/>
              <w:spacing w:before="0" w:after="0"/>
              <w:ind w:left="0" w:right="0" w:hanging="0"/>
              <w:jc w:val="center"/>
              <w:rPr/>
            </w:pPr>
            <w:r>
              <w:rPr/>
              <w:t>​</w:t>
            </w:r>
          </w:p>
        </w:tc>
        <w:tc>
          <w:tcPr>
            <w:tcW w:w="13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Variance</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center"/>
              <w:rPr/>
            </w:pPr>
            <w:r>
              <w:rPr/>
              <w:t>​</w:t>
            </w:r>
          </w:p>
        </w:tc>
        <w:tc>
          <w:tcPr>
            <w:tcW w:w="137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center"/>
              <w:rPr/>
            </w:pPr>
            <w:r>
              <w:rPr/>
              <w:t>​</w:t>
            </w:r>
          </w:p>
        </w:tc>
        <w:tc>
          <w:tcPr>
            <w:tcW w:w="137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70"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37" w:type="dxa"/>
            <w:tcBorders/>
            <w:shd w:fill="CCEEFF" w:val="clear"/>
            <w:vAlign w:val="center"/>
          </w:tcPr>
          <w:p>
            <w:pPr>
              <w:pStyle w:val="TableContents"/>
              <w:bidi w:val="0"/>
              <w:spacing w:before="0" w:after="0"/>
              <w:ind w:left="0" w:right="0" w:hanging="0"/>
              <w:jc w:val="left"/>
              <w:rPr/>
            </w:pPr>
            <w:r>
              <w:rPr/>
              <w:t>​</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Lease Income</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38,051</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35,970</w:t>
            </w:r>
          </w:p>
        </w:tc>
        <w:tc>
          <w:tcPr>
            <w:tcW w:w="109"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2,081</w:t>
            </w:r>
          </w:p>
        </w:tc>
        <w:tc>
          <w:tcPr>
            <w:tcW w:w="109"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5.8%</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Interest Income from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20,700</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7,358</w:t>
            </w:r>
          </w:p>
        </w:tc>
        <w:tc>
          <w:tcPr>
            <w:tcW w:w="109"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13,342</w:t>
            </w:r>
          </w:p>
        </w:tc>
        <w:tc>
          <w:tcPr>
            <w:tcW w:w="109" w:type="dxa"/>
            <w:tcBorders/>
            <w:shd w:fill="CCEEFF" w:val="clear"/>
            <w:vAlign w:val="center"/>
          </w:tcPr>
          <w:p>
            <w:pPr>
              <w:pStyle w:val="TableContents"/>
              <w:bidi w:val="0"/>
              <w:spacing w:before="0" w:after="0"/>
              <w:ind w:left="0" w:right="0" w:hanging="0"/>
              <w:jc w:val="left"/>
              <w:rPr/>
            </w:pPr>
            <w:r>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181.3%</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Other Revenue</w:t>
            </w:r>
          </w:p>
        </w:tc>
        <w:tc>
          <w:tcPr>
            <w:tcW w:w="109"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117</w:t>
            </w:r>
          </w:p>
        </w:tc>
        <w:tc>
          <w:tcPr>
            <w:tcW w:w="109"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304</w:t>
            </w:r>
          </w:p>
        </w:tc>
        <w:tc>
          <w:tcPr>
            <w:tcW w:w="109" w:type="dxa"/>
            <w:tcBorders/>
            <w:vAlign w:val="center"/>
          </w:tcPr>
          <w:p>
            <w:pPr>
              <w:pStyle w:val="TableContents"/>
              <w:bidi w:val="0"/>
              <w:spacing w:before="0" w:after="0"/>
              <w:ind w:left="0" w:right="0" w:hanging="0"/>
              <w:jc w:val="righ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(187)</w:t>
            </w:r>
          </w:p>
        </w:tc>
        <w:tc>
          <w:tcPr>
            <w:tcW w:w="109" w:type="dxa"/>
            <w:tcBorders/>
            <w:vAlign w:val="center"/>
          </w:tcPr>
          <w:p>
            <w:pPr>
              <w:pStyle w:val="TableContents"/>
              <w:bidi w:val="0"/>
              <w:spacing w:before="0" w:after="0"/>
              <w:ind w:left="0" w:right="0" w:hanging="0"/>
              <w:jc w:val="left"/>
              <w:rPr/>
            </w:pPr>
            <w:r>
              <w:rPr/>
              <w:t>​</w:t>
            </w:r>
          </w:p>
        </w:tc>
        <w:tc>
          <w:tcPr>
            <w:tcW w:w="13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(61.5)%</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58,868</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43,632</w:t>
            </w:r>
          </w:p>
        </w:tc>
        <w:tc>
          <w:tcPr>
            <w:tcW w:w="109" w:type="dxa"/>
            <w:tcBorders/>
            <w:shd w:fill="CCEEFF" w:val="clear"/>
            <w:vAlign w:val="center"/>
          </w:tcPr>
          <w:p>
            <w:pPr>
              <w:pStyle w:val="TableContents"/>
              <w:bidi w:val="0"/>
              <w:spacing w:before="0" w:after="0"/>
              <w:ind w:left="0" w:right="0" w:hanging="0"/>
              <w:jc w:val="righ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15,236</w:t>
            </w:r>
          </w:p>
        </w:tc>
        <w:tc>
          <w:tcPr>
            <w:tcW w:w="109" w:type="dxa"/>
            <w:tcBorders/>
            <w:shd w:fill="CCEEFF" w:val="clear"/>
            <w:vAlign w:val="center"/>
          </w:tcPr>
          <w:p>
            <w:pPr>
              <w:pStyle w:val="TableContents"/>
              <w:bidi w:val="0"/>
              <w:spacing w:before="0" w:after="0"/>
              <w:ind w:left="0" w:right="0" w:hanging="0"/>
              <w:jc w:val="left"/>
              <w:rPr/>
            </w:pPr>
            <w:r>
              <w:rPr/>
              <w:t>​</w:t>
            </w:r>
          </w:p>
        </w:tc>
        <w:tc>
          <w:tcPr>
            <w:tcW w:w="13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34.9%</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Operating Expenses:</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left"/>
              <w:rPr/>
            </w:pPr>
            <w:r>
              <w:rPr/>
              <w:t>​</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Real Estate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6,482</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6,030</w:t>
            </w:r>
          </w:p>
        </w:tc>
        <w:tc>
          <w:tcPr>
            <w:tcW w:w="109"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452</w:t>
            </w:r>
          </w:p>
        </w:tc>
        <w:tc>
          <w:tcPr>
            <w:tcW w:w="109" w:type="dxa"/>
            <w:tcBorders/>
            <w:shd w:fill="CCEEFF" w:val="clear"/>
            <w:vAlign w:val="center"/>
          </w:tcPr>
          <w:p>
            <w:pPr>
              <w:pStyle w:val="TableContents"/>
              <w:bidi w:val="0"/>
              <w:spacing w:before="0" w:after="0"/>
              <w:ind w:left="0" w:right="0" w:hanging="0"/>
              <w:jc w:val="left"/>
              <w:rPr/>
            </w:pPr>
            <w:r>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7.5%</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General and Administrative Expenses</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5,896</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5,108</w:t>
            </w:r>
          </w:p>
        </w:tc>
        <w:tc>
          <w:tcPr>
            <w:tcW w:w="109"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788</w:t>
            </w:r>
          </w:p>
        </w:tc>
        <w:tc>
          <w:tcPr>
            <w:tcW w:w="109"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15.4%</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Provision for Impairment and Adjustment to CECL Reserve</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809</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6,749</w:t>
            </w:r>
          </w:p>
        </w:tc>
        <w:tc>
          <w:tcPr>
            <w:tcW w:w="109"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(5,940)</w:t>
            </w:r>
          </w:p>
        </w:tc>
        <w:tc>
          <w:tcPr>
            <w:tcW w:w="109" w:type="dxa"/>
            <w:tcBorders/>
            <w:shd w:fill="CCEEFF" w:val="clear"/>
            <w:vAlign w:val="center"/>
          </w:tcPr>
          <w:p>
            <w:pPr>
              <w:pStyle w:val="TableContents"/>
              <w:bidi w:val="0"/>
              <w:spacing w:before="0" w:after="0"/>
              <w:ind w:left="0" w:right="0" w:hanging="0"/>
              <w:jc w:val="left"/>
              <w:rPr/>
            </w:pPr>
            <w:r>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(88.0)%</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20,901</w:t>
            </w:r>
          </w:p>
        </w:tc>
        <w:tc>
          <w:tcPr>
            <w:tcW w:w="109"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20,609</w:t>
            </w:r>
          </w:p>
        </w:tc>
        <w:tc>
          <w:tcPr>
            <w:tcW w:w="109" w:type="dxa"/>
            <w:tcBorders/>
            <w:vAlign w:val="center"/>
          </w:tcPr>
          <w:p>
            <w:pPr>
              <w:pStyle w:val="TableContents"/>
              <w:bidi w:val="0"/>
              <w:spacing w:before="0" w:after="0"/>
              <w:ind w:left="0" w:right="0" w:hanging="0"/>
              <w:jc w:val="righ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292</w:t>
            </w:r>
          </w:p>
        </w:tc>
        <w:tc>
          <w:tcPr>
            <w:tcW w:w="109" w:type="dxa"/>
            <w:tcBorders/>
            <w:vAlign w:val="center"/>
          </w:tcPr>
          <w:p>
            <w:pPr>
              <w:pStyle w:val="TableContents"/>
              <w:bidi w:val="0"/>
              <w:spacing w:before="0" w:after="0"/>
              <w:ind w:left="0" w:right="0" w:hanging="0"/>
              <w:jc w:val="left"/>
              <w:rPr/>
            </w:pPr>
            <w:r>
              <w:rPr/>
              <w:t>​</w:t>
            </w:r>
          </w:p>
        </w:tc>
        <w:tc>
          <w:tcPr>
            <w:tcW w:w="13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34,088</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38,496</w:t>
            </w:r>
          </w:p>
        </w:tc>
        <w:tc>
          <w:tcPr>
            <w:tcW w:w="109"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(4,408)</w:t>
            </w:r>
          </w:p>
        </w:tc>
        <w:tc>
          <w:tcPr>
            <w:tcW w:w="109" w:type="dxa"/>
            <w:tcBorders/>
            <w:shd w:fill="CCEEFF" w:val="clear"/>
            <w:vAlign w:val="center"/>
          </w:tcPr>
          <w:p>
            <w:pPr>
              <w:pStyle w:val="TableContents"/>
              <w:bidi w:val="0"/>
              <w:spacing w:before="0" w:after="0"/>
              <w:ind w:left="0" w:right="0" w:hanging="0"/>
              <w:jc w:val="left"/>
              <w:rPr/>
            </w:pPr>
            <w:r>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(11.5)%</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Gain on Disposition of Assets</w:t>
            </w:r>
          </w:p>
        </w:tc>
        <w:tc>
          <w:tcPr>
            <w:tcW w:w="109"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369</w:t>
            </w:r>
          </w:p>
        </w:tc>
        <w:tc>
          <w:tcPr>
            <w:tcW w:w="109"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2,043</w:t>
            </w:r>
          </w:p>
        </w:tc>
        <w:tc>
          <w:tcPr>
            <w:tcW w:w="109" w:type="dxa"/>
            <w:tcBorders/>
            <w:vAlign w:val="center"/>
          </w:tcPr>
          <w:p>
            <w:pPr>
              <w:pStyle w:val="TableContents"/>
              <w:bidi w:val="0"/>
              <w:spacing w:before="0" w:after="0"/>
              <w:ind w:left="0" w:right="0" w:hanging="0"/>
              <w:jc w:val="righ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(1,674)</w:t>
            </w:r>
          </w:p>
        </w:tc>
        <w:tc>
          <w:tcPr>
            <w:tcW w:w="109" w:type="dxa"/>
            <w:tcBorders/>
            <w:vAlign w:val="center"/>
          </w:tcPr>
          <w:p>
            <w:pPr>
              <w:pStyle w:val="TableContents"/>
              <w:bidi w:val="0"/>
              <w:spacing w:before="0" w:after="0"/>
              <w:ind w:left="0" w:right="0" w:hanging="0"/>
              <w:jc w:val="left"/>
              <w:rPr/>
            </w:pPr>
            <w:r>
              <w:rPr/>
              <w:t>​</w:t>
            </w:r>
          </w:p>
        </w:tc>
        <w:tc>
          <w:tcPr>
            <w:tcW w:w="13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(81.9)%</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25,149</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7,179</w:t>
            </w:r>
          </w:p>
        </w:tc>
        <w:tc>
          <w:tcPr>
            <w:tcW w:w="109"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17,970</w:t>
            </w:r>
          </w:p>
        </w:tc>
        <w:tc>
          <w:tcPr>
            <w:tcW w:w="109" w:type="dxa"/>
            <w:tcBorders/>
            <w:shd w:fill="CCEEFF" w:val="clear"/>
            <w:vAlign w:val="center"/>
          </w:tcPr>
          <w:p>
            <w:pPr>
              <w:pStyle w:val="TableContents"/>
              <w:bidi w:val="0"/>
              <w:spacing w:before="0" w:after="0"/>
              <w:ind w:left="0" w:right="0" w:hanging="0"/>
              <w:jc w:val="left"/>
              <w:rPr/>
            </w:pPr>
            <w:r>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250.3%</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Investment and Other Income</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472</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160</w:t>
            </w:r>
          </w:p>
        </w:tc>
        <w:tc>
          <w:tcPr>
            <w:tcW w:w="109"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312</w:t>
            </w:r>
          </w:p>
        </w:tc>
        <w:tc>
          <w:tcPr>
            <w:tcW w:w="109"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195.0%</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(13,760)</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(11,822)</w:t>
            </w:r>
          </w:p>
        </w:tc>
        <w:tc>
          <w:tcPr>
            <w:tcW w:w="109" w:type="dxa"/>
            <w:tcBorders/>
            <w:shd w:fill="CCEEFF" w:val="clear"/>
            <w:vAlign w:val="center"/>
          </w:tcPr>
          <w:p>
            <w:pPr>
              <w:pStyle w:val="TableContents"/>
              <w:bidi w:val="0"/>
              <w:spacing w:before="0" w:after="0"/>
              <w:ind w:left="0" w:right="0" w:hanging="0"/>
              <w:jc w:val="righ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(1,938)</w:t>
            </w:r>
          </w:p>
        </w:tc>
        <w:tc>
          <w:tcPr>
            <w:tcW w:w="109" w:type="dxa"/>
            <w:tcBorders/>
            <w:shd w:fill="CCEEFF" w:val="clear"/>
            <w:vAlign w:val="center"/>
          </w:tcPr>
          <w:p>
            <w:pPr>
              <w:pStyle w:val="TableContents"/>
              <w:bidi w:val="0"/>
              <w:spacing w:before="0" w:after="0"/>
              <w:ind w:left="0" w:right="0" w:hanging="0"/>
              <w:jc w:val="left"/>
              <w:rPr/>
            </w:pPr>
            <w:r>
              <w:rPr/>
              <w:t>​</w:t>
            </w:r>
          </w:p>
        </w:tc>
        <w:tc>
          <w:tcPr>
            <w:tcW w:w="13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(16.4)%</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(Loss)</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11,861</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(4,483)</w:t>
            </w:r>
          </w:p>
        </w:tc>
        <w:tc>
          <w:tcPr>
            <w:tcW w:w="109"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16,344</w:t>
            </w:r>
          </w:p>
        </w:tc>
        <w:tc>
          <w:tcPr>
            <w:tcW w:w="109"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364.6%</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Less: Net Loss (Income) Attributable to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(797)</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353</w:t>
            </w:r>
          </w:p>
        </w:tc>
        <w:tc>
          <w:tcPr>
            <w:tcW w:w="109" w:type="dxa"/>
            <w:tcBorders/>
            <w:shd w:fill="CCEEFF" w:val="clear"/>
            <w:vAlign w:val="center"/>
          </w:tcPr>
          <w:p>
            <w:pPr>
              <w:pStyle w:val="TableContents"/>
              <w:bidi w:val="0"/>
              <w:spacing w:before="0" w:after="0"/>
              <w:ind w:left="0" w:right="0" w:hanging="0"/>
              <w:jc w:val="righ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(1,150)</w:t>
            </w:r>
          </w:p>
        </w:tc>
        <w:tc>
          <w:tcPr>
            <w:tcW w:w="109" w:type="dxa"/>
            <w:tcBorders/>
            <w:shd w:fill="CCEEFF" w:val="clear"/>
            <w:vAlign w:val="center"/>
          </w:tcPr>
          <w:p>
            <w:pPr>
              <w:pStyle w:val="TableContents"/>
              <w:bidi w:val="0"/>
              <w:spacing w:before="0" w:after="0"/>
              <w:ind w:left="0" w:right="0" w:hanging="0"/>
              <w:jc w:val="left"/>
              <w:rPr/>
            </w:pPr>
            <w:r>
              <w:rPr/>
              <w:t>​</w:t>
            </w:r>
          </w:p>
        </w:tc>
        <w:tc>
          <w:tcPr>
            <w:tcW w:w="13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(325.8)%</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(Loss) Attributable to Alpine Income Property Trust, Inc.</w:t>
            </w:r>
          </w:p>
        </w:tc>
        <w:tc>
          <w:tcPr>
            <w:tcW w:w="109"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3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11,064</w:t>
            </w:r>
          </w:p>
        </w:tc>
        <w:tc>
          <w:tcPr>
            <w:tcW w:w="109"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3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(4,130)</w:t>
            </w:r>
          </w:p>
        </w:tc>
        <w:tc>
          <w:tcPr>
            <w:tcW w:w="109" w:type="dxa"/>
            <w:tcBorders/>
            <w:vAlign w:val="center"/>
          </w:tcPr>
          <w:p>
            <w:pPr>
              <w:pStyle w:val="TableContents"/>
              <w:bidi w:val="0"/>
              <w:spacing w:before="0" w:after="0"/>
              <w:ind w:left="0" w:right="0" w:hanging="0"/>
              <w:jc w:val="righ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15,194</w:t>
            </w:r>
          </w:p>
        </w:tc>
        <w:tc>
          <w:tcPr>
            <w:tcW w:w="109" w:type="dxa"/>
            <w:tcBorders/>
            <w:vAlign w:val="center"/>
          </w:tcPr>
          <w:p>
            <w:pPr>
              <w:pStyle w:val="TableContents"/>
              <w:bidi w:val="0"/>
              <w:spacing w:before="0" w:after="0"/>
              <w:ind w:left="0" w:right="0" w:hanging="0"/>
              <w:jc w:val="left"/>
              <w:rPr/>
            </w:pPr>
            <w:r>
              <w:rPr/>
              <w:t>​</w:t>
            </w:r>
          </w:p>
        </w:tc>
        <w:tc>
          <w:tcPr>
            <w:tcW w:w="1337"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2"/>
              </w:rPr>
            </w:pPr>
            <w:r>
              <w:rPr>
                <w:rFonts w:ascii="Times New Roman;Times;serif" w:hAnsi="Times New Roman;Times;serif"/>
                <w:sz w:val="22"/>
              </w:rPr>
              <w:t>367.9%</w:t>
            </w:r>
          </w:p>
        </w:tc>
      </w:tr>
    </w:tbl>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Lease Income and Real Estate Expenses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from our property operations totaled $38.1 million and $36.0 million during the nine months ended September 30, 2026 and 2025, respectively. The $2.1 million increase in lease income is primarily attributable to an increase in rents due to the volume of property acquisitions versus dispositions. The direct costs of revenues for our income properties totaled $6.5 million and $6.0 million during the nine months ended September 30, 2026 and 2025, respectively. The $0.5 million increase in the direct cost of revenues is reflective of increased expenses.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income from commercial loans and investments totaled $20.7 million and $7.4 million for the nine months ended September 30, 2026 and 2025, respectively. The $13.3 million increase in income is attributable to the expanded portfolio of commercial loans and investments which, as of September 30, 2026, was comprised of eight construction/ redevelopment loans, three mortgage notes, four properties acquired pursuant to sale-leaseback transactions whereby the tenants have future repurchase rights, and one sales-type lease. As of September 30, 2025, the Company’s portfolio of commercial loans and investments was comprised of five construction loans, six mortgage notes, and three properties acquired pursuant to a sale-leaseback transaction whereby the tenant has a future repurchase right.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Revenue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revenue totaled $0.1 million and $0.3 million for the nine months ended September 30, 2026 and 2025, respectively. The revenue is attributable to fees earned from a revenue sharing agreement the Company entered into with CTO as further described in Note 19, “Related Party Management Company” in the Notes to the Financial Statements. The $0.2 million decrease is attributable to the sale of properties resulting in less assets under management during the nine months ended September 30,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the Company’s general and administrative expenses for the nine months ended September 30, 2026, as compared to the nine months ended September 30, 2025 (in thousands):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018"/>
        <w:gridCol w:w="109"/>
        <w:gridCol w:w="476"/>
        <w:gridCol w:w="1292"/>
        <w:gridCol w:w="113"/>
        <w:gridCol w:w="476"/>
        <w:gridCol w:w="1292"/>
        <w:gridCol w:w="109"/>
        <w:gridCol w:w="345"/>
        <w:gridCol w:w="691"/>
        <w:gridCol w:w="109"/>
        <w:gridCol w:w="1175"/>
      </w:tblGrid>
      <w:tr>
        <w:trPr/>
        <w:tc>
          <w:tcPr>
            <w:tcW w:w="40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9215" cy="175260"/>
                      <wp:effectExtent l="0" t="0" r="0" b="0"/>
                      <wp:wrapNone/>
                      <wp:docPr id="421" name="Frame4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302260" cy="175260"/>
                      <wp:effectExtent l="0" t="0" r="0" b="0"/>
                      <wp:wrapNone/>
                      <wp:docPr id="422" name="Frame422"/>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820420" cy="175260"/>
                      <wp:effectExtent l="0" t="0" r="0" b="0"/>
                      <wp:wrapNone/>
                      <wp:docPr id="423" name="Frame423"/>
                      <a:graphic xmlns:a="http://schemas.openxmlformats.org/drawingml/2006/main">
                        <a:graphicData uri="http://schemas.microsoft.com/office/word/2010/wordprocessingShape">
                          <wps:wsp>
                            <wps:cNvSpPr txBox="1"/>
                            <wps:spPr>
                              <a:xfrm>
                                <a:off x="0" y="0"/>
                                <a:ext cx="820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71755" cy="175260"/>
                      <wp:effectExtent l="0" t="0" r="0" b="0"/>
                      <wp:wrapNone/>
                      <wp:docPr id="424" name="Frame424"/>
                      <a:graphic xmlns:a="http://schemas.openxmlformats.org/drawingml/2006/main">
                        <a:graphicData uri="http://schemas.microsoft.com/office/word/2010/wordprocessingShape">
                          <wps:wsp>
                            <wps:cNvSpPr txBox="1"/>
                            <wps:spPr>
                              <a:xfrm>
                                <a:off x="0" y="0"/>
                                <a:ext cx="71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302260" cy="175260"/>
                      <wp:effectExtent l="0" t="0" r="0" b="0"/>
                      <wp:wrapNone/>
                      <wp:docPr id="425" name="Frame425"/>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820420" cy="175260"/>
                      <wp:effectExtent l="0" t="0" r="0" b="0"/>
                      <wp:wrapNone/>
                      <wp:docPr id="426" name="Frame426"/>
                      <a:graphic xmlns:a="http://schemas.openxmlformats.org/drawingml/2006/main">
                        <a:graphicData uri="http://schemas.microsoft.com/office/word/2010/wordprocessingShape">
                          <wps:wsp>
                            <wps:cNvSpPr txBox="1"/>
                            <wps:spPr>
                              <a:xfrm>
                                <a:off x="0" y="0"/>
                                <a:ext cx="820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27" name="Frame4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075" cy="175260"/>
                      <wp:effectExtent l="0" t="0" r="0" b="0"/>
                      <wp:wrapNone/>
                      <wp:docPr id="428" name="Frame428"/>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38785" cy="175260"/>
                      <wp:effectExtent l="0" t="0" r="0" b="0"/>
                      <wp:wrapNone/>
                      <wp:docPr id="429" name="Frame4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9215" cy="175260"/>
                      <wp:effectExtent l="0" t="0" r="0" b="0"/>
                      <wp:wrapNone/>
                      <wp:docPr id="430" name="Frame4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746125" cy="175260"/>
                      <wp:effectExtent l="0" t="0" r="0" b="0"/>
                      <wp:wrapNone/>
                      <wp:docPr id="431" name="Frame431"/>
                      <a:graphic xmlns:a="http://schemas.openxmlformats.org/drawingml/2006/main">
                        <a:graphicData uri="http://schemas.microsoft.com/office/word/2010/wordprocessingShape">
                          <wps:wsp>
                            <wps:cNvSpPr txBox="1"/>
                            <wps:spPr>
                              <a:xfrm>
                                <a:off x="0" y="0"/>
                                <a:ext cx="746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c>
          <w:tcPr>
            <w:tcW w:w="109"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left"/>
              <w:rPr/>
            </w:pPr>
            <w:r>
              <w:rPr/>
              <w:t>​</w:t>
            </w:r>
          </w:p>
        </w:tc>
      </w:tr>
      <w:tr>
        <w:trPr/>
        <w:tc>
          <w:tcPr>
            <w:tcW w:w="40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13" w:type="dxa"/>
            <w:tcBorders/>
            <w:vAlign w:val="center"/>
          </w:tcPr>
          <w:p>
            <w:pPr>
              <w:pStyle w:val="TableContents"/>
              <w:bidi w:val="0"/>
              <w:spacing w:before="0" w:after="0"/>
              <w:ind w:left="0" w:right="0" w:hanging="0"/>
              <w:jc w:val="left"/>
              <w:rPr/>
            </w:pPr>
            <w:r>
              <w:rPr/>
              <w:t>​</w:t>
            </w:r>
          </w:p>
        </w:tc>
        <w:tc>
          <w:tcPr>
            <w:tcW w:w="17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center"/>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to Manager</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4,101</w:t>
            </w:r>
          </w:p>
        </w:tc>
        <w:tc>
          <w:tcPr>
            <w:tcW w:w="113"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109" w:type="dxa"/>
            <w:tcBorders/>
            <w:shd w:fill="CCEEFF" w:val="clear"/>
            <w:vAlign w:val="center"/>
          </w:tcPr>
          <w:p>
            <w:pPr>
              <w:pStyle w:val="TableContents"/>
              <w:bidi w:val="0"/>
              <w:spacing w:before="0" w:after="0"/>
              <w:ind w:left="0" w:right="0" w:hanging="0"/>
              <w:jc w:val="center"/>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109"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r>
      <w:tr>
        <w:trPr/>
        <w:tc>
          <w:tcPr>
            <w:tcW w:w="401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Compensation Expense </w:t>
            </w:r>
          </w:p>
        </w:tc>
        <w:tc>
          <w:tcPr>
            <w:tcW w:w="109"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113"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109" w:type="dxa"/>
            <w:tcBorders/>
            <w:vAlign w:val="center"/>
          </w:tcPr>
          <w:p>
            <w:pPr>
              <w:pStyle w:val="TableContents"/>
              <w:bidi w:val="0"/>
              <w:spacing w:before="0" w:after="0"/>
              <w:ind w:left="0" w:right="0" w:hanging="0"/>
              <w:jc w:val="center"/>
              <w:rPr/>
            </w:pPr>
            <w:r>
              <w:rPr/>
              <w:t>​</w:t>
            </w:r>
          </w:p>
        </w:tc>
        <w:tc>
          <w:tcPr>
            <w:tcW w:w="345"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 xml:space="preserve">— </w:t>
            </w:r>
            <w:r>
              <w:rPr>
                <w:rFonts w:ascii="Times New Roman;Times;serif" w:hAnsi="Times New Roman;Times;serif"/>
                <w:sz w:val="20"/>
              </w:rPr>
              <w:t>%</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&amp; Officer Insurance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12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113"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12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109" w:type="dxa"/>
            <w:tcBorders/>
            <w:shd w:fill="CCEEFF" w:val="clear"/>
            <w:vAlign w:val="center"/>
          </w:tcPr>
          <w:p>
            <w:pPr>
              <w:pStyle w:val="TableContents"/>
              <w:bidi w:val="0"/>
              <w:spacing w:before="0" w:after="0"/>
              <w:ind w:left="0" w:right="0" w:hanging="0"/>
              <w:jc w:val="righ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General and Administrative Expense</w:t>
            </w:r>
          </w:p>
        </w:tc>
        <w:tc>
          <w:tcPr>
            <w:tcW w:w="109" w:type="dxa"/>
            <w:tcBorders/>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w:t>
            </w:r>
          </w:p>
        </w:tc>
        <w:tc>
          <w:tcPr>
            <w:tcW w:w="113" w:type="dxa"/>
            <w:tcBorders/>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c>
          <w:tcPr>
            <w:tcW w:w="109" w:type="dxa"/>
            <w:tcBorders/>
            <w:vAlign w:val="center"/>
          </w:tcPr>
          <w:p>
            <w:pPr>
              <w:pStyle w:val="TableContents"/>
              <w:bidi w:val="0"/>
              <w:spacing w:before="0" w:after="0"/>
              <w:ind w:left="0" w:right="0" w:hanging="0"/>
              <w:jc w:val="righ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before="0" w:after="0"/>
              <w:ind w:left="0" w:right="0" w:hanging="0"/>
              <w:jc w:val="left"/>
              <w:rPr/>
            </w:pPr>
            <w:r>
              <w:rPr/>
              <w:t>​</w:t>
            </w:r>
          </w:p>
        </w:tc>
        <w:tc>
          <w:tcPr>
            <w:tcW w:w="11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5,896</w:t>
            </w:r>
          </w:p>
        </w:tc>
        <w:tc>
          <w:tcPr>
            <w:tcW w:w="113" w:type="dxa"/>
            <w:tcBorders/>
            <w:shd w:fill="CCEEFF" w:val="clear"/>
            <w:vAlign w:val="center"/>
          </w:tcPr>
          <w:p>
            <w:pPr>
              <w:pStyle w:val="TableContents"/>
              <w:bidi w:val="0"/>
              <w:spacing w:before="0" w:after="0"/>
              <w:ind w:left="0" w:right="0" w:hanging="0"/>
              <w:jc w:val="left"/>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5,108</w:t>
            </w:r>
          </w:p>
        </w:tc>
        <w:tc>
          <w:tcPr>
            <w:tcW w:w="109" w:type="dxa"/>
            <w:tcBorders/>
            <w:shd w:fill="CCEEFF" w:val="clear"/>
            <w:vAlign w:val="center"/>
          </w:tcPr>
          <w:p>
            <w:pPr>
              <w:pStyle w:val="TableContents"/>
              <w:bidi w:val="0"/>
              <w:spacing w:before="0" w:after="0"/>
              <w:ind w:left="0" w:right="0" w:hanging="0"/>
              <w:jc w:val="righ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c>
          <w:tcPr>
            <w:tcW w:w="109" w:type="dxa"/>
            <w:tcBorders/>
            <w:shd w:fill="CCEEFF" w:val="clear"/>
            <w:vAlign w:val="center"/>
          </w:tcPr>
          <w:p>
            <w:pPr>
              <w:pStyle w:val="TableContents"/>
              <w:bidi w:val="0"/>
              <w:spacing w:before="0" w:after="0"/>
              <w:ind w:left="0" w:right="0" w:hanging="0"/>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15.4%</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totaled $5.9 million and $5.1 million during the nine months ended September 30, 2026 and 2025, respectively. The $0.8 million increase is primarily the result of increases in the management fee due to an increase in the weighted average of the Company’s equity base.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Provision for Impairment and Adjustment to CECL Reserve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further described in Note 7, “Provision for Impairment and Adjustment to CECL Reserve”, during the nine months ended September 30, 2026, the Company recorded a $0.2 million impairment charge representing the provision for losses related to certain income properties, for which the Company’s current intent is to dispose of such properties in order to facilitate the re-investment of the proceeds therefrom into new investment opportunities, and a $0.6 million impairment charge which represents the CECL reserve related to our commercial loans and investments. During the nine months ended September 30, 2025, the Company recorded a $6.6 million impairment charge representing the provision for losses related to certain income properties, for which the Company’s current intent is to dispose of such properties in order to facilitate the re-investment of the proceeds therefrom into new investment opportunities, and a $0.1 million impairment charge which represents the change in our CECL reserve related to our commercial loans and investments.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Depreciation and Amortization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and amortization expense totaled $20.9 million and $20.6 million during the nine months ended September 30, 2026 and 2025, respectively. The $0.3 million increase in depreciation and amortization expense is reflective of the increase in asset cost basis of the Company’s income property portfolio, which is partially offset by the impact of less depreciation due to certain recent acquisitions completed under a ground lease structure.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Gain on Disposition of Assets</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nine months ended September 30, 2026, the Company sold four properties for an aggregate sales price of $6.2 million, generating aggregate gains on sale of $0.4 million. During the nine months ended September 30, 2025, the Company sold 11 properties for an aggregate sales price of $34.3 million, generating aggregate gains on sale of $2.0 million.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Investment and other income totaled $0.5 million and $0.2 million during the nine months ended September 30, 2026 and 2025, respectively. The $0.3 million increase is primarily due to the receipt of a $0.3 million nonrefundable deposit forfeited by a potential buyer on a property that was previously under contract for sale.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expense totaled $13.7 million and $11.8 million during the nine months ended September 30, 2026 and 2025, respectively. The $1.9 million increase in interest expense is attributable to an increase in the Company’s long-term debt as well as $0.9 million of additional interest expense resulting from the sale of participation interest in the Company’s 2025 Mortgage Note as defined and further described in Note 4, “Commercial Loans and Investments” in the Notes to the Financial Statements. The overall increase in the Company’s long-term debt was primarily utilized to fund the acquisition of properties and commercial loans and investments during the nine months ended September 30, 2026.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Income (Loss)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income totaled $11.1 million and net loss totaled $4.1 million during the nine months ended September 30, 2026 and 2025, respectively. The $15.2 million increase in net income is attributable to the factors described above, most notably the $13.3 million increase in interest income from commercial loans and investments.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3"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73" w:before="0" w:after="0"/>
        <w:ind w:left="0" w:right="0" w:hanging="0"/>
        <w:jc w:val="both"/>
        <w:rPr/>
      </w:pPr>
      <w:r>
        <w:rPr/>
        <w:t>​</w:t>
      </w:r>
    </w:p>
    <w:p>
      <w:pPr>
        <w:pStyle w:val="TextBody"/>
        <w:bidi w:val="0"/>
        <w:spacing w:lineRule="auto" w:line="273" w:before="0" w:after="0"/>
        <w:ind w:left="0" w:right="0" w:firstLine="360"/>
        <w:jc w:val="both"/>
        <w:rPr>
          <w:rFonts w:ascii="Times New Roman;Times;serif" w:hAnsi="Times New Roman;Times;serif"/>
          <w:sz w:val="20"/>
        </w:rPr>
      </w:pPr>
      <w:r>
        <w:rPr>
          <w:rFonts w:ascii="Times New Roman;Times;serif" w:hAnsi="Times New Roman;Times;serif"/>
          <w:sz w:val="20"/>
        </w:rPr>
        <w:t>Cash totaled $30.9 million as of September 30, 2026, including restricted cash of $19.1 million. See Note 2 “Summary of Significant Accounting Policies” under the heading Restricted Cash for the Company’s disclosure related to its restricted cash balance as of September 30, 2026.</w:t>
      </w:r>
    </w:p>
    <w:p>
      <w:pPr>
        <w:pStyle w:val="TextBody"/>
        <w:bidi w:val="0"/>
        <w:spacing w:lineRule="auto" w:line="273" w:before="0" w:after="0"/>
        <w:ind w:left="0" w:right="0" w:firstLine="360"/>
        <w:jc w:val="both"/>
        <w:rPr/>
      </w:pPr>
      <w:r>
        <w:rPr/>
        <w:t>​</w:t>
      </w:r>
    </w:p>
    <w:p>
      <w:pPr>
        <w:pStyle w:val="TextBody"/>
        <w:bidi w:val="0"/>
        <w:spacing w:lineRule="auto" w:line="273"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Long-Term Debt. </w:t>
      </w:r>
      <w:r>
        <w:rPr>
          <w:rFonts w:ascii="Times New Roman;Times;serif" w:hAnsi="Times New Roman;Times;serif"/>
          <w:sz w:val="20"/>
        </w:rPr>
        <w:t>As of September 30, 2026, the commitment level under the Revolving Facility was $250.0 million, and the Company had an outstanding balance of $198.5 million and $51.5 million of available capacity. The Company also had $200.0 million in term loans outstanding as of September 30, 2026. See Note 13, “Long-Term Debt” for the Company’s disclosure related to its long-term debt balance as of September 30, 2026.</w:t>
      </w:r>
    </w:p>
    <w:p>
      <w:pPr>
        <w:pStyle w:val="TextBody"/>
        <w:bidi w:val="0"/>
        <w:spacing w:lineRule="auto" w:line="273" w:before="0" w:after="0"/>
        <w:ind w:left="0" w:right="0" w:firstLine="360"/>
        <w:jc w:val="both"/>
        <w:rPr/>
      </w:pPr>
      <w:r>
        <w:rPr/>
        <w:t>​</w:t>
      </w:r>
    </w:p>
    <w:p>
      <w:pPr>
        <w:pStyle w:val="TextBody"/>
        <w:bidi w:val="0"/>
        <w:spacing w:lineRule="auto" w:line="273"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Acquisitions and Dispositions. </w:t>
      </w:r>
      <w:r>
        <w:rPr>
          <w:rFonts w:ascii="Times New Roman;Times;serif" w:hAnsi="Times New Roman;Times;serif"/>
          <w:sz w:val="20"/>
        </w:rPr>
        <w:t>As further described in Note 3, “Property Portfolio,” during the nine months ended September 30, 2026, the Company acquired seven properties for a combined purchase price of $86.3 million, including capitalized acquisition costs. Of the total acquisitions, the Company acquired five properties for a combined purchase price of $60.0 million, including capitalized acquisition costs, and those five properties were subject to purchase accounting for acquisitions subject to a lease. The remaining $26.3 million of total acquisition costs are attributable to (i) the acquisition of the 2026 Sale-Leaseback Property for a purchase price of $10.0 million and (ii) the acquisition of the 2026 Sales-Type Lease for $16.3 million. During the nine months ended September 30, 2026, the Company sold four properties for an aggregate sales price of $6.2 million, generating aggregate gains on sale of $0.4 million.</w:t>
      </w:r>
    </w:p>
    <w:p>
      <w:pPr>
        <w:pStyle w:val="TextBody"/>
        <w:bidi w:val="0"/>
        <w:spacing w:lineRule="auto" w:line="273" w:before="0" w:after="0"/>
        <w:ind w:left="0" w:right="0" w:hanging="0"/>
        <w:jc w:val="both"/>
        <w:rPr/>
      </w:pPr>
      <w:r>
        <w:rPr/>
        <w:t>​</w:t>
      </w:r>
    </w:p>
    <w:p>
      <w:pPr>
        <w:pStyle w:val="TextBody"/>
        <w:bidi w:val="0"/>
        <w:spacing w:lineRule="auto" w:line="273"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ATM Program. </w:t>
      </w:r>
      <w:r>
        <w:rPr>
          <w:rFonts w:ascii="Times New Roman;Times;serif" w:hAnsi="Times New Roman;Times;serif"/>
          <w:sz w:val="20"/>
          <w:shd w:fill="FFFFFF" w:val="clear"/>
        </w:rPr>
        <w:t xml:space="preserve">During the nine months ended September 30, 2026, the Company sold </w:t>
      </w:r>
      <w:r>
        <w:rPr>
          <w:rFonts w:ascii="Times New Roman;Times;serif" w:hAnsi="Times New Roman;Times;serif"/>
          <w:sz w:val="20"/>
        </w:rPr>
        <w:t>3,136,532</w:t>
      </w:r>
      <w:r>
        <w:rPr>
          <w:rFonts w:ascii="Times New Roman;Times;serif" w:hAnsi="Times New Roman;Times;serif"/>
          <w:sz w:val="20"/>
          <w:shd w:fill="FFFFFF" w:val="clear"/>
        </w:rPr>
        <w:t xml:space="preserve"> shares under the Common Stock ATM Program for gross proceeds of $60.8 million at a weighted average price of $19.38 per share, generating net proceeds of $59.9 million after deducting transaction fees totaling $0.9 million. During the nine months ended September 30, 2026, the Company sold 406,419 shares under the 2025 Preferred Stock ATM Program for gross proceeds of $10.2 million at a weighted average price of $25.18 per share, generating net proceeds of $10.0 million after deducting transaction fees totaling $0.2 million.</w:t>
      </w:r>
    </w:p>
    <w:p>
      <w:pPr>
        <w:pStyle w:val="TextBody"/>
        <w:bidi w:val="0"/>
        <w:spacing w:lineRule="auto" w:line="273" w:before="0" w:after="0"/>
        <w:ind w:left="0" w:right="0" w:firstLine="360"/>
        <w:jc w:val="both"/>
        <w:rPr/>
      </w:pPr>
      <w:r>
        <w:rPr/>
        <w:t>​</w:t>
      </w:r>
    </w:p>
    <w:p>
      <w:pPr>
        <w:pStyle w:val="TextBody"/>
        <w:bidi w:val="0"/>
        <w:spacing w:lineRule="auto" w:line="273" w:before="0" w:after="0"/>
        <w:ind w:left="0" w:right="0" w:firstLine="360"/>
        <w:jc w:val="both"/>
        <w:rPr>
          <w:rFonts w:ascii="Times New Roman;Times;serif" w:hAnsi="Times New Roman;Times;serif"/>
          <w:sz w:val="20"/>
        </w:rPr>
      </w:pPr>
      <w:r>
        <w:rPr>
          <w:rFonts w:ascii="Times New Roman;Times;serif" w:hAnsi="Times New Roman;Times;serif"/>
          <w:i/>
          <w:sz w:val="20"/>
        </w:rPr>
        <w:t>Capital Expenditures.</w:t>
      </w:r>
      <w:r>
        <w:rPr>
          <w:rFonts w:ascii="Times New Roman;Times;serif" w:hAnsi="Times New Roman;Times;serif"/>
          <w:sz w:val="20"/>
        </w:rPr>
        <w:t xml:space="preserve"> As of September 30, 2026, the Company has committed to fund certain capital improvements related to several properties, which include tenant improvements, landlord work, leasing commissions, and other capital improvements. As of September 30, 2026, the commitments totaled $3.3 million, of which $0.8 million has been paid, leaving a remaining commitment of $2.5 million. The improvements are generally expected to be completed within 12 months of September 30, 2026. Additionally, as of September 30, 2026, the Company has unfunded loan commitments under the Company’s eight construction/redevelopment loans as described in Note 4, “Commercial Loans and Investments”. The unfunded portion of the construction/redevelopment loans totaled $75.5 million as of September 30, 2026</w:t>
      </w:r>
      <w:r>
        <w:rPr>
          <w:rFonts w:ascii="Times New Roman;Times;serif" w:hAnsi="Times New Roman;Times;serif"/>
          <w:i/>
          <w:sz w:val="20"/>
        </w:rPr>
        <w:t xml:space="preserve">. </w:t>
      </w:r>
    </w:p>
    <w:p>
      <w:pPr>
        <w:pStyle w:val="TextBody"/>
        <w:bidi w:val="0"/>
        <w:spacing w:lineRule="auto" w:line="273" w:before="0" w:after="0"/>
        <w:ind w:left="0" w:right="0" w:hanging="0"/>
        <w:jc w:val="both"/>
        <w:rPr/>
      </w:pPr>
      <w:r>
        <w:rPr/>
        <w:t>​</w:t>
      </w:r>
    </w:p>
    <w:p>
      <w:pPr>
        <w:pStyle w:val="TextBody"/>
        <w:bidi w:val="0"/>
        <w:spacing w:lineRule="auto" w:line="273"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believe we will have sufficient liquidity to fund our operations, capital requirements, maintenance, and debt service requirements over the next twelve months and into the foreseeable future, with cash on hand, cash flow from our operations, proceeds from the completion of the sale of assets utilizing the reverse like-kind 1031 exchange structure, current and future borrowings, and proceeds raised from periodically accessing the private and public equity and debt capital markets. </w:t>
      </w:r>
    </w:p>
    <w:p>
      <w:pPr>
        <w:pStyle w:val="TextBody"/>
        <w:bidi w:val="0"/>
        <w:spacing w:lineRule="auto" w:line="273" w:before="0" w:after="0"/>
        <w:ind w:left="0" w:right="0" w:firstLine="360"/>
        <w:jc w:val="both"/>
        <w:rPr/>
      </w:pPr>
      <w:r>
        <w:rPr/>
        <w:t>​</w:t>
      </w:r>
    </w:p>
    <w:p>
      <w:pPr>
        <w:pStyle w:val="TextBody"/>
        <w:bidi w:val="0"/>
        <w:spacing w:lineRule="auto" w:line="273" w:before="0" w:after="0"/>
        <w:ind w:left="0" w:right="0" w:firstLine="360"/>
        <w:jc w:val="both"/>
        <w:rPr>
          <w:rFonts w:ascii="Times New Roman;Times;serif" w:hAnsi="Times New Roman;Times;serif"/>
          <w:sz w:val="20"/>
        </w:rPr>
      </w:pPr>
      <w:r>
        <w:rPr>
          <w:rFonts w:ascii="Times New Roman;Times;serif" w:hAnsi="Times New Roman;Times;serif"/>
          <w:sz w:val="20"/>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the capital we raise and available borrowing capacity from our current and future borrowings to increase our portfolio of income-producing properties, providing stabilized cash flows with strong risk-adjusted returns primarily in larger metropolitan areas and growth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120" w:after="4"/>
        <w:ind w:left="0" w:right="0" w:firstLine="360"/>
        <w:jc w:val="both"/>
        <w:rPr>
          <w:rFonts w:ascii="Times New Roman;Times;serif" w:hAnsi="Times New Roman;Times;serif"/>
          <w:sz w:val="20"/>
        </w:rPr>
      </w:pPr>
      <w:r>
        <w:rPr>
          <w:rFonts w:ascii="Times New Roman;Times;serif" w:hAnsi="Times New Roman;Times;serif"/>
          <w:sz w:val="20"/>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pStyle w:val="TextBody"/>
        <w:bidi w:val="0"/>
        <w:spacing w:before="4" w:after="4"/>
        <w:ind w:left="0" w:right="0" w:firstLine="36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FFO and AFFO do not represent cash generated from operating activities and are not necessarily indicative of cash available to fund cash requirements; accordingly, they should not be considered alternatives to net income or loss as a performance measure or cash flows from operations as reported on our statement of cash flows as a liquidity measure and should be considered in addition to, and not in lieu of, GAAP financial measures.</w:t>
      </w:r>
    </w:p>
    <w:p>
      <w:pPr>
        <w:pStyle w:val="TextBody"/>
        <w:bidi w:val="0"/>
        <w:spacing w:before="4" w:after="4"/>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The Company also excludes the gains or losses from sales of assets incidental to the primary business of the REIT which specifically include the sales of investment securities, if any, in addition to the mark-to-market of the Company’s investment securities. To derive AFFO, we further modify the NAREIT computation of FFO to include other adjustments to GAAP net income or loss related to non-cash revenues and expenses such as loss on extinguishment of debt, amortization of above- and below-market lease related intangibles, straight-line rental revenue, amortization of deferred financing costs, non-cash compensation, and other non-cash adjustments to income or expense. Such items may cause short-term fluctuations in net income or loss but have no impact on operating cash flows or long-term operating performance. We use AFFO as one measure of our performance when we formulate corporate goals.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val="false"/>
          <w:sz w:val="20"/>
        </w:rPr>
      </w:pPr>
      <w:r>
        <w:rPr>
          <w:rFonts w:ascii="Times New Roman;Times;serif" w:hAnsi="Times New Roman;Times;serif"/>
          <w:b w:val="false"/>
          <w:sz w:val="20"/>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Reconciliation of Non-GAAP Measures (in thousands, except share data): </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586"/>
        <w:gridCol w:w="109"/>
        <w:gridCol w:w="258"/>
        <w:gridCol w:w="1275"/>
        <w:gridCol w:w="109"/>
        <w:gridCol w:w="258"/>
        <w:gridCol w:w="1275"/>
        <w:gridCol w:w="109"/>
        <w:gridCol w:w="258"/>
        <w:gridCol w:w="1275"/>
        <w:gridCol w:w="109"/>
        <w:gridCol w:w="256"/>
        <w:gridCol w:w="1328"/>
      </w:tblGrid>
      <w:tr>
        <w:trPr/>
        <w:tc>
          <w:tcPr>
            <w:tcW w:w="3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9215" cy="175260"/>
                      <wp:effectExtent l="0" t="0" r="0" b="0"/>
                      <wp:wrapNone/>
                      <wp:docPr id="432" name="Frame4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63830" cy="175260"/>
                      <wp:effectExtent l="0" t="0" r="0" b="0"/>
                      <wp:wrapNone/>
                      <wp:docPr id="433" name="Frame43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809625" cy="175260"/>
                      <wp:effectExtent l="0" t="0" r="0" b="0"/>
                      <wp:wrapNone/>
                      <wp:docPr id="434" name="Frame434"/>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9215" cy="175260"/>
                      <wp:effectExtent l="0" t="0" r="0" b="0"/>
                      <wp:wrapNone/>
                      <wp:docPr id="435" name="Frame4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63830" cy="175260"/>
                      <wp:effectExtent l="0" t="0" r="0" b="0"/>
                      <wp:wrapNone/>
                      <wp:docPr id="436" name="Frame436"/>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809625" cy="175260"/>
                      <wp:effectExtent l="0" t="0" r="0" b="0"/>
                      <wp:wrapNone/>
                      <wp:docPr id="437" name="Frame437"/>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9215" cy="175260"/>
                      <wp:effectExtent l="0" t="0" r="0" b="0"/>
                      <wp:wrapNone/>
                      <wp:docPr id="438" name="Frame4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63830" cy="175260"/>
                      <wp:effectExtent l="0" t="0" r="0" b="0"/>
                      <wp:wrapNone/>
                      <wp:docPr id="439" name="Frame43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809625" cy="175260"/>
                      <wp:effectExtent l="0" t="0" r="0" b="0"/>
                      <wp:wrapNone/>
                      <wp:docPr id="440" name="Frame440"/>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9215" cy="175260"/>
                      <wp:effectExtent l="0" t="0" r="0" b="0"/>
                      <wp:wrapNone/>
                      <wp:docPr id="441" name="Frame4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62560" cy="175260"/>
                      <wp:effectExtent l="0" t="0" r="0" b="0"/>
                      <wp:wrapNone/>
                      <wp:docPr id="442" name="Frame442"/>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843280" cy="175260"/>
                      <wp:effectExtent l="0" t="0" r="0" b="0"/>
                      <wp:wrapNone/>
                      <wp:docPr id="443" name="Frame443"/>
                      <a:graphic xmlns:a="http://schemas.openxmlformats.org/drawingml/2006/main">
                        <a:graphicData uri="http://schemas.microsoft.com/office/word/2010/wordprocessingShape">
                          <wps:wsp>
                            <wps:cNvSpPr txBox="1"/>
                            <wps:spPr>
                              <a:xfrm>
                                <a:off x="0" y="0"/>
                                <a:ext cx="843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1"/>
              <w:ind w:left="0" w:right="0" w:hanging="0"/>
              <w:jc w:val="left"/>
              <w:rPr/>
            </w:pPr>
            <w:r>
              <w:rPr/>
              <w:t>​</w:t>
            </w:r>
          </w:p>
        </w:tc>
        <w:tc>
          <w:tcPr>
            <w:tcW w:w="32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5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5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1"/>
              <w:ind w:left="0" w:right="0" w:hanging="0"/>
              <w:jc w:val="center"/>
              <w:rPr/>
            </w:pPr>
            <w:r>
              <w:rPr/>
              <w:t>​</w:t>
            </w:r>
          </w:p>
        </w:tc>
        <w:tc>
          <w:tcPr>
            <w:tcW w:w="15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1"/>
              <w:ind w:left="0" w:right="0" w:hanging="0"/>
              <w:jc w:val="left"/>
              <w:rPr/>
            </w:pPr>
            <w:r>
              <w:rPr/>
              <w:t>​</w:t>
            </w:r>
          </w:p>
        </w:tc>
        <w:tc>
          <w:tcPr>
            <w:tcW w:w="15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1"/>
              <w:ind w:left="0" w:right="0" w:hanging="0"/>
              <w:jc w:val="center"/>
              <w:rPr/>
            </w:pPr>
            <w:r>
              <w:rPr/>
              <w:t>​</w:t>
            </w:r>
          </w:p>
        </w:tc>
        <w:tc>
          <w:tcPr>
            <w:tcW w:w="15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5,012</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(1,423)</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11,861</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(4,483)</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6,881</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6,597</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20,901</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20,609</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1,915</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3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6,749</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(Gain) on Disposition of Assets</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Investment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Funds From Operations</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11,601</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7,135</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33,258</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20,832</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(3,554)</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Funds From Operations Attributable to Common Stockholders</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10,356</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7,135</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29,704</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20,832</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328" w:type="dxa"/>
            <w:tcBorders/>
            <w:shd w:fill="CCEEFF" w:val="clear"/>
            <w:vAlign w:val="center"/>
          </w:tcPr>
          <w:p>
            <w:pPr>
              <w:pStyle w:val="TableContents"/>
              <w:bidi w:val="0"/>
              <w:spacing w:before="0" w:after="1"/>
              <w:ind w:left="0" w:right="0" w:hanging="0"/>
              <w:jc w:val="righ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 and Liabilities to Lease Income</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w:t>
            </w:r>
          </w:p>
        </w:tc>
        <w:tc>
          <w:tcPr>
            <w:tcW w:w="109"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right"/>
              <w:rPr/>
            </w:pPr>
            <w:r>
              <w:rPr/>
              <w:t>​</w:t>
            </w:r>
          </w:p>
        </w:tc>
        <w:tc>
          <w:tcPr>
            <w:tcW w:w="1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109"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right"/>
              <w:rPr/>
            </w:pPr>
            <w:r>
              <w:rPr/>
              <w:t>​</w:t>
            </w:r>
          </w:p>
        </w:tc>
        <w:tc>
          <w:tcPr>
            <w:tcW w:w="13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109"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right"/>
              <w:rPr/>
            </w:pPr>
            <w:r>
              <w:rPr/>
              <w:t>​</w:t>
            </w:r>
          </w:p>
        </w:tc>
        <w:tc>
          <w:tcPr>
            <w:tcW w:w="1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871</w:t>
            </w:r>
          </w:p>
        </w:tc>
        <w:tc>
          <w:tcPr>
            <w:tcW w:w="109"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right"/>
              <w:rPr/>
            </w:pPr>
            <w:r>
              <w:rPr/>
              <w:t>​</w:t>
            </w:r>
          </w:p>
        </w:tc>
        <w:tc>
          <w:tcPr>
            <w:tcW w:w="13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Non-Cash Adjustments</w:t>
            </w:r>
          </w:p>
        </w:tc>
        <w:tc>
          <w:tcPr>
            <w:tcW w:w="109"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109"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109"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109"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Funds From Operations Attributable to Common Stockholders</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10,423</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7,128</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29,886</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20,909</w:t>
            </w:r>
          </w:p>
        </w:tc>
      </w:tr>
      <w:tr>
        <w:trPr/>
        <w:tc>
          <w:tcPr>
            <w:tcW w:w="3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328" w:type="dxa"/>
            <w:tcBorders/>
            <w:vAlign w:val="center"/>
          </w:tcPr>
          <w:p>
            <w:pPr>
              <w:pStyle w:val="TableContents"/>
              <w:bidi w:val="0"/>
              <w:spacing w:before="0" w:after="1"/>
              <w:ind w:left="0" w:right="0" w:hanging="0"/>
              <w:jc w:val="left"/>
              <w:rPr/>
            </w:pPr>
            <w:r>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328" w:type="dxa"/>
            <w:tcBorders/>
            <w:shd w:fill="CCEEFF" w:val="clear"/>
            <w:vAlign w:val="center"/>
          </w:tcPr>
          <w:p>
            <w:pPr>
              <w:pStyle w:val="TableContents"/>
              <w:bidi w:val="0"/>
              <w:spacing w:before="0" w:after="1"/>
              <w:ind w:left="0" w:right="0" w:hanging="0"/>
              <w:jc w:val="righ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17,694,160</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14,158,190</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16,776,481</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14,328,245</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18,918,014</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15,382,044</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12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18,000,335</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3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15,552,099</w:t>
            </w:r>
          </w:p>
        </w:tc>
      </w:tr>
      <w:tr>
        <w:trPr/>
        <w:tc>
          <w:tcPr>
            <w:tcW w:w="3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12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328" w:type="dxa"/>
            <w:tcBorders/>
            <w:vAlign w:val="center"/>
          </w:tcPr>
          <w:p>
            <w:pPr>
              <w:pStyle w:val="TableContents"/>
              <w:bidi w:val="0"/>
              <w:spacing w:before="0" w:after="1"/>
              <w:ind w:left="0" w:right="0" w:hanging="0"/>
              <w:jc w:val="left"/>
              <w:rPr/>
            </w:pPr>
            <w:r>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Supplemental Disclosure: </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right"/>
              <w:rPr/>
            </w:pPr>
            <w:r>
              <w:rPr/>
              <w:t>​</w:t>
            </w:r>
          </w:p>
        </w:tc>
        <w:tc>
          <w:tcPr>
            <w:tcW w:w="127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right"/>
              <w:rPr/>
            </w:pPr>
            <w:r>
              <w:rPr/>
              <w:t>​</w:t>
            </w:r>
          </w:p>
        </w:tc>
        <w:tc>
          <w:tcPr>
            <w:tcW w:w="12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right"/>
              <w:rPr/>
            </w:pPr>
            <w:r>
              <w:rPr/>
              <w:t>​</w:t>
            </w:r>
          </w:p>
        </w:tc>
        <w:tc>
          <w:tcPr>
            <w:tcW w:w="127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right"/>
              <w:rPr/>
            </w:pPr>
            <w:r>
              <w:rPr/>
              <w:t>​</w:t>
            </w:r>
          </w:p>
        </w:tc>
        <w:tc>
          <w:tcPr>
            <w:tcW w:w="1328" w:type="dxa"/>
            <w:tcBorders/>
            <w:shd w:fill="CCEEFF" w:val="clear"/>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PIK Interest Earned</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2,373</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1"/>
              <w:ind w:left="0" w:right="0" w:hanging="0"/>
              <w:jc w:val="right"/>
              <w:rPr/>
            </w:pPr>
            <w:r>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PIK Interest Paid</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PIK Interest Earned in Excess of Cash Paid</w:t>
            </w:r>
          </w:p>
        </w:tc>
        <w:tc>
          <w:tcPr>
            <w:tcW w:w="109"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w:t>
            </w:r>
          </w:p>
        </w:tc>
        <w:tc>
          <w:tcPr>
            <w:tcW w:w="109"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2,323</w:t>
            </w:r>
          </w:p>
        </w:tc>
        <w:tc>
          <w:tcPr>
            <w:tcW w:w="109" w:type="dxa"/>
            <w:tcBorders/>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bottom w:val="double" w:sz="6" w:space="0" w:color="000000"/>
            </w:tcBorders>
            <w:tcMar>
              <w:bottom w:w="28" w:type="dxa"/>
            </w:tcMar>
            <w:vAlign w:val="center"/>
          </w:tcPr>
          <w:p>
            <w:pPr>
              <w:pStyle w:val="TableContents"/>
              <w:bidi w:val="0"/>
              <w:spacing w:before="0" w:after="1"/>
              <w:ind w:left="0" w:right="72" w:hanging="0"/>
              <w:jc w:val="right"/>
              <w:rPr/>
            </w:pPr>
            <w:r>
              <w:rPr/>
              <w:t>—</w:t>
            </w:r>
          </w:p>
        </w:tc>
      </w:tr>
    </w:tbl>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Other Data (in thousands, except per share data):</w:t>
      </w:r>
    </w:p>
    <w:tbl>
      <w:tblPr>
        <w:tblW w:w="10205" w:type="dxa"/>
        <w:jc w:val="left"/>
        <w:tblInd w:w="0" w:type="dxa"/>
        <w:tblLayout w:type="fixed"/>
        <w:tblCellMar>
          <w:top w:w="0" w:type="dxa"/>
          <w:left w:w="0" w:type="dxa"/>
          <w:bottom w:w="0" w:type="dxa"/>
          <w:right w:w="0" w:type="dxa"/>
        </w:tblCellMar>
      </w:tblPr>
      <w:tblGrid>
        <w:gridCol w:w="3450"/>
        <w:gridCol w:w="109"/>
        <w:gridCol w:w="371"/>
        <w:gridCol w:w="1195"/>
        <w:gridCol w:w="112"/>
        <w:gridCol w:w="422"/>
        <w:gridCol w:w="1144"/>
        <w:gridCol w:w="109"/>
        <w:gridCol w:w="371"/>
        <w:gridCol w:w="1195"/>
        <w:gridCol w:w="109"/>
        <w:gridCol w:w="363"/>
        <w:gridCol w:w="1255"/>
      </w:tblGrid>
      <w:tr>
        <w:trPr/>
        <w:tc>
          <w:tcPr>
            <w:tcW w:w="34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9215" cy="175260"/>
                      <wp:effectExtent l="0" t="0" r="0" b="0"/>
                      <wp:wrapNone/>
                      <wp:docPr id="444" name="Frame4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35585" cy="175260"/>
                      <wp:effectExtent l="0" t="0" r="0" b="0"/>
                      <wp:wrapNone/>
                      <wp:docPr id="445" name="Frame44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758825" cy="175260"/>
                      <wp:effectExtent l="0" t="0" r="0" b="0"/>
                      <wp:wrapNone/>
                      <wp:docPr id="446" name="Frame446"/>
                      <a:graphic xmlns:a="http://schemas.openxmlformats.org/drawingml/2006/main">
                        <a:graphicData uri="http://schemas.microsoft.com/office/word/2010/wordprocessingShape">
                          <wps:wsp>
                            <wps:cNvSpPr txBox="1"/>
                            <wps:spPr>
                              <a:xfrm>
                                <a:off x="0" y="0"/>
                                <a:ext cx="758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71120" cy="175260"/>
                      <wp:effectExtent l="0" t="0" r="0" b="0"/>
                      <wp:wrapNone/>
                      <wp:docPr id="447" name="Frame447"/>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67970" cy="175260"/>
                      <wp:effectExtent l="0" t="0" r="0" b="0"/>
                      <wp:wrapNone/>
                      <wp:docPr id="448" name="Frame448"/>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726440" cy="175260"/>
                      <wp:effectExtent l="0" t="0" r="0" b="0"/>
                      <wp:wrapNone/>
                      <wp:docPr id="449" name="Frame449"/>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9215" cy="175260"/>
                      <wp:effectExtent l="0" t="0" r="0" b="0"/>
                      <wp:wrapNone/>
                      <wp:docPr id="450" name="Frame4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35585" cy="175260"/>
                      <wp:effectExtent l="0" t="0" r="0" b="0"/>
                      <wp:wrapNone/>
                      <wp:docPr id="451" name="Frame45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758825" cy="175260"/>
                      <wp:effectExtent l="0" t="0" r="0" b="0"/>
                      <wp:wrapNone/>
                      <wp:docPr id="452" name="Frame452"/>
                      <a:graphic xmlns:a="http://schemas.openxmlformats.org/drawingml/2006/main">
                        <a:graphicData uri="http://schemas.microsoft.com/office/word/2010/wordprocessingShape">
                          <wps:wsp>
                            <wps:cNvSpPr txBox="1"/>
                            <wps:spPr>
                              <a:xfrm>
                                <a:off x="0" y="0"/>
                                <a:ext cx="758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9215" cy="175260"/>
                      <wp:effectExtent l="0" t="0" r="0" b="0"/>
                      <wp:wrapNone/>
                      <wp:docPr id="453" name="Frame4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30505" cy="175260"/>
                      <wp:effectExtent l="0" t="0" r="0" b="0"/>
                      <wp:wrapNone/>
                      <wp:docPr id="454" name="Frame454"/>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796925" cy="175260"/>
                      <wp:effectExtent l="0" t="0" r="0" b="0"/>
                      <wp:wrapNone/>
                      <wp:docPr id="455" name="Frame455"/>
                      <a:graphic xmlns:a="http://schemas.openxmlformats.org/drawingml/2006/main">
                        <a:graphicData uri="http://schemas.microsoft.com/office/word/2010/wordprocessingShape">
                          <wps:wsp>
                            <wps:cNvSpPr txBox="1"/>
                            <wps:spPr>
                              <a:xfrm>
                                <a:off x="0" y="0"/>
                                <a:ext cx="796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2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center"/>
              <w:rPr/>
            </w:pPr>
            <w:r>
              <w:rPr/>
              <w:t>​</w:t>
            </w:r>
          </w:p>
        </w:tc>
        <w:tc>
          <w:tcPr>
            <w:tcW w:w="32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45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12" w:type="dxa"/>
            <w:tcBorders/>
            <w:vAlign w:val="center"/>
          </w:tcPr>
          <w:p>
            <w:pPr>
              <w:pStyle w:val="TableContents"/>
              <w:bidi w:val="0"/>
              <w:spacing w:before="0" w:after="0"/>
              <w:ind w:left="0" w:right="0" w:hanging="0"/>
              <w:jc w:val="center"/>
              <w:rPr/>
            </w:pPr>
            <w:r>
              <w:rPr/>
              <w:t>​</w:t>
            </w:r>
          </w:p>
        </w:tc>
        <w:tc>
          <w:tcPr>
            <w:tcW w:w="15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center"/>
              <w:rPr/>
            </w:pPr>
            <w:r>
              <w:rPr/>
              <w:t>​</w:t>
            </w:r>
          </w:p>
        </w:tc>
        <w:tc>
          <w:tcPr>
            <w:tcW w:w="15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c>
          <w:tcPr>
            <w:tcW w:w="109" w:type="dxa"/>
            <w:tcBorders/>
            <w:vAlign w:val="center"/>
          </w:tcPr>
          <w:p>
            <w:pPr>
              <w:pStyle w:val="TableContents"/>
              <w:bidi w:val="0"/>
              <w:spacing w:before="0" w:after="0"/>
              <w:ind w:left="0" w:right="0" w:hanging="0"/>
              <w:jc w:val="center"/>
              <w:rPr/>
            </w:pPr>
            <w:r>
              <w:rPr/>
              <w:t>​</w:t>
            </w:r>
          </w:p>
        </w:tc>
        <w:tc>
          <w:tcPr>
            <w:tcW w:w="16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r>
      <w:tr>
        <w:trPr/>
        <w:tc>
          <w:tcPr>
            <w:tcW w:w="3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10,356</w:t>
            </w:r>
          </w:p>
        </w:tc>
        <w:tc>
          <w:tcPr>
            <w:tcW w:w="112"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7,135</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29,704</w:t>
            </w:r>
          </w:p>
        </w:tc>
        <w:tc>
          <w:tcPr>
            <w:tcW w:w="109"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20,832</w:t>
            </w:r>
          </w:p>
        </w:tc>
      </w:tr>
      <w:tr>
        <w:trPr/>
        <w:tc>
          <w:tcPr>
            <w:tcW w:w="3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Attributable to Common Stockholders per Diluted Share</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112"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0.46</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109"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345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195" w:type="dxa"/>
            <w:tcBorders/>
            <w:shd w:fill="CCEEFF" w:val="cle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1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1255" w:type="dxa"/>
            <w:tcBorders/>
            <w:shd w:fill="CCEEFF" w:val="clear"/>
            <w:vAlign w:val="center"/>
          </w:tcPr>
          <w:p>
            <w:pPr>
              <w:pStyle w:val="TableContents"/>
              <w:bidi w:val="0"/>
              <w:spacing w:before="0" w:after="0"/>
              <w:ind w:left="0" w:right="0" w:hanging="0"/>
              <w:jc w:val="right"/>
              <w:rPr/>
            </w:pPr>
            <w:r>
              <w:rPr/>
              <w:t>​</w:t>
            </w:r>
          </w:p>
        </w:tc>
      </w:tr>
      <w:tr>
        <w:trPr/>
        <w:tc>
          <w:tcPr>
            <w:tcW w:w="3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10,423</w:t>
            </w:r>
          </w:p>
        </w:tc>
        <w:tc>
          <w:tcPr>
            <w:tcW w:w="112"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7,128</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29,886</w:t>
            </w:r>
          </w:p>
        </w:tc>
        <w:tc>
          <w:tcPr>
            <w:tcW w:w="109"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20,909</w:t>
            </w:r>
          </w:p>
        </w:tc>
      </w:tr>
      <w:tr>
        <w:trPr/>
        <w:tc>
          <w:tcPr>
            <w:tcW w:w="3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Attributable to Common Stockholders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112"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0.46</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109"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5"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1.34</w:t>
            </w:r>
          </w:p>
        </w:tc>
      </w:tr>
    </w:tbl>
    <w:p>
      <w:pPr>
        <w:pStyle w:val="TextBody"/>
        <w:bidi w:val="0"/>
        <w:spacing w:before="4" w:after="4"/>
        <w:ind w:left="0" w:right="0" w:firstLine="360"/>
        <w:jc w:val="center"/>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Purchase Accounting for Acquisitions of Real Estate Subject to a Lease</w:t>
      </w:r>
      <w:r>
        <w:rPr>
          <w:rFonts w:ascii="Times New Roman;Times;serif" w:hAnsi="Times New Roman;Times;serif"/>
          <w:sz w:val="20"/>
        </w:rPr>
        <w:t xml:space="preserve">. As required by GAAP,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w:t>
      </w:r>
      <w:r>
        <w:rPr>
          <w:rFonts w:ascii="Times New Roman;Times;serif" w:hAnsi="Times New Roman;Times;serif"/>
          <w:sz w:val="20"/>
          <w:shd w:fill="FFFFFF" w:val="clear"/>
        </w:rPr>
        <w:t xml:space="preserve">The acquisitions of real estate subject to this estimate totaled five properties for a combined purchase price of $60.0 million, </w:t>
      </w:r>
      <w:r>
        <w:rPr>
          <w:rFonts w:ascii="Times New Roman;Times;serif" w:hAnsi="Times New Roman;Times;serif"/>
          <w:sz w:val="20"/>
        </w:rPr>
        <w:t>including capitalized acquisition costs,</w:t>
      </w:r>
      <w:r>
        <w:rPr>
          <w:rFonts w:ascii="Times New Roman;Times;serif" w:hAnsi="Times New Roman;Times;serif"/>
          <w:sz w:val="20"/>
          <w:shd w:fill="FFFFFF" w:val="clear"/>
        </w:rPr>
        <w:t xml:space="preserve"> for the nine months ended September 30,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Note 2, “Summary of Significant Accounting Policies”, for further discussion of the Company’s accounting estimates and policies.</w:t>
      </w:r>
    </w:p>
    <w:p>
      <w:pPr>
        <w:pStyle w:val="TextBody"/>
        <w:bidi w:val="0"/>
        <w:spacing w:before="0" w:after="0"/>
        <w:ind w:left="0" w:right="0" w:firstLine="360"/>
        <w:jc w:val="both"/>
        <w:rPr/>
      </w:pPr>
      <w:r>
        <w:rPr/>
        <w:t>​</w:t>
      </w:r>
    </w:p>
    <w:p>
      <w:pPr>
        <w:pStyle w:val="TextBody"/>
        <w:bidi w:val="0"/>
        <w:spacing w:before="0" w:after="200"/>
        <w:ind w:left="0" w:right="0" w:hanging="0"/>
        <w:jc w:val="left"/>
        <w:rPr>
          <w:rFonts w:ascii="Times New Roman;Times;serif" w:hAnsi="Times New Roman;Times;serif"/>
          <w:b/>
          <w:sz w:val="20"/>
        </w:rPr>
      </w:pPr>
      <w:bookmarkStart w:id="1733" w:name="ITEM3QUANTITATIVEANDQUALITATIVEDISC"/>
      <w:bookmarkStart w:id="1734" w:name="INC_PROP_ACQUIRED"/>
      <w:bookmarkStart w:id="1735" w:name="_81174206_cfde_4aab_b05d_fbe0de295250"/>
      <w:bookmarkEnd w:id="1733"/>
      <w:bookmarkEnd w:id="1734"/>
      <w:bookmarkEnd w:id="1735"/>
      <w:r>
        <w:rPr>
          <w:rFonts w:ascii="Times New Roman;Times;serif" w:hAnsi="Times New Roman;Times;serif"/>
          <w:b/>
          <w:sz w:val="20"/>
        </w:rPr>
        <w:t xml:space="preserve">ITEM 3. QUANTITATIVE AND QUALITATIVE DISCLOSURES ABOUT MARKET RISK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 smaller reporting company as defined in Item 10(f)(1) of Regulation S-K. As a result, pursuant to Item 305(e) of Regulation S-K, we are not required to provide the information required by this Item.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36" w:name="ITEM4CONTROLSANDPROCEDURES_93254"/>
      <w:bookmarkStart w:id="1737" w:name="_a1ad733d_c5b3_4b32_962d_2177ba8a63bd"/>
      <w:bookmarkEnd w:id="1736"/>
      <w:bookmarkEnd w:id="1737"/>
      <w:r>
        <w:rPr>
          <w:rFonts w:ascii="Times New Roman;Times;serif" w:hAnsi="Times New Roman;Times;serif"/>
          <w:b/>
          <w:sz w:val="20"/>
        </w:rPr>
        <w:t>ITEM 4. CONTROLS AND PROCEDURES</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 xml:space="preserve">As of the end of the period covered by this report, an evaluation, as required by Rules 13(a)-15 and 15(d)-15 of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September 30, 2026, that have materially affected, or are reasonably likely to materially affect, the Company’s internal control over financial reporting. </w:t>
      </w:r>
    </w:p>
    <w:p>
      <w:pPr>
        <w:pStyle w:val="TextBody"/>
        <w:bidi w:val="0"/>
        <w:spacing w:before="0" w:after="0"/>
        <w:ind w:left="0" w:right="0" w:firstLine="360"/>
        <w:jc w:val="both"/>
        <w:rPr/>
      </w:pPr>
      <w:r>
        <w:rPr/>
        <w:t>​</w:t>
      </w:r>
    </w:p>
    <w:p>
      <w:pPr>
        <w:pStyle w:val="TextBody"/>
        <w:bidi w:val="0"/>
        <w:spacing w:before="0" w:after="200"/>
        <w:ind w:left="0" w:right="0" w:hanging="0"/>
        <w:jc w:val="left"/>
        <w:rPr>
          <w:rFonts w:ascii="Times New Roman;Times;serif" w:hAnsi="Times New Roman;Times;serif"/>
          <w:b/>
          <w:sz w:val="20"/>
        </w:rPr>
      </w:pPr>
      <w:bookmarkStart w:id="1738" w:name="PARTIIOTHERINFORMATION_482394"/>
      <w:bookmarkStart w:id="1739" w:name="_220086a4_8411_41a2_b8d1_e0b9b04b0431"/>
      <w:bookmarkEnd w:id="1738"/>
      <w:bookmarkEnd w:id="1739"/>
      <w:r>
        <w:rPr>
          <w:rFonts w:ascii="Times New Roman;Times;serif" w:hAnsi="Times New Roman;Times;serif"/>
          <w:b/>
          <w:sz w:val="20"/>
        </w:rPr>
        <w:t>PART II—OTHER INFORMATION</w:t>
      </w:r>
    </w:p>
    <w:p>
      <w:pPr>
        <w:pStyle w:val="TextBody"/>
        <w:bidi w:val="0"/>
        <w:spacing w:before="0" w:after="200"/>
        <w:ind w:left="0" w:right="0" w:hanging="0"/>
        <w:jc w:val="left"/>
        <w:rPr>
          <w:rFonts w:ascii="Times New Roman;Times;serif" w:hAnsi="Times New Roman;Times;serif"/>
          <w:b/>
          <w:sz w:val="20"/>
        </w:rPr>
      </w:pPr>
      <w:bookmarkStart w:id="1740" w:name="ITEM1LEGALPROCEEDINGS_782791"/>
      <w:bookmarkEnd w:id="1740"/>
      <w:r>
        <w:rPr>
          <w:rFonts w:ascii="Times New Roman;Times;serif" w:hAnsi="Times New Roman;Times;serif"/>
          <w:b/>
          <w:sz w:val="20"/>
        </w:rPr>
        <w:t>ITEM 1. LEGAL PROCEEDINGS</w:t>
      </w:r>
    </w:p>
    <w:p>
      <w:pPr>
        <w:pStyle w:val="TextBody"/>
        <w:bidi w:val="0"/>
        <w:spacing w:lineRule="auto" w:line="268" w:before="4" w:after="4"/>
        <w:ind w:left="0" w:right="0" w:firstLine="36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pStyle w:val="TextBody"/>
        <w:bidi w:val="0"/>
        <w:spacing w:lineRule="auto" w:line="268" w:before="4" w:after="4"/>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741" w:name="ITEM1ARISKFACTORS_792917"/>
      <w:bookmarkStart w:id="1742" w:name="_845b37c3_f2ec_4b56_9276_d653ce083778"/>
      <w:bookmarkEnd w:id="1741"/>
      <w:bookmarkEnd w:id="1742"/>
      <w:r>
        <w:rPr>
          <w:rFonts w:ascii="Times New Roman;Times;serif" w:hAnsi="Times New Roman;Times;serif"/>
          <w:b/>
          <w:sz w:val="20"/>
        </w:rPr>
        <w:t>ITEM 1A. RISK FACTORS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September 30, 2026, there have been no material changes in our risk factors from those set forth under the heading Part I, “Item 1A. Risk Factors” in the Company’s Annual Report on Form 10-K for the year ended December 31, 2025 (the “Form 10-K”). The risks described in the Form 10-K are not the only risks facing the Company. Additional risks and uncertainties not currently known to the Company or that the Company currently deems to be immaterial also may materially adversely affect the Company.</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bookmarkStart w:id="1743" w:name="ITEM2UNREGISTEREDSALESOFEQUITYSECURITIES"/>
      <w:bookmarkStart w:id="1744" w:name="_e1cd3b4a_449c_416d_be23_d5c2be8c0a9b"/>
      <w:bookmarkEnd w:id="1743"/>
      <w:bookmarkEnd w:id="1744"/>
      <w:r>
        <w:rPr>
          <w:rFonts w:ascii="Times New Roman;Times;serif" w:hAnsi="Times New Roman;Times;serif"/>
          <w:b/>
          <w:sz w:val="20"/>
        </w:rPr>
        <w:t>ITEM 2. UNREGISTERED SALES OF EQUITY SECURITIES AND USE OF PROCEEDS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745" w:name="ITEM3DEFAULTSUPONSENIORSECURITIES_376496"/>
      <w:bookmarkStart w:id="1746" w:name="_59de228a_f6ae_4ddd_a6fe_c5fcb80b03aa"/>
      <w:bookmarkStart w:id="1747" w:name="_ITEM_3._DEFAULTS"/>
      <w:bookmarkEnd w:id="1745"/>
      <w:bookmarkEnd w:id="1746"/>
      <w:bookmarkEnd w:id="1747"/>
      <w:r>
        <w:rPr>
          <w:rFonts w:ascii="Times New Roman;Times;serif" w:hAnsi="Times New Roman;Times;serif"/>
          <w:b/>
          <w:sz w:val="20"/>
        </w:rPr>
        <w:t>ITEM 3. DEFAULTS UPON SENIOR SECURITIES</w:t>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120" w:after="240"/>
        <w:ind w:left="0" w:right="0" w:hanging="0"/>
        <w:jc w:val="left"/>
        <w:rPr>
          <w:rFonts w:ascii="Times New Roman;Times;serif" w:hAnsi="Times New Roman;Times;serif"/>
          <w:b/>
          <w:sz w:val="20"/>
        </w:rPr>
      </w:pPr>
      <w:bookmarkStart w:id="1748" w:name="ITEM4MINESAFETYDISCLOSURES_109581"/>
      <w:bookmarkStart w:id="1749" w:name="_2c542bc8_4c06_429f_9707_4bfc93bfa1e7"/>
      <w:bookmarkEnd w:id="1748"/>
      <w:bookmarkEnd w:id="1749"/>
      <w:r>
        <w:rPr>
          <w:rFonts w:ascii="Times New Roman;Times;serif" w:hAnsi="Times New Roman;Times;serif"/>
          <w:b/>
          <w:sz w:val="20"/>
        </w:rPr>
        <w:t>ITEM 4. MINE SAFETY DISCLOSURES</w:t>
      </w:r>
    </w:p>
    <w:p>
      <w:pPr>
        <w:pStyle w:val="TextBody"/>
        <w:bidi w:val="0"/>
        <w:spacing w:before="12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120" w:after="240"/>
        <w:ind w:left="0" w:right="0" w:hanging="0"/>
        <w:jc w:val="left"/>
        <w:rPr>
          <w:rFonts w:ascii="Times New Roman;Times;serif" w:hAnsi="Times New Roman;Times;serif"/>
          <w:b/>
          <w:sz w:val="20"/>
        </w:rPr>
      </w:pPr>
      <w:bookmarkStart w:id="1750" w:name="ITEM5OTHERINFORMATION_915711"/>
      <w:bookmarkStart w:id="1751" w:name="_c83c80e5_4c7d_4312_a9fa_f4bfb12cdc0c"/>
      <w:bookmarkEnd w:id="1750"/>
      <w:bookmarkEnd w:id="1751"/>
      <w:r>
        <w:rPr>
          <w:rFonts w:ascii="Times New Roman;Times;serif" w:hAnsi="Times New Roman;Times;serif"/>
          <w:b/>
          <w:sz w:val="20"/>
        </w:rPr>
        <w:t>ITEM 5. OTHER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
        <w:ind w:left="0" w:right="0" w:hanging="0"/>
        <w:jc w:val="left"/>
        <w:rPr>
          <w:rFonts w:ascii="Times New Roman;Times;serif" w:hAnsi="Times New Roman;Times;serif"/>
          <w:b/>
          <w:sz w:val="20"/>
        </w:rPr>
      </w:pPr>
      <w:bookmarkStart w:id="1752" w:name="ITEM6EXHIBITS_110802"/>
      <w:bookmarkStart w:id="1753" w:name="_7e5e8e70_dfa1_4d4b_bfa7_0d149c4b4437"/>
      <w:bookmarkEnd w:id="1752"/>
      <w:bookmarkEnd w:id="1753"/>
      <w:r>
        <w:rPr>
          <w:rFonts w:ascii="Times New Roman;Times;serif" w:hAnsi="Times New Roman;Times;serif"/>
          <w:b/>
          <w:sz w:val="20"/>
        </w:rPr>
        <w:t>ITEM 6. EXHIBITS</w:t>
      </w:r>
    </w:p>
    <w:p>
      <w:pPr>
        <w:pStyle w:val="TextBody"/>
        <w:bidi w:val="0"/>
        <w:spacing w:before="0" w:after="240"/>
        <w:ind w:left="0" w:right="0" w:hanging="0"/>
        <w:jc w:val="left"/>
        <w:rPr/>
      </w:pPr>
      <w:r>
        <w:rPr/>
        <w:t>​</w:t>
      </w:r>
    </w:p>
    <w:tbl>
      <w:tblPr>
        <w:tblW w:w="1232" w:type="dxa"/>
        <w:jc w:val="left"/>
        <w:tblInd w:w="0" w:type="dxa"/>
        <w:tblLayout w:type="fixed"/>
        <w:tblCellMar>
          <w:top w:w="0" w:type="dxa"/>
          <w:left w:w="0" w:type="dxa"/>
          <w:bottom w:w="0" w:type="dxa"/>
          <w:right w:w="0" w:type="dxa"/>
        </w:tblCellMar>
      </w:tblPr>
      <w:tblGrid>
        <w:gridCol w:w="331"/>
        <w:gridCol w:w="90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tbl>
      <w:tblPr>
        <w:tblW w:w="10205" w:type="dxa"/>
        <w:jc w:val="left"/>
        <w:tblInd w:w="0" w:type="dxa"/>
        <w:tblLayout w:type="fixed"/>
        <w:tblCellMar>
          <w:top w:w="0" w:type="dxa"/>
          <w:left w:w="0" w:type="dxa"/>
          <w:bottom w:w="0" w:type="dxa"/>
          <w:right w:w="0" w:type="dxa"/>
        </w:tblCellMar>
      </w:tblPr>
      <w:tblGrid>
        <w:gridCol w:w="1269"/>
        <w:gridCol w:w="109"/>
        <w:gridCol w:w="8827"/>
      </w:tblGrid>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left"/>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2.1</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Purchase and Sale Agreement, dated October 5, 2026 (incorporated by reference to Exhibit 2.1 to the Company’s Current Report on Form 8-K filed on October 9, 2026).</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3.1</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Articles of Amendment and Restatement of Alpine Income Property Trust, Inc. (incorporated by reference to Exhibit 3.1 to the Company’s Current Report on Form 8-K filed on December 3, 2019).</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3.2</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Third Amended and Restated Bylaws of Alpine Income Property Trust, Inc. (incorporated by reference to Exhibit 3.1 to the Company’s Current Report on Form 8-K filed on February 3, 2023).</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3.3</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Articles Supplementary, designating Alpine Income Property Trust, Inc.’s 8.00% Series A Cumulative Redeemable Preferred Stock (incorporated by reference to Exhibit 3.2 to the Company’s Registration Statement on Form 8-A filed on November 10, 2025).</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3.4</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Articles Supplementary, classifying and designating 1,458,334 additional shares of Alpine Income Property Trust, Inc.’s 8.00% Series A Cumulative Redeemable Preferred Stock (incorporated by reference to Exhibit 3.1 to the Company’s Current Report on Form 8-K filed on December 5, 2025).</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4.1</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Specimen Common Stock Certificate of Alpine Income Property Trust, Inc. (incorporated by reference to Exhibit 4.1 to the Registrant’s Registration Statement on Form S-11/A (File No. 333-234304) filed with the Commission on October 29, 2019).</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31.1*</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w:anchor="pine-ex31d1.htm">
              <w:r>
                <w:rPr>
                  <w:rStyle w:val="InternetLink"/>
                  <w:rFonts w:ascii="Times New Roman;Times;serif" w:hAnsi="Times New Roman;Times;serif"/>
                  <w:b w:val="false"/>
                  <w:i w:val="false"/>
                  <w:caps w:val="false"/>
                  <w:smallCaps w:val="false"/>
                  <w:sz w:val="20"/>
                </w:rPr>
                <w:t>Certification filed pursuant to Section 302 of the Sarbanes-Oxley Act of 2002.</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31.2*</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w:anchor="pine-ex31d2.htm">
              <w:r>
                <w:rPr>
                  <w:rStyle w:val="InternetLink"/>
                  <w:rFonts w:ascii="Times New Roman;Times;serif" w:hAnsi="Times New Roman;Times;serif"/>
                  <w:b w:val="false"/>
                  <w:i w:val="false"/>
                  <w:caps w:val="false"/>
                  <w:smallCaps w:val="false"/>
                  <w:sz w:val="20"/>
                </w:rPr>
                <w:t>Certification filed pursuant to Section 302 of the Sarbanes-Oxley Act of 2002.</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32.1**</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w:anchor="pine-ex32d1.htm">
              <w:r>
                <w:rPr>
                  <w:rStyle w:val="InternetLink"/>
                  <w:rFonts w:ascii="Times New Roman;Times;serif" w:hAnsi="Times New Roman;Times;serif"/>
                  <w:b w:val="false"/>
                  <w:i w:val="false"/>
                  <w:caps w:val="false"/>
                  <w:smallCaps w:val="false"/>
                  <w:sz w:val="20"/>
                </w:rPr>
                <w:t>Certification furnished pursuant to 18 U.S.C. Section 1350, as Adopted pursuant to Section 906 of the Sarbanes-Oxley Act of 2002.</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32.2**</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w:anchor="pine-ex32d2.htm">
              <w:r>
                <w:rPr>
                  <w:rStyle w:val="InternetLink"/>
                  <w:rFonts w:ascii="Times New Roman;Times;serif" w:hAnsi="Times New Roman;Times;serif"/>
                  <w:b w:val="false"/>
                  <w:i w:val="false"/>
                  <w:caps w:val="false"/>
                  <w:smallCaps w:val="false"/>
                  <w:sz w:val="20"/>
                </w:rPr>
                <w:t>Certification furnished pursuant to 18 U.S.C. Section 1350, as Adopted pursuant to Section 906 of the Sarbanes-Oxley Act of 2002.</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101.INS</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Inline XBRL Instance Document</w:t>
            </w:r>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101.SCH</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Inline XBRL Taxonomy Extension Schema Document</w:t>
            </w:r>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101.CAL</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Inline XBRL Taxonomy Extension Calculation Linkbase Document</w:t>
            </w:r>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101.DEF</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Inline XBRL Taxonomy Definition Linkbase Document</w:t>
            </w:r>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101.LAB</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Inline XBRL Taxonomy Extension Label Linkbase Document</w:t>
            </w:r>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101.PRE</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Inline XBRL Taxonomy Extension Presentation Linkbase Document</w:t>
            </w:r>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104</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Cover Page Interactive Data File (embedded within the Inline XBRL document)</w:t>
            </w:r>
          </w:p>
        </w:tc>
      </w:tr>
    </w:tbl>
    <w:tbl>
      <w:tblPr>
        <w:tblW w:w="1547" w:type="dxa"/>
        <w:jc w:val="left"/>
        <w:tblInd w:w="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0"/>
              <w:jc w:val="left"/>
              <w:rPr>
                <w:rFonts w:ascii="Times New Roman;Times;serif" w:hAnsi="Times New Roman;Times;serif"/>
                <w:sz w:val="19"/>
              </w:rPr>
            </w:pPr>
            <w:r>
              <w:rPr>
                <w:rFonts w:ascii="Times New Roman;Times;serif" w:hAnsi="Times New Roman;Times;serif"/>
                <w:sz w:val="19"/>
              </w:rPr>
              <w:t>*</w:t>
            </w:r>
          </w:p>
        </w:tc>
        <w:tc>
          <w:tcPr>
            <w:tcW w:w="1321" w:type="dxa"/>
            <w:tcBorders/>
            <w:vAlign w:val="center"/>
          </w:tcPr>
          <w:p>
            <w:pPr>
              <w:pStyle w:val="TableContents"/>
              <w:bidi w:val="0"/>
              <w:spacing w:before="0" w:after="0"/>
              <w:jc w:val="left"/>
              <w:rPr>
                <w:rFonts w:ascii="Times New Roman;Times;serif" w:hAnsi="Times New Roman;Times;serif"/>
                <w:sz w:val="19"/>
              </w:rPr>
            </w:pPr>
            <w:r>
              <w:rPr>
                <w:rFonts w:ascii="Times New Roman;Times;serif" w:hAnsi="Times New Roman;Times;serif"/>
                <w:sz w:val="19"/>
              </w:rPr>
              <w:t>Filed herewith</w:t>
            </w:r>
          </w:p>
        </w:tc>
      </w:tr>
    </w:tbl>
    <w:tbl>
      <w:tblPr>
        <w:tblW w:w="2042" w:type="dxa"/>
        <w:jc w:val="left"/>
        <w:tblInd w:w="0" w:type="dxa"/>
        <w:tblLayout w:type="fixed"/>
        <w:tblCellMar>
          <w:top w:w="0" w:type="dxa"/>
          <w:left w:w="0" w:type="dxa"/>
          <w:bottom w:w="0" w:type="dxa"/>
          <w:right w:w="0" w:type="dxa"/>
        </w:tblCellMar>
      </w:tblPr>
      <w:tblGrid>
        <w:gridCol w:w="331"/>
        <w:gridCol w:w="1711"/>
      </w:tblGrid>
      <w:tr>
        <w:trPr/>
        <w:tc>
          <w:tcPr>
            <w:tcW w:w="331" w:type="dxa"/>
            <w:tcBorders/>
            <w:vAlign w:val="center"/>
          </w:tcPr>
          <w:p>
            <w:pPr>
              <w:pStyle w:val="TableContents"/>
              <w:bidi w:val="0"/>
              <w:spacing w:before="0" w:after="0"/>
              <w:jc w:val="left"/>
              <w:rPr>
                <w:rFonts w:ascii="Times New Roman;Times;serif" w:hAnsi="Times New Roman;Times;serif"/>
                <w:sz w:val="19"/>
              </w:rPr>
            </w:pPr>
            <w:r>
              <w:rPr>
                <w:rFonts w:ascii="Times New Roman;Times;serif" w:hAnsi="Times New Roman;Times;serif"/>
                <w:sz w:val="19"/>
              </w:rPr>
              <w:t>**</w:t>
            </w:r>
          </w:p>
        </w:tc>
        <w:tc>
          <w:tcPr>
            <w:tcW w:w="1711" w:type="dxa"/>
            <w:tcBorders/>
            <w:vAlign w:val="center"/>
          </w:tcPr>
          <w:p>
            <w:pPr>
              <w:pStyle w:val="TableContents"/>
              <w:bidi w:val="0"/>
              <w:spacing w:before="0" w:after="0"/>
              <w:jc w:val="left"/>
              <w:rPr>
                <w:rFonts w:ascii="Times New Roman;Times;serif" w:hAnsi="Times New Roman;Times;serif"/>
                <w:sz w:val="19"/>
              </w:rPr>
            </w:pPr>
            <w:r>
              <w:rPr>
                <w:rFonts w:ascii="Times New Roman;Times;serif" w:hAnsi="Times New Roman;Times;serif"/>
                <w:sz w:val="19"/>
              </w:rPr>
              <w:t>Furnished herewith</w:t>
            </w:r>
          </w:p>
        </w:tc>
      </w:tr>
    </w:tbl>
    <w:p>
      <w:pPr>
        <w:pStyle w:val="TextBody"/>
        <w:pBdr/>
        <w:bidi w:val="0"/>
        <w:spacing w:before="0" w:after="0"/>
        <w:ind w:left="0" w:right="0" w:hanging="288"/>
        <w:jc w:val="left"/>
        <w:rPr/>
      </w:pPr>
      <w:r>
        <w:rPr/>
        <w:t xml:space="preserve">† </w:t>
      </w:r>
      <w:r>
        <w:rPr>
          <w:rFonts w:ascii="Times New Roman;Times;serif" w:hAnsi="Times New Roman;Times;serif"/>
          <w:sz w:val="19"/>
        </w:rPr>
        <w:t>Portions of this exhibit have been redacted in compliance with Regulation S-K Item 601(b)(2). The omitted information is not material and is the type of information that the Company customarily and actually treats as private and confidential.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54" w:name="Signatures_946901"/>
      <w:bookmarkStart w:id="1755" w:name="_8b3ee2de_dbfe_4924_9707_c9c389928bbe"/>
      <w:bookmarkEnd w:id="1754"/>
      <w:bookmarkEnd w:id="1755"/>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5838" w:type="dxa"/>
        <w:jc w:val="left"/>
        <w:tblInd w:w="0" w:type="dxa"/>
        <w:tblLayout w:type="fixed"/>
        <w:tblCellMar>
          <w:top w:w="0" w:type="dxa"/>
          <w:left w:w="0" w:type="dxa"/>
          <w:bottom w:w="0" w:type="dxa"/>
          <w:right w:w="0" w:type="dxa"/>
        </w:tblCellMar>
      </w:tblPr>
      <w:tblGrid>
        <w:gridCol w:w="1531"/>
        <w:gridCol w:w="146"/>
        <w:gridCol w:w="406"/>
        <w:gridCol w:w="109"/>
        <w:gridCol w:w="3646"/>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972185" cy="175260"/>
                      <wp:effectExtent l="0" t="0" r="0" b="0"/>
                      <wp:wrapNone/>
                      <wp:docPr id="456" name="Frame456"/>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92710" cy="175260"/>
                      <wp:effectExtent l="0" t="0" r="0" b="0"/>
                      <wp:wrapNone/>
                      <wp:docPr id="457" name="Frame45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57810" cy="175260"/>
                      <wp:effectExtent l="0" t="0" r="0" b="0"/>
                      <wp:wrapNone/>
                      <wp:docPr id="458" name="Frame45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9215" cy="175260"/>
                      <wp:effectExtent l="0" t="0" r="0" b="0"/>
                      <wp:wrapNone/>
                      <wp:docPr id="459" name="Frame4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315210" cy="175260"/>
                      <wp:effectExtent l="0" t="0" r="0" b="0"/>
                      <wp:wrapNone/>
                      <wp:docPr id="460" name="Frame460"/>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161"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ALPINE INCOME PROPERTY TRUST, INC.</w:t>
            </w:r>
          </w:p>
        </w:tc>
      </w:tr>
      <w:tr>
        <w:trPr/>
        <w:tc>
          <w:tcPr>
            <w:tcW w:w="15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161"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5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22, 2026</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r>
      <w:tr>
        <w:trPr/>
        <w:tc>
          <w:tcPr>
            <w:tcW w:w="15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John P. Albright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President and Chief Executive Officer</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Executive Officer)</w:t>
            </w:r>
          </w:p>
        </w:tc>
      </w:tr>
      <w:tr>
        <w:trPr/>
        <w:tc>
          <w:tcPr>
            <w:tcW w:w="15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3646"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22, 2026</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r>
      <w:tr>
        <w:trPr/>
        <w:tc>
          <w:tcPr>
            <w:tcW w:w="15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Philip R. Mays, Senior Vice President,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Financial Officer and Treasurer</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Financial Officer)</w:t>
            </w:r>
          </w:p>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22, 2026</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r>
      <w:tr>
        <w:trPr/>
        <w:tc>
          <w:tcPr>
            <w:tcW w:w="15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Lisa M. Vorakoun, Senior Vice President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and Chief Accounting Officer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Accounting Officer)</w:t>
            </w:r>
          </w:p>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tLeast" w:line="142" w:before="0" w:after="0"/>
        <w:ind w:left="0" w:right="0" w:hanging="0"/>
        <w:jc w:val="left"/>
        <w:rPr/>
      </w:pPr>
      <w:bookmarkStart w:id="1756" w:name="pine-ex31d1.htm"/>
      <w:bookmarkStart w:id="1757" w:name="kspineex31d1"/>
      <w:bookmarkEnd w:id="1756"/>
      <w:bookmarkEnd w:id="1757"/>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John P. Albright, certify that:</w:t>
      </w:r>
    </w:p>
    <w:tbl>
      <w:tblPr>
        <w:tblW w:w="7390" w:type="dxa"/>
        <w:jc w:val="left"/>
        <w:tblInd w:w="0" w:type="dxa"/>
        <w:tblLayout w:type="fixed"/>
        <w:tblCellMar>
          <w:top w:w="0" w:type="dxa"/>
          <w:left w:w="0" w:type="dxa"/>
          <w:bottom w:w="0" w:type="dxa"/>
          <w:right w:w="0" w:type="dxa"/>
        </w:tblCellMar>
      </w:tblPr>
      <w:tblGrid>
        <w:gridCol w:w="170"/>
        <w:gridCol w:w="72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Alpine Income Property Trust,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October 22, 2026</w:t>
      </w:r>
    </w:p>
    <w:tbl>
      <w:tblPr>
        <w:tblW w:w="3886" w:type="dxa"/>
        <w:jc w:val="left"/>
        <w:tblInd w:w="0" w:type="dxa"/>
        <w:tblLayout w:type="fixed"/>
        <w:tblCellMar>
          <w:top w:w="0" w:type="dxa"/>
          <w:left w:w="0" w:type="dxa"/>
          <w:bottom w:w="0" w:type="dxa"/>
          <w:right w:w="0" w:type="dxa"/>
        </w:tblCellMar>
      </w:tblPr>
      <w:tblGrid>
        <w:gridCol w:w="421"/>
        <w:gridCol w:w="146"/>
        <w:gridCol w:w="2614"/>
        <w:gridCol w:w="551"/>
        <w:gridCol w:w="154"/>
      </w:tblGrid>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92710" cy="175260"/>
                      <wp:effectExtent l="0" t="0" r="0" b="0"/>
                      <wp:wrapNone/>
                      <wp:docPr id="461" name="Frame46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0"/>
              <w:ind w:left="0" w:right="0" w:hanging="0"/>
              <w:jc w:val="left"/>
              <w:rPr/>
            </w:pPr>
            <w:r>
              <w:rPr/>
              <w:t>​</w:t>
            </w:r>
          </w:p>
        </w:tc>
        <w:tc>
          <w:tcPr>
            <w:tcW w:w="705"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758" w:name="pine-ex31d2.htm"/>
      <w:bookmarkStart w:id="1759" w:name="kspineex31d2"/>
      <w:bookmarkEnd w:id="1758"/>
      <w:bookmarkEnd w:id="1759"/>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Philip R. Mays, certify that:</w:t>
      </w:r>
    </w:p>
    <w:tbl>
      <w:tblPr>
        <w:tblW w:w="7390" w:type="dxa"/>
        <w:jc w:val="left"/>
        <w:tblInd w:w="0" w:type="dxa"/>
        <w:tblLayout w:type="fixed"/>
        <w:tblCellMar>
          <w:top w:w="0" w:type="dxa"/>
          <w:left w:w="0" w:type="dxa"/>
          <w:bottom w:w="0" w:type="dxa"/>
          <w:right w:w="0" w:type="dxa"/>
        </w:tblCellMar>
      </w:tblPr>
      <w:tblGrid>
        <w:gridCol w:w="170"/>
        <w:gridCol w:w="72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Alpine Income Property Trust,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October 22, 2026</w:t>
      </w:r>
    </w:p>
    <w:tbl>
      <w:tblPr>
        <w:tblW w:w="3961" w:type="dxa"/>
        <w:jc w:val="left"/>
        <w:tblInd w:w="0" w:type="dxa"/>
        <w:tblLayout w:type="fixed"/>
        <w:tblCellMar>
          <w:top w:w="0" w:type="dxa"/>
          <w:left w:w="0" w:type="dxa"/>
          <w:bottom w:w="0" w:type="dxa"/>
          <w:right w:w="0" w:type="dxa"/>
        </w:tblCellMar>
      </w:tblPr>
      <w:tblGrid>
        <w:gridCol w:w="421"/>
        <w:gridCol w:w="146"/>
        <w:gridCol w:w="2675"/>
        <w:gridCol w:w="565"/>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67335" cy="175260"/>
                      <wp:effectExtent l="0" t="0" r="0" b="0"/>
                      <wp:wrapNone/>
                      <wp:docPr id="462" name="Frame46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92710" cy="175260"/>
                      <wp:effectExtent l="0" t="0" r="0" b="0"/>
                      <wp:wrapNone/>
                      <wp:docPr id="463" name="Frame46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698625" cy="175260"/>
                      <wp:effectExtent l="0" t="0" r="0" b="0"/>
                      <wp:wrapNone/>
                      <wp:docPr id="464" name="Frame464"/>
                      <a:graphic xmlns:a="http://schemas.openxmlformats.org/drawingml/2006/main">
                        <a:graphicData uri="http://schemas.microsoft.com/office/word/2010/wordprocessingShape">
                          <wps:wsp>
                            <wps:cNvSpPr txBox="1"/>
                            <wps:spPr>
                              <a:xfrm>
                                <a:off x="0" y="0"/>
                                <a:ext cx="169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56565" cy="175260"/>
                      <wp:effectExtent l="0" t="0" r="0" b="0"/>
                      <wp:wrapNone/>
                      <wp:docPr id="465" name="Frame465"/>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Philip R. Mays, Senior Vice President, </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60" w:name="pine-ex32d1.htm"/>
      <w:bookmarkStart w:id="1761" w:name="kspineex32d1"/>
      <w:bookmarkEnd w:id="1760"/>
      <w:bookmarkEnd w:id="1761"/>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Alpine Income Property Trust, Inc. (the “Company”) on Form 10-Q for the period ended September 30, 2026, as filed with the Securities and Exchange Commission on the date hereof (the “Report”), I, John P. Albright, President and Chief Executive Officer of the Company, certify, pursuant to 18 U.S.C. Section 1350, as adopted pursuant to Section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October 22, 2026</w:t>
      </w:r>
    </w:p>
    <w:tbl>
      <w:tblPr>
        <w:tblW w:w="3886" w:type="dxa"/>
        <w:jc w:val="center"/>
        <w:tblInd w:w="0" w:type="dxa"/>
        <w:tblLayout w:type="fixed"/>
        <w:tblCellMar>
          <w:top w:w="0" w:type="dxa"/>
          <w:left w:w="0" w:type="dxa"/>
          <w:bottom w:w="0" w:type="dxa"/>
          <w:right w:w="0" w:type="dxa"/>
        </w:tblCellMar>
      </w:tblPr>
      <w:tblGrid>
        <w:gridCol w:w="421"/>
        <w:gridCol w:w="146"/>
        <w:gridCol w:w="2614"/>
        <w:gridCol w:w="551"/>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67335" cy="175260"/>
                      <wp:effectExtent l="0" t="0" r="0" b="0"/>
                      <wp:wrapNone/>
                      <wp:docPr id="466" name="Frame46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92710" cy="175260"/>
                      <wp:effectExtent l="0" t="0" r="0" b="0"/>
                      <wp:wrapNone/>
                      <wp:docPr id="467" name="Frame46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659890" cy="175260"/>
                      <wp:effectExtent l="0" t="0" r="0" b="0"/>
                      <wp:wrapNone/>
                      <wp:docPr id="468" name="Frame468"/>
                      <a:graphic xmlns:a="http://schemas.openxmlformats.org/drawingml/2006/main">
                        <a:graphicData uri="http://schemas.microsoft.com/office/word/2010/wordprocessingShape">
                          <wps:wsp>
                            <wps:cNvSpPr txBox="1"/>
                            <wps:spPr>
                              <a:xfrm>
                                <a:off x="0" y="0"/>
                                <a:ext cx="165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48310" cy="175260"/>
                      <wp:effectExtent l="0" t="0" r="0" b="0"/>
                      <wp:wrapNone/>
                      <wp:docPr id="469" name="Frame46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62" w:name="pine-ex32d2.htm"/>
      <w:bookmarkStart w:id="1763" w:name="kspineex32d2"/>
      <w:bookmarkEnd w:id="1762"/>
      <w:bookmarkEnd w:id="1763"/>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Alpine Income Property Trust, Inc. (the “Company”) on Form 10-Q for the period ended September 30, 2026,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October 22, 2026</w:t>
      </w:r>
    </w:p>
    <w:tbl>
      <w:tblPr>
        <w:tblW w:w="3961" w:type="dxa"/>
        <w:jc w:val="left"/>
        <w:tblInd w:w="0" w:type="dxa"/>
        <w:tblLayout w:type="fixed"/>
        <w:tblCellMar>
          <w:top w:w="0" w:type="dxa"/>
          <w:left w:w="0" w:type="dxa"/>
          <w:bottom w:w="0" w:type="dxa"/>
          <w:right w:w="0" w:type="dxa"/>
        </w:tblCellMar>
      </w:tblPr>
      <w:tblGrid>
        <w:gridCol w:w="421"/>
        <w:gridCol w:w="146"/>
        <w:gridCol w:w="2675"/>
        <w:gridCol w:w="565"/>
        <w:gridCol w:w="154"/>
      </w:tblGrid>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92710" cy="175260"/>
                      <wp:effectExtent l="0" t="0" r="0" b="0"/>
                      <wp:wrapNone/>
                      <wp:docPr id="470" name="Frame47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5" w:type="dxa"/>
            <w:tcBorders/>
            <w:vAlign w:val="center"/>
          </w:tcPr>
          <w:p>
            <w:pPr>
              <w:pStyle w:val="TableContents"/>
              <w:bidi w:val="0"/>
              <w:spacing w:before="0" w:after="0"/>
              <w:ind w:left="0" w:right="0" w:hanging="0"/>
              <w:jc w:val="left"/>
              <w:rPr/>
            </w:pPr>
            <w:r>
              <w:rPr/>
              <w:t>​</w:t>
            </w:r>
          </w:p>
        </w:tc>
        <w:tc>
          <w:tcPr>
            <w:tcW w:w="719"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Philip R. Mays, Senior Vice President, </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6117/000110465926115058/pine-ex2d1.htm" TargetMode="External"/><Relationship Id="rId3" Type="http://schemas.openxmlformats.org/officeDocument/2006/relationships/hyperlink" Target="https://www.sec.gov/Archives/edgar/data/0001786117/000155837019011294/ex-3d1.htm" TargetMode="External"/><Relationship Id="rId4" Type="http://schemas.openxmlformats.org/officeDocument/2006/relationships/hyperlink" Target="https://www.sec.gov/Archives/edgar/data/1786117/000155837023000881/pine-20230201xex3d1.htm" TargetMode="External"/><Relationship Id="rId5" Type="http://schemas.openxmlformats.org/officeDocument/2006/relationships/hyperlink" Target="https://www.sec.gov/Archives/edgar/data/1786117/000110465925109185/tm2530776d1_ex3-2.htm" TargetMode="External"/><Relationship Id="rId6" Type="http://schemas.openxmlformats.org/officeDocument/2006/relationships/hyperlink" Target="https://www.sec.gov/Archives/edgar/data/1786117/000110465925118920/tm2532814d1_ex3-1.htm" TargetMode="External"/><Relationship Id="rId7" Type="http://schemas.openxmlformats.org/officeDocument/2006/relationships/hyperlink" Target="https://www.sec.gov/Archives/edgar/data/0001786117/000119312519277917/d793798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26706</Words>
  <Characters>147354</Characters>
  <CharactersWithSpaces>176093</CharactersWithSpaces>
  <Paragraphs>8074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