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331470</wp:posOffset>
            </wp:positionV>
            <wp:extent cx="649922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9225" cy="3175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6499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9225" cy="76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62865</wp:posOffset>
            </wp:positionV>
            <wp:extent cx="16268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6870" cy="762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80645</wp:posOffset>
            </wp:positionV>
            <wp:extent cx="16268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6870" cy="7620"/>
                    </a:xfrm>
                    <a:prstGeom prst="rect">
                      <a:avLst/>
                    </a:prstGeom>
                    <a:noFill/>
                  </pic:spPr>
                </pic:pic>
              </a:graphicData>
            </a:graphic>
          </wp:anchor>
        </w:drawing>
      </w:r>
    </w:p>
    <w:p>
      <w:pPr>
        <w:spacing w:after="0" w:line="210" w:lineRule="exact"/>
        <w:rPr>
          <w:sz w:val="24"/>
          <w:szCs w:val="24"/>
          <w:color w:val="auto"/>
        </w:rPr>
      </w:pPr>
    </w:p>
    <w:p>
      <w:pPr>
        <w:ind w:left="400" w:hanging="398"/>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30, 2021</w:t>
      </w: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400" w:hanging="398"/>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3320"/>
        <w:spacing w:after="0"/>
        <w:tabs>
          <w:tab w:leader="none" w:pos="60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3352165</wp:posOffset>
            </wp:positionH>
            <wp:positionV relativeFrom="paragraph">
              <wp:posOffset>-6985</wp:posOffset>
            </wp:positionV>
            <wp:extent cx="10452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5210" cy="762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 xml:space="preserve">Commission file number </w:t>
      </w:r>
      <w:r>
        <w:rPr>
          <w:rFonts w:ascii="Arial" w:cs="Arial" w:eastAsia="Arial" w:hAnsi="Arial"/>
          <w:sz w:val="16"/>
          <w:szCs w:val="16"/>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82550</wp:posOffset>
            </wp:positionV>
            <wp:extent cx="162687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6870" cy="1587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ALPINE INCOME PROPERTY TRUST, INC.</w:t>
      </w:r>
    </w:p>
    <w:p>
      <w:pPr>
        <w:spacing w:after="0" w:line="42" w:lineRule="exact"/>
        <w:rPr>
          <w:sz w:val="24"/>
          <w:szCs w:val="24"/>
          <w:color w:val="auto"/>
        </w:rPr>
      </w:pPr>
    </w:p>
    <w:tbl>
      <w:tblPr>
        <w:tblLayout w:type="fixed"/>
        <w:tblInd w:w="1320" w:type="dxa"/>
        <w:tblCellMar>
          <w:top w:w="0" w:type="dxa"/>
          <w:left w:w="0" w:type="dxa"/>
          <w:bottom w:w="0" w:type="dxa"/>
          <w:right w:w="0" w:type="dxa"/>
        </w:tblCellMar>
      </w:tblPr>
      <w:tr>
        <w:trPr>
          <w:trHeight w:val="192"/>
        </w:trPr>
        <w:tc>
          <w:tcPr>
            <w:tcW w:w="5680" w:type="dxa"/>
            <w:vAlign w:val="bottom"/>
            <w:gridSpan w:val="3"/>
          </w:tcPr>
          <w:p>
            <w:pPr>
              <w:jc w:val="center"/>
              <w:ind w:left="1846"/>
              <w:spacing w:after="0"/>
              <w:rPr>
                <w:sz w:val="20"/>
                <w:szCs w:val="20"/>
                <w:color w:val="auto"/>
              </w:rPr>
            </w:pPr>
            <w:r>
              <w:rPr>
                <w:rFonts w:ascii="Arial" w:cs="Arial" w:eastAsia="Arial" w:hAnsi="Arial"/>
                <w:sz w:val="15"/>
                <w:szCs w:val="15"/>
                <w:b w:val="1"/>
                <w:bCs w:val="1"/>
                <w:color w:val="auto"/>
                <w:w w:val="88"/>
              </w:rPr>
              <w:t>(Exact name of registrant as specified in its charter)</w:t>
            </w:r>
          </w:p>
        </w:tc>
        <w:tc>
          <w:tcPr>
            <w:tcW w:w="1360" w:type="dxa"/>
            <w:vAlign w:val="bottom"/>
          </w:tcPr>
          <w:p>
            <w:pPr>
              <w:spacing w:after="0"/>
              <w:rPr>
                <w:sz w:val="16"/>
                <w:szCs w:val="16"/>
                <w:color w:val="auto"/>
              </w:rPr>
            </w:pPr>
          </w:p>
        </w:tc>
      </w:tr>
      <w:tr>
        <w:trPr>
          <w:trHeight w:val="76"/>
        </w:trPr>
        <w:tc>
          <w:tcPr>
            <w:tcW w:w="252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40"/>
        </w:trPr>
        <w:tc>
          <w:tcPr>
            <w:tcW w:w="5680" w:type="dxa"/>
            <w:vAlign w:val="bottom"/>
            <w:gridSpan w:val="3"/>
          </w:tcPr>
          <w:p>
            <w:pPr>
              <w:jc w:val="center"/>
              <w:ind w:right="3240"/>
              <w:spacing w:after="0"/>
              <w:rPr>
                <w:sz w:val="20"/>
                <w:szCs w:val="20"/>
                <w:color w:val="auto"/>
              </w:rPr>
            </w:pPr>
            <w:r>
              <w:rPr>
                <w:rFonts w:ascii="Arial" w:cs="Arial" w:eastAsia="Arial" w:hAnsi="Arial"/>
                <w:sz w:val="15"/>
                <w:szCs w:val="15"/>
                <w:b w:val="1"/>
                <w:bCs w:val="1"/>
                <w:color w:val="auto"/>
                <w:w w:val="97"/>
              </w:rPr>
              <w:t>Maryland</w:t>
            </w:r>
          </w:p>
        </w:tc>
        <w:tc>
          <w:tcPr>
            <w:tcW w:w="1360" w:type="dxa"/>
            <w:vAlign w:val="bottom"/>
          </w:tcPr>
          <w:p>
            <w:pPr>
              <w:jc w:val="right"/>
              <w:ind w:right="146"/>
              <w:spacing w:after="0"/>
              <w:rPr>
                <w:sz w:val="20"/>
                <w:szCs w:val="20"/>
                <w:color w:val="auto"/>
              </w:rPr>
            </w:pPr>
            <w:r>
              <w:rPr>
                <w:rFonts w:ascii="Arial" w:cs="Arial" w:eastAsia="Arial" w:hAnsi="Arial"/>
                <w:sz w:val="15"/>
                <w:szCs w:val="15"/>
                <w:b w:val="1"/>
                <w:bCs w:val="1"/>
                <w:color w:val="auto"/>
              </w:rPr>
              <w:t>84-2769895</w:t>
            </w:r>
          </w:p>
        </w:tc>
      </w:tr>
      <w:tr>
        <w:trPr>
          <w:trHeight w:val="186"/>
        </w:trPr>
        <w:tc>
          <w:tcPr>
            <w:tcW w:w="5680" w:type="dxa"/>
            <w:vAlign w:val="bottom"/>
            <w:gridSpan w:val="3"/>
          </w:tcPr>
          <w:p>
            <w:pPr>
              <w:jc w:val="center"/>
              <w:ind w:right="3220"/>
              <w:spacing w:after="0"/>
              <w:rPr>
                <w:sz w:val="20"/>
                <w:szCs w:val="20"/>
                <w:color w:val="auto"/>
              </w:rPr>
            </w:pPr>
            <w:r>
              <w:rPr>
                <w:rFonts w:ascii="Arial" w:cs="Arial" w:eastAsia="Arial" w:hAnsi="Arial"/>
                <w:sz w:val="15"/>
                <w:szCs w:val="15"/>
                <w:b w:val="1"/>
                <w:bCs w:val="1"/>
                <w:color w:val="auto"/>
                <w:w w:val="90"/>
              </w:rPr>
              <w:t>(State or other jurisdiction of</w:t>
            </w:r>
          </w:p>
        </w:tc>
        <w:tc>
          <w:tcPr>
            <w:tcW w:w="1360" w:type="dxa"/>
            <w:vAlign w:val="bottom"/>
          </w:tcPr>
          <w:p>
            <w:pPr>
              <w:jc w:val="center"/>
              <w:ind w:left="146"/>
              <w:spacing w:after="0"/>
              <w:rPr>
                <w:sz w:val="20"/>
                <w:szCs w:val="20"/>
                <w:color w:val="auto"/>
              </w:rPr>
            </w:pPr>
            <w:r>
              <w:rPr>
                <w:rFonts w:ascii="Arial" w:cs="Arial" w:eastAsia="Arial" w:hAnsi="Arial"/>
                <w:sz w:val="15"/>
                <w:szCs w:val="15"/>
                <w:b w:val="1"/>
                <w:bCs w:val="1"/>
                <w:color w:val="auto"/>
                <w:w w:val="92"/>
              </w:rPr>
              <w:t>(I.R.S. Employer</w:t>
            </w:r>
          </w:p>
        </w:tc>
      </w:tr>
      <w:tr>
        <w:trPr>
          <w:trHeight w:val="192"/>
        </w:trPr>
        <w:tc>
          <w:tcPr>
            <w:tcW w:w="5680" w:type="dxa"/>
            <w:vAlign w:val="bottom"/>
            <w:gridSpan w:val="3"/>
          </w:tcPr>
          <w:p>
            <w:pPr>
              <w:jc w:val="center"/>
              <w:ind w:right="3220"/>
              <w:spacing w:after="0"/>
              <w:rPr>
                <w:sz w:val="20"/>
                <w:szCs w:val="20"/>
                <w:color w:val="auto"/>
              </w:rPr>
            </w:pPr>
            <w:r>
              <w:rPr>
                <w:rFonts w:ascii="Arial" w:cs="Arial" w:eastAsia="Arial" w:hAnsi="Arial"/>
                <w:sz w:val="15"/>
                <w:szCs w:val="15"/>
                <w:b w:val="1"/>
                <w:bCs w:val="1"/>
                <w:color w:val="auto"/>
                <w:w w:val="90"/>
              </w:rPr>
              <w:t>incorporation or organization)</w:t>
            </w:r>
          </w:p>
        </w:tc>
        <w:tc>
          <w:tcPr>
            <w:tcW w:w="1360" w:type="dxa"/>
            <w:vAlign w:val="bottom"/>
          </w:tcPr>
          <w:p>
            <w:pPr>
              <w:jc w:val="center"/>
              <w:ind w:left="126"/>
              <w:spacing w:after="0"/>
              <w:rPr>
                <w:sz w:val="20"/>
                <w:szCs w:val="20"/>
                <w:color w:val="auto"/>
              </w:rPr>
            </w:pPr>
            <w:r>
              <w:rPr>
                <w:rFonts w:ascii="Arial" w:cs="Arial" w:eastAsia="Arial" w:hAnsi="Arial"/>
                <w:sz w:val="15"/>
                <w:szCs w:val="15"/>
                <w:b w:val="1"/>
                <w:bCs w:val="1"/>
                <w:color w:val="auto"/>
                <w:w w:val="91"/>
              </w:rPr>
              <w:t>Identification No.)</w:t>
            </w:r>
          </w:p>
        </w:tc>
      </w:tr>
      <w:tr>
        <w:trPr>
          <w:trHeight w:val="266"/>
        </w:trPr>
        <w:tc>
          <w:tcPr>
            <w:tcW w:w="5680" w:type="dxa"/>
            <w:vAlign w:val="bottom"/>
            <w:gridSpan w:val="3"/>
          </w:tcPr>
          <w:p>
            <w:pPr>
              <w:jc w:val="center"/>
              <w:ind w:right="3220"/>
              <w:spacing w:after="0"/>
              <w:rPr>
                <w:sz w:val="20"/>
                <w:szCs w:val="20"/>
                <w:color w:val="auto"/>
              </w:rPr>
            </w:pPr>
            <w:r>
              <w:rPr>
                <w:rFonts w:ascii="Arial" w:cs="Arial" w:eastAsia="Arial" w:hAnsi="Arial"/>
                <w:sz w:val="15"/>
                <w:szCs w:val="15"/>
                <w:b w:val="1"/>
                <w:bCs w:val="1"/>
                <w:color w:val="auto"/>
                <w:w w:val="90"/>
              </w:rPr>
              <w:t>1140 N. Williamson Blvd., Suite 140</w:t>
            </w:r>
          </w:p>
        </w:tc>
        <w:tc>
          <w:tcPr>
            <w:tcW w:w="1360" w:type="dxa"/>
            <w:vAlign w:val="bottom"/>
          </w:tcPr>
          <w:p>
            <w:pPr>
              <w:spacing w:after="0"/>
              <w:rPr>
                <w:sz w:val="23"/>
                <w:szCs w:val="23"/>
                <w:color w:val="auto"/>
              </w:rPr>
            </w:pPr>
          </w:p>
        </w:tc>
      </w:tr>
      <w:tr>
        <w:trPr>
          <w:trHeight w:val="186"/>
        </w:trPr>
        <w:tc>
          <w:tcPr>
            <w:tcW w:w="5680" w:type="dxa"/>
            <w:vAlign w:val="bottom"/>
            <w:gridSpan w:val="3"/>
          </w:tcPr>
          <w:p>
            <w:pPr>
              <w:jc w:val="center"/>
              <w:ind w:right="3220"/>
              <w:spacing w:after="0"/>
              <w:rPr>
                <w:sz w:val="20"/>
                <w:szCs w:val="20"/>
                <w:color w:val="auto"/>
              </w:rPr>
            </w:pPr>
            <w:r>
              <w:rPr>
                <w:rFonts w:ascii="Arial" w:cs="Arial" w:eastAsia="Arial" w:hAnsi="Arial"/>
                <w:sz w:val="15"/>
                <w:szCs w:val="15"/>
                <w:b w:val="1"/>
                <w:bCs w:val="1"/>
                <w:color w:val="auto"/>
                <w:w w:val="89"/>
              </w:rPr>
              <w:t>Daytona Beach, Florida</w:t>
            </w:r>
          </w:p>
        </w:tc>
        <w:tc>
          <w:tcPr>
            <w:tcW w:w="1360" w:type="dxa"/>
            <w:vAlign w:val="bottom"/>
          </w:tcPr>
          <w:p>
            <w:pPr>
              <w:jc w:val="right"/>
              <w:ind w:right="326"/>
              <w:spacing w:after="0"/>
              <w:rPr>
                <w:sz w:val="20"/>
                <w:szCs w:val="20"/>
                <w:color w:val="auto"/>
              </w:rPr>
            </w:pPr>
            <w:r>
              <w:rPr>
                <w:rFonts w:ascii="Arial" w:cs="Arial" w:eastAsia="Arial" w:hAnsi="Arial"/>
                <w:sz w:val="15"/>
                <w:szCs w:val="15"/>
                <w:b w:val="1"/>
                <w:bCs w:val="1"/>
                <w:color w:val="auto"/>
              </w:rPr>
              <w:t>32114</w:t>
            </w:r>
          </w:p>
        </w:tc>
      </w:tr>
      <w:tr>
        <w:trPr>
          <w:trHeight w:val="192"/>
        </w:trPr>
        <w:tc>
          <w:tcPr>
            <w:tcW w:w="5680" w:type="dxa"/>
            <w:vAlign w:val="bottom"/>
            <w:gridSpan w:val="3"/>
          </w:tcPr>
          <w:p>
            <w:pPr>
              <w:jc w:val="center"/>
              <w:ind w:right="3220"/>
              <w:spacing w:after="0"/>
              <w:rPr>
                <w:sz w:val="20"/>
                <w:szCs w:val="20"/>
                <w:color w:val="auto"/>
              </w:rPr>
            </w:pPr>
            <w:r>
              <w:rPr>
                <w:rFonts w:ascii="Arial" w:cs="Arial" w:eastAsia="Arial" w:hAnsi="Arial"/>
                <w:sz w:val="15"/>
                <w:szCs w:val="15"/>
                <w:b w:val="1"/>
                <w:bCs w:val="1"/>
                <w:color w:val="auto"/>
                <w:w w:val="87"/>
              </w:rPr>
              <w:t>(Address of principal executive offices)</w:t>
            </w:r>
          </w:p>
        </w:tc>
        <w:tc>
          <w:tcPr>
            <w:tcW w:w="1360" w:type="dxa"/>
            <w:vAlign w:val="bottom"/>
          </w:tcPr>
          <w:p>
            <w:pPr>
              <w:jc w:val="center"/>
              <w:ind w:left="146"/>
              <w:spacing w:after="0"/>
              <w:rPr>
                <w:sz w:val="20"/>
                <w:szCs w:val="20"/>
                <w:color w:val="auto"/>
              </w:rPr>
            </w:pPr>
            <w:r>
              <w:rPr>
                <w:rFonts w:ascii="Arial" w:cs="Arial" w:eastAsia="Arial" w:hAnsi="Arial"/>
                <w:sz w:val="15"/>
                <w:szCs w:val="15"/>
                <w:b w:val="1"/>
                <w:bCs w:val="1"/>
                <w:color w:val="auto"/>
                <w:w w:val="94"/>
              </w:rPr>
              <w:t>(Zip Code)</w:t>
            </w:r>
          </w:p>
        </w:tc>
      </w:tr>
      <w:tr>
        <w:trPr>
          <w:trHeight w:val="241"/>
        </w:trPr>
        <w:tc>
          <w:tcPr>
            <w:tcW w:w="5080" w:type="dxa"/>
            <w:vAlign w:val="bottom"/>
            <w:gridSpan w:val="2"/>
          </w:tcPr>
          <w:p>
            <w:pPr>
              <w:jc w:val="center"/>
              <w:ind w:left="2446"/>
              <w:spacing w:after="0"/>
              <w:rPr>
                <w:sz w:val="20"/>
                <w:szCs w:val="20"/>
                <w:color w:val="auto"/>
              </w:rPr>
            </w:pPr>
            <w:r>
              <w:rPr>
                <w:rFonts w:ascii="Arial" w:cs="Arial" w:eastAsia="Arial" w:hAnsi="Arial"/>
                <w:sz w:val="15"/>
                <w:szCs w:val="15"/>
                <w:b w:val="1"/>
                <w:bCs w:val="1"/>
                <w:color w:val="auto"/>
                <w:w w:val="89"/>
              </w:rPr>
              <w:t>(386) 274-2202</w:t>
            </w: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2"/>
        </w:trPr>
        <w:tc>
          <w:tcPr>
            <w:tcW w:w="5680" w:type="dxa"/>
            <w:vAlign w:val="bottom"/>
            <w:gridSpan w:val="3"/>
          </w:tcPr>
          <w:p>
            <w:pPr>
              <w:jc w:val="center"/>
              <w:ind w:left="1846"/>
              <w:spacing w:after="0"/>
              <w:rPr>
                <w:sz w:val="20"/>
                <w:szCs w:val="20"/>
                <w:color w:val="auto"/>
              </w:rPr>
            </w:pPr>
            <w:r>
              <w:rPr>
                <w:rFonts w:ascii="Arial" w:cs="Arial" w:eastAsia="Arial" w:hAnsi="Arial"/>
                <w:sz w:val="15"/>
                <w:szCs w:val="15"/>
                <w:b w:val="1"/>
                <w:bCs w:val="1"/>
                <w:color w:val="auto"/>
                <w:w w:val="88"/>
              </w:rPr>
              <w:t>(Registrant’s telephone number, including area code)</w:t>
            </w:r>
          </w:p>
        </w:tc>
        <w:tc>
          <w:tcPr>
            <w:tcW w:w="1360" w:type="dxa"/>
            <w:vAlign w:val="bottom"/>
          </w:tcPr>
          <w:p>
            <w:pPr>
              <w:spacing w:after="0"/>
              <w:rPr>
                <w:sz w:val="16"/>
                <w:szCs w:val="16"/>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66675</wp:posOffset>
            </wp:positionV>
            <wp:extent cx="162687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6870" cy="15875"/>
                    </a:xfrm>
                    <a:prstGeom prst="rect">
                      <a:avLst/>
                    </a:prstGeom>
                    <a:noFill/>
                  </pic:spPr>
                </pic:pic>
              </a:graphicData>
            </a:graphic>
          </wp:anchor>
        </w:drawing>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580" w:type="dxa"/>
            <w:vAlign w:val="bottom"/>
            <w:gridSpan w:val="3"/>
          </w:tcPr>
          <w:p>
            <w:pPr>
              <w:jc w:val="center"/>
              <w:ind w:right="160"/>
              <w:spacing w:after="0"/>
              <w:rPr>
                <w:sz w:val="20"/>
                <w:szCs w:val="20"/>
                <w:color w:val="auto"/>
              </w:rPr>
            </w:pPr>
            <w:r>
              <w:rPr>
                <w:rFonts w:ascii="Arial" w:cs="Arial" w:eastAsia="Arial" w:hAnsi="Arial"/>
                <w:sz w:val="15"/>
                <w:szCs w:val="15"/>
                <w:color w:val="auto"/>
                <w:w w:val="89"/>
              </w:rPr>
              <w:t>Securities registered pursuant to Section 12(b) of the Act:</w:t>
            </w: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22"/>
        </w:trPr>
        <w:tc>
          <w:tcPr>
            <w:tcW w:w="20" w:type="dxa"/>
            <w:vAlign w:val="bottom"/>
          </w:tcPr>
          <w:p>
            <w:pPr>
              <w:spacing w:after="0"/>
              <w:rPr>
                <w:sz w:val="24"/>
                <w:szCs w:val="24"/>
                <w:color w:val="auto"/>
              </w:rPr>
            </w:pPr>
          </w:p>
        </w:tc>
        <w:tc>
          <w:tcPr>
            <w:tcW w:w="35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Title of each class:</w:t>
            </w:r>
          </w:p>
        </w:tc>
        <w:tc>
          <w:tcPr>
            <w:tcW w:w="32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Trading Symbol</w:t>
            </w:r>
          </w:p>
        </w:tc>
        <w:tc>
          <w:tcPr>
            <w:tcW w:w="3380" w:type="dxa"/>
            <w:vAlign w:val="bottom"/>
          </w:tcPr>
          <w:p>
            <w:pPr>
              <w:jc w:val="center"/>
              <w:spacing w:after="0"/>
              <w:rPr>
                <w:sz w:val="20"/>
                <w:szCs w:val="20"/>
                <w:color w:val="auto"/>
              </w:rPr>
            </w:pPr>
            <w:r>
              <w:rPr>
                <w:rFonts w:ascii="Arial" w:cs="Arial" w:eastAsia="Arial" w:hAnsi="Arial"/>
                <w:sz w:val="15"/>
                <w:szCs w:val="15"/>
                <w:b w:val="1"/>
                <w:bCs w:val="1"/>
                <w:color w:val="auto"/>
                <w:w w:val="87"/>
              </w:rPr>
              <w:t>Name of each exchange on which registered:</w:t>
            </w:r>
          </w:p>
        </w:tc>
      </w:tr>
      <w:tr>
        <w:trPr>
          <w:trHeight w:val="167"/>
        </w:trPr>
        <w:tc>
          <w:tcPr>
            <w:tcW w:w="20" w:type="dxa"/>
            <w:vAlign w:val="bottom"/>
          </w:tcPr>
          <w:p>
            <w:pPr>
              <w:spacing w:after="0"/>
              <w:rPr>
                <w:sz w:val="14"/>
                <w:szCs w:val="1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COMMON STOCK, $0.01 PAR VALUE</w:t>
            </w:r>
          </w:p>
        </w:tc>
        <w:tc>
          <w:tcPr>
            <w:tcW w:w="180" w:type="dxa"/>
            <w:vAlign w:val="bottom"/>
          </w:tcPr>
          <w:p>
            <w:pPr>
              <w:spacing w:after="0"/>
              <w:rPr>
                <w:sz w:val="14"/>
                <w:szCs w:val="14"/>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PINE</w:t>
            </w:r>
          </w:p>
        </w:tc>
        <w:tc>
          <w:tcPr>
            <w:tcW w:w="200" w:type="dxa"/>
            <w:vAlign w:val="bottom"/>
          </w:tcPr>
          <w:p>
            <w:pPr>
              <w:spacing w:after="0"/>
              <w:rPr>
                <w:sz w:val="14"/>
                <w:szCs w:val="1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NYSE</w:t>
            </w:r>
          </w:p>
        </w:tc>
      </w:tr>
    </w:tbl>
    <w:p>
      <w:pPr>
        <w:spacing w:after="0" w:line="206" w:lineRule="exact"/>
        <w:rPr>
          <w:sz w:val="24"/>
          <w:szCs w:val="24"/>
          <w:color w:val="auto"/>
        </w:rPr>
      </w:pPr>
    </w:p>
    <w:p>
      <w:pPr>
        <w:jc w:val="both"/>
        <w:ind w:firstLine="404"/>
        <w:spacing w:after="0" w:line="192"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firstLine="404"/>
        <w:spacing w:after="0" w:line="19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firstLine="404"/>
        <w:spacing w:after="0" w:line="26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9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80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160"/>
              <w:spacing w:after="0"/>
              <w:rPr>
                <w:sz w:val="20"/>
                <w:szCs w:val="20"/>
                <w:color w:val="auto"/>
              </w:rPr>
            </w:pPr>
            <w:r>
              <w:rPr>
                <w:rFonts w:ascii="Arial" w:cs="Arial" w:eastAsia="Arial" w:hAnsi="Arial"/>
                <w:sz w:val="15"/>
                <w:szCs w:val="15"/>
                <w:color w:val="auto"/>
              </w:rPr>
              <w:t>Accelerated Filer</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2"/>
        </w:trPr>
        <w:tc>
          <w:tcPr>
            <w:tcW w:w="1900" w:type="dxa"/>
            <w:vAlign w:val="bottom"/>
          </w:tcPr>
          <w:p>
            <w:pPr>
              <w:spacing w:after="0"/>
              <w:rPr>
                <w:sz w:val="20"/>
                <w:szCs w:val="20"/>
                <w:color w:val="auto"/>
              </w:rPr>
            </w:pPr>
            <w:r>
              <w:rPr>
                <w:rFonts w:ascii="Arial" w:cs="Arial" w:eastAsia="Arial" w:hAnsi="Arial"/>
                <w:sz w:val="15"/>
                <w:szCs w:val="15"/>
                <w:color w:val="auto"/>
              </w:rPr>
              <w:t>Non-accelerated Filer</w:t>
            </w:r>
          </w:p>
        </w:tc>
        <w:tc>
          <w:tcPr>
            <w:tcW w:w="280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160"/>
              <w:spacing w:after="0"/>
              <w:rPr>
                <w:sz w:val="20"/>
                <w:szCs w:val="20"/>
                <w:color w:val="auto"/>
              </w:rPr>
            </w:pPr>
            <w:r>
              <w:rPr>
                <w:rFonts w:ascii="Arial" w:cs="Arial" w:eastAsia="Arial" w:hAnsi="Arial"/>
                <w:sz w:val="15"/>
                <w:szCs w:val="15"/>
                <w:color w:val="auto"/>
              </w:rPr>
              <w:t>Smaller Reporting Company</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6"/>
        </w:trPr>
        <w:tc>
          <w:tcPr>
            <w:tcW w:w="19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500" w:type="dxa"/>
            <w:vAlign w:val="bottom"/>
          </w:tcPr>
          <w:p>
            <w:pPr>
              <w:ind w:left="2160"/>
              <w:spacing w:after="0"/>
              <w:rPr>
                <w:sz w:val="20"/>
                <w:szCs w:val="20"/>
                <w:color w:val="auto"/>
              </w:rPr>
            </w:pPr>
            <w:r>
              <w:rPr>
                <w:rFonts w:ascii="Arial" w:cs="Arial" w:eastAsia="Arial" w:hAnsi="Arial"/>
                <w:sz w:val="15"/>
                <w:szCs w:val="15"/>
                <w:color w:val="auto"/>
              </w:rPr>
              <w:t>Emerging Growth Company</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bl>
    <w:p>
      <w:pPr>
        <w:ind w:firstLine="404"/>
        <w:spacing w:after="0" w:line="18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 w:lineRule="exact"/>
        <w:rPr>
          <w:sz w:val="24"/>
          <w:szCs w:val="24"/>
          <w:color w:val="auto"/>
        </w:rPr>
      </w:pPr>
    </w:p>
    <w:p>
      <w:pPr>
        <w:ind w:left="400" w:right="2020"/>
        <w:spacing w:after="0" w:line="22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common stock outstanding on October 14, 2021 was 11,303,142.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412750</wp:posOffset>
            </wp:positionV>
            <wp:extent cx="649922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9225" cy="23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6499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9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67310</wp:posOffset>
            </wp:positionV>
            <wp:extent cx="649922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9225" cy="31750"/>
                    </a:xfrm>
                    <a:prstGeom prst="rect">
                      <a:avLst/>
                    </a:prstGeom>
                    <a:noFill/>
                  </pic:spPr>
                </pic:pic>
              </a:graphicData>
            </a:graphic>
          </wp:anchor>
        </w:drawing>
      </w:r>
    </w:p>
    <w:p>
      <w:pPr>
        <w:sectPr>
          <w:pgSz w:w="11900" w:h="16838" w:orient="portrait"/>
          <w:cols w:equalWidth="0" w:num="1">
            <w:col w:w="10240"/>
          </w:cols>
          <w:pgMar w:left="820" w:top="622" w:right="839" w:bottom="1440" w:gutter="0" w:footer="0" w:header="0"/>
        </w:sectPr>
      </w:pPr>
    </w:p>
    <w:bookmarkStart w:id="1" w:name="page2"/>
    <w:bookmarkEnd w:id="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60" w:type="dxa"/>
            <w:vAlign w:val="bottom"/>
            <w:gridSpan w:val="9"/>
          </w:tcPr>
          <w:p>
            <w:pPr>
              <w:ind w:left="180"/>
              <w:spacing w:after="0"/>
              <w:rPr>
                <w:sz w:val="20"/>
                <w:szCs w:val="20"/>
                <w:color w:val="auto"/>
              </w:rPr>
            </w:pPr>
            <w:r>
              <w:rPr>
                <w:rFonts w:ascii="Arial" w:cs="Arial" w:eastAsia="Arial" w:hAnsi="Arial"/>
                <w:sz w:val="16"/>
                <w:szCs w:val="16"/>
                <w:color w:val="auto"/>
              </w:rPr>
              <w:t>INDEX</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78"/>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4"/>
        </w:trPr>
        <w:tc>
          <w:tcPr>
            <w:tcW w:w="8080" w:type="dxa"/>
            <w:vAlign w:val="bottom"/>
            <w:gridSpan w:val="23"/>
            <w:vMerge w:val="restart"/>
          </w:tcPr>
          <w:p>
            <w:pPr>
              <w:spacing w:after="0"/>
              <w:rPr>
                <w:sz w:val="20"/>
                <w:szCs w:val="20"/>
                <w:color w:val="auto"/>
              </w:rPr>
            </w:pPr>
            <w:r>
              <w:rPr>
                <w:rFonts w:ascii="Arial" w:cs="Arial" w:eastAsia="Arial" w:hAnsi="Arial"/>
                <w:sz w:val="16"/>
                <w:szCs w:val="16"/>
                <w:color w:val="auto"/>
              </w:rPr>
              <w:t>PART I—FINANCIAL INFORMATION</w:t>
            </w: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77"/>
        </w:trPr>
        <w:tc>
          <w:tcPr>
            <w:tcW w:w="8080" w:type="dxa"/>
            <w:vAlign w:val="bottom"/>
            <w:gridSpan w:val="23"/>
            <w:vMerge w:val="continue"/>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640" w:type="dxa"/>
            <w:vAlign w:val="bottom"/>
            <w:tcBorders>
              <w:bottom w:val="single" w:sz="8" w:color="0000EE"/>
            </w:tcBorders>
            <w:gridSpan w:val="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1420" w:type="dxa"/>
            <w:vAlign w:val="bottom"/>
            <w:tcBorders>
              <w:bottom w:val="single" w:sz="8" w:color="0000EE"/>
            </w:tcBorders>
            <w:gridSpan w:val="7"/>
          </w:tcPr>
          <w:p>
            <w:pPr>
              <w:ind w:left="40"/>
              <w:spacing w:after="0"/>
              <w:rPr>
                <w:rFonts w:ascii="Arial" w:cs="Arial" w:eastAsia="Arial" w:hAnsi="Arial"/>
                <w:sz w:val="16"/>
                <w:szCs w:val="16"/>
                <w:color w:val="0000EE"/>
                <w:w w:val="91"/>
              </w:rPr>
            </w:pPr>
            <w:hyperlink w:anchor="page3">
              <w:r>
                <w:rPr>
                  <w:rFonts w:ascii="Arial" w:cs="Arial" w:eastAsia="Arial" w:hAnsi="Arial"/>
                  <w:sz w:val="16"/>
                  <w:szCs w:val="16"/>
                  <w:color w:val="0000EE"/>
                  <w:w w:val="91"/>
                </w:rPr>
                <w:t>Financial Statements</w:t>
              </w:r>
            </w:hyperlink>
          </w:p>
        </w:tc>
        <w:tc>
          <w:tcPr>
            <w:tcW w:w="602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76"/>
        </w:trPr>
        <w:tc>
          <w:tcPr>
            <w:tcW w:w="300" w:type="dxa"/>
            <w:vAlign w:val="bottom"/>
          </w:tcPr>
          <w:p>
            <w:pPr>
              <w:spacing w:after="0"/>
              <w:rPr>
                <w:sz w:val="24"/>
                <w:szCs w:val="24"/>
                <w:color w:val="auto"/>
              </w:rPr>
            </w:pPr>
          </w:p>
        </w:tc>
        <w:tc>
          <w:tcPr>
            <w:tcW w:w="5860" w:type="dxa"/>
            <w:vAlign w:val="bottom"/>
            <w:tcBorders>
              <w:bottom w:val="single" w:sz="8" w:color="0000EE"/>
            </w:tcBorders>
            <w:gridSpan w:val="16"/>
          </w:tcPr>
          <w:p>
            <w:pPr>
              <w:spacing w:after="0"/>
              <w:rPr>
                <w:rFonts w:ascii="Arial" w:cs="Arial" w:eastAsia="Arial" w:hAnsi="Arial"/>
                <w:sz w:val="16"/>
                <w:szCs w:val="16"/>
                <w:color w:val="0000EE"/>
                <w:w w:val="91"/>
              </w:rPr>
            </w:pPr>
            <w:hyperlink w:anchor="page3">
              <w:r>
                <w:rPr>
                  <w:rFonts w:ascii="Arial" w:cs="Arial" w:eastAsia="Arial" w:hAnsi="Arial"/>
                  <w:sz w:val="16"/>
                  <w:szCs w:val="16"/>
                  <w:color w:val="0000EE"/>
                  <w:w w:val="91"/>
                </w:rPr>
                <w:t>Consolidated Balance Sheets – September 30, 2021 (Unaudited) and December 31, 2020</w:t>
              </w:r>
            </w:hyperlink>
          </w:p>
        </w:tc>
        <w:tc>
          <w:tcPr>
            <w:tcW w:w="192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76"/>
        </w:trPr>
        <w:tc>
          <w:tcPr>
            <w:tcW w:w="300" w:type="dxa"/>
            <w:vAlign w:val="bottom"/>
          </w:tcPr>
          <w:p>
            <w:pPr>
              <w:spacing w:after="0"/>
              <w:rPr>
                <w:sz w:val="24"/>
                <w:szCs w:val="24"/>
                <w:color w:val="auto"/>
              </w:rPr>
            </w:pPr>
          </w:p>
        </w:tc>
        <w:tc>
          <w:tcPr>
            <w:tcW w:w="7780" w:type="dxa"/>
            <w:vAlign w:val="bottom"/>
            <w:gridSpan w:val="22"/>
          </w:tcPr>
          <w:p>
            <w:pPr>
              <w:spacing w:after="0"/>
              <w:rPr>
                <w:rFonts w:ascii="Arial" w:cs="Arial" w:eastAsia="Arial" w:hAnsi="Arial"/>
                <w:sz w:val="16"/>
                <w:szCs w:val="16"/>
                <w:color w:val="0000EE"/>
                <w:w w:val="94"/>
              </w:rPr>
            </w:pPr>
            <w:hyperlink w:anchor="page4">
              <w:r>
                <w:rPr>
                  <w:rFonts w:ascii="Arial" w:cs="Arial" w:eastAsia="Arial" w:hAnsi="Arial"/>
                  <w:sz w:val="16"/>
                  <w:szCs w:val="16"/>
                  <w:color w:val="0000EE"/>
                  <w:w w:val="94"/>
                </w:rPr>
                <w:t>Consolidated Statements of Operations – Three and nine months ended September 30, 2021 and 2020 (Unaudited)</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0" w:type="dxa"/>
            <w:vAlign w:val="bottom"/>
          </w:tcPr>
          <w:p>
            <w:pPr>
              <w:spacing w:after="0"/>
              <w:rPr>
                <w:sz w:val="24"/>
                <w:szCs w:val="24"/>
                <w:color w:val="auto"/>
              </w:rPr>
            </w:pPr>
          </w:p>
        </w:tc>
        <w:tc>
          <w:tcPr>
            <w:tcW w:w="7560" w:type="dxa"/>
            <w:vAlign w:val="bottom"/>
            <w:tcBorders>
              <w:bottom w:val="single" w:sz="8" w:color="0000EE"/>
            </w:tcBorders>
            <w:gridSpan w:val="21"/>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Consolidated Statements of Comprehensive Income – Three and nine months ended September 30, 2021 and 2020</w:t>
              </w:r>
            </w:hyperlink>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800" w:type="dxa"/>
            <w:vAlign w:val="bottom"/>
            <w:tcBorders>
              <w:bottom w:val="single" w:sz="8" w:color="0000EE"/>
            </w:tcBorders>
            <w:gridSpan w:val="3"/>
          </w:tcPr>
          <w:p>
            <w:pPr>
              <w:spacing w:after="0" w:line="178" w:lineRule="exact"/>
              <w:rPr>
                <w:rFonts w:ascii="Arial" w:cs="Arial" w:eastAsia="Arial" w:hAnsi="Arial"/>
                <w:sz w:val="16"/>
                <w:szCs w:val="16"/>
                <w:color w:val="0000EE"/>
                <w:w w:val="93"/>
              </w:rPr>
            </w:pPr>
            <w:hyperlink w:anchor="page5">
              <w:r>
                <w:rPr>
                  <w:rFonts w:ascii="Arial" w:cs="Arial" w:eastAsia="Arial" w:hAnsi="Arial"/>
                  <w:sz w:val="16"/>
                  <w:szCs w:val="16"/>
                  <w:color w:val="0000EE"/>
                  <w:w w:val="93"/>
                </w:rPr>
                <w:t>(Unaudited)</w:t>
              </w:r>
            </w:hyperlink>
          </w:p>
        </w:tc>
        <w:tc>
          <w:tcPr>
            <w:tcW w:w="6980" w:type="dxa"/>
            <w:vAlign w:val="bottom"/>
            <w:gridSpan w:val="19"/>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76"/>
        </w:trPr>
        <w:tc>
          <w:tcPr>
            <w:tcW w:w="300" w:type="dxa"/>
            <w:vAlign w:val="bottom"/>
          </w:tcPr>
          <w:p>
            <w:pPr>
              <w:spacing w:after="0"/>
              <w:rPr>
                <w:sz w:val="24"/>
                <w:szCs w:val="24"/>
                <w:color w:val="auto"/>
              </w:rPr>
            </w:pPr>
          </w:p>
        </w:tc>
        <w:tc>
          <w:tcPr>
            <w:tcW w:w="7780" w:type="dxa"/>
            <w:vAlign w:val="bottom"/>
            <w:gridSpan w:val="22"/>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Consolidated Statements of Stockholders’ Equity – Three and nine months ended September 30, 2021 and 2020</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80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93"/>
              </w:rPr>
            </w:pPr>
            <w:hyperlink w:anchor="page6">
              <w:r>
                <w:rPr>
                  <w:rFonts w:ascii="Arial" w:cs="Arial" w:eastAsia="Arial" w:hAnsi="Arial"/>
                  <w:sz w:val="16"/>
                  <w:szCs w:val="16"/>
                  <w:color w:val="0000EE"/>
                  <w:w w:val="93"/>
                </w:rPr>
                <w:t>(Unaudited)</w:t>
              </w:r>
            </w:hyperlink>
          </w:p>
        </w:tc>
        <w:tc>
          <w:tcPr>
            <w:tcW w:w="6580" w:type="dxa"/>
            <w:vAlign w:val="bottom"/>
            <w:tcBorders>
              <w:top w:val="single" w:sz="8" w:color="0000EE"/>
            </w:tcBorders>
            <w:gridSpan w:val="16"/>
          </w:tcPr>
          <w:p>
            <w:pPr>
              <w:spacing w:after="0"/>
              <w:rPr>
                <w:sz w:val="15"/>
                <w:szCs w:val="15"/>
                <w:color w:val="auto"/>
              </w:rPr>
            </w:pPr>
          </w:p>
        </w:tc>
        <w:tc>
          <w:tcPr>
            <w:tcW w:w="400" w:type="dxa"/>
            <w:vAlign w:val="bottom"/>
            <w:gridSpan w:val="3"/>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76"/>
        </w:trPr>
        <w:tc>
          <w:tcPr>
            <w:tcW w:w="300" w:type="dxa"/>
            <w:vAlign w:val="bottom"/>
          </w:tcPr>
          <w:p>
            <w:pPr>
              <w:spacing w:after="0"/>
              <w:rPr>
                <w:sz w:val="24"/>
                <w:szCs w:val="24"/>
                <w:color w:val="auto"/>
              </w:rPr>
            </w:pPr>
          </w:p>
        </w:tc>
        <w:tc>
          <w:tcPr>
            <w:tcW w:w="6940" w:type="dxa"/>
            <w:vAlign w:val="bottom"/>
            <w:tcBorders>
              <w:bottom w:val="single" w:sz="8" w:color="0000EE"/>
            </w:tcBorders>
            <w:gridSpan w:val="18"/>
          </w:tcPr>
          <w:p>
            <w:pPr>
              <w:spacing w:after="0"/>
              <w:rPr>
                <w:rFonts w:ascii="Arial" w:cs="Arial" w:eastAsia="Arial" w:hAnsi="Arial"/>
                <w:sz w:val="16"/>
                <w:szCs w:val="16"/>
                <w:color w:val="0000EE"/>
                <w:w w:val="92"/>
              </w:rPr>
            </w:pPr>
            <w:hyperlink w:anchor="page7">
              <w:r>
                <w:rPr>
                  <w:rFonts w:ascii="Arial" w:cs="Arial" w:eastAsia="Arial" w:hAnsi="Arial"/>
                  <w:sz w:val="16"/>
                  <w:szCs w:val="16"/>
                  <w:color w:val="0000EE"/>
                  <w:w w:val="92"/>
                </w:rPr>
                <w:t>Consolidated Statements of Cash Flows – Nine months ended September 30, 2021 and 2020 (Unaudited)</w:t>
              </w:r>
            </w:hyperlink>
          </w:p>
        </w:tc>
        <w:tc>
          <w:tcPr>
            <w:tcW w:w="8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76"/>
        </w:trPr>
        <w:tc>
          <w:tcPr>
            <w:tcW w:w="300" w:type="dxa"/>
            <w:vAlign w:val="bottom"/>
          </w:tcPr>
          <w:p>
            <w:pPr>
              <w:spacing w:after="0"/>
              <w:rPr>
                <w:sz w:val="24"/>
                <w:szCs w:val="24"/>
                <w:color w:val="auto"/>
              </w:rPr>
            </w:pPr>
          </w:p>
        </w:tc>
        <w:tc>
          <w:tcPr>
            <w:tcW w:w="7780" w:type="dxa"/>
            <w:vAlign w:val="bottom"/>
            <w:gridSpan w:val="22"/>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Notes to Consolidated Financial Statements (Unaudited)</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600" w:type="dxa"/>
            <w:vAlign w:val="bottom"/>
            <w:tcBorders>
              <w:bottom w:val="single" w:sz="8" w:color="0000EE"/>
            </w:tcBorders>
            <w:gridSpan w:val="18"/>
          </w:tcPr>
          <w:p>
            <w:pPr>
              <w:spacing w:after="0"/>
              <w:rPr>
                <w:rFonts w:ascii="Arial" w:cs="Arial" w:eastAsia="Arial" w:hAnsi="Arial"/>
                <w:sz w:val="16"/>
                <w:szCs w:val="16"/>
                <w:color w:val="0000EE"/>
                <w:w w:val="95"/>
              </w:rPr>
            </w:pPr>
            <w:hyperlink w:anchor="page29">
              <w:r>
                <w:rPr>
                  <w:rFonts w:ascii="Arial" w:cs="Arial" w:eastAsia="Arial" w:hAnsi="Arial"/>
                  <w:sz w:val="16"/>
                  <w:szCs w:val="16"/>
                  <w:color w:val="0000EE"/>
                  <w:w w:val="95"/>
                </w:rPr>
                <w:t>Item 2.   Management’s Discussion and Analysis of Financial Condition and Results of Operations</w:t>
              </w:r>
            </w:hyperlink>
          </w:p>
        </w:tc>
        <w:tc>
          <w:tcPr>
            <w:tcW w:w="148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76"/>
        </w:trPr>
        <w:tc>
          <w:tcPr>
            <w:tcW w:w="4680" w:type="dxa"/>
            <w:vAlign w:val="bottom"/>
            <w:tcBorders>
              <w:bottom w:val="single" w:sz="8" w:color="0000EE"/>
            </w:tcBorders>
            <w:gridSpan w:val="16"/>
          </w:tcPr>
          <w:p>
            <w:pPr>
              <w:spacing w:after="0"/>
              <w:rPr>
                <w:rFonts w:ascii="Arial" w:cs="Arial" w:eastAsia="Arial" w:hAnsi="Arial"/>
                <w:sz w:val="16"/>
                <w:szCs w:val="16"/>
                <w:color w:val="0000EE"/>
                <w:w w:val="96"/>
              </w:rPr>
            </w:pPr>
            <w:hyperlink w:anchor="page38">
              <w:r>
                <w:rPr>
                  <w:rFonts w:ascii="Arial" w:cs="Arial" w:eastAsia="Arial" w:hAnsi="Arial"/>
                  <w:sz w:val="16"/>
                  <w:szCs w:val="16"/>
                  <w:color w:val="0000EE"/>
                  <w:w w:val="96"/>
                </w:rPr>
                <w:t>Item 3.   Quantitative and Qualitative Disclosures About Market Risk</w:t>
              </w:r>
            </w:hyperlink>
          </w:p>
        </w:tc>
        <w:tc>
          <w:tcPr>
            <w:tcW w:w="340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76"/>
        </w:trPr>
        <w:tc>
          <w:tcPr>
            <w:tcW w:w="2320" w:type="dxa"/>
            <w:vAlign w:val="bottom"/>
            <w:tcBorders>
              <w:bottom w:val="single" w:sz="8" w:color="0000EE"/>
            </w:tcBorders>
            <w:gridSpan w:val="11"/>
          </w:tcPr>
          <w:p>
            <w:pPr>
              <w:spacing w:after="0"/>
              <w:rPr>
                <w:rFonts w:ascii="Arial" w:cs="Arial" w:eastAsia="Arial" w:hAnsi="Arial"/>
                <w:sz w:val="16"/>
                <w:szCs w:val="16"/>
                <w:color w:val="0000EE"/>
                <w:w w:val="96"/>
              </w:rPr>
            </w:pPr>
            <w:hyperlink w:anchor="page38">
              <w:r>
                <w:rPr>
                  <w:rFonts w:ascii="Arial" w:cs="Arial" w:eastAsia="Arial" w:hAnsi="Arial"/>
                  <w:sz w:val="16"/>
                  <w:szCs w:val="16"/>
                  <w:color w:val="0000EE"/>
                  <w:w w:val="96"/>
                </w:rPr>
                <w:t>Item 4.   Controls and Procedures</w:t>
              </w:r>
            </w:hyperlink>
          </w:p>
        </w:tc>
        <w:tc>
          <w:tcPr>
            <w:tcW w:w="576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76"/>
        </w:trPr>
        <w:tc>
          <w:tcPr>
            <w:tcW w:w="8080" w:type="dxa"/>
            <w:vAlign w:val="bottom"/>
            <w:gridSpan w:val="23"/>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PART II—OTHER INFORMATION</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76"/>
        </w:trPr>
        <w:tc>
          <w:tcPr>
            <w:tcW w:w="64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1.</w:t>
              </w:r>
            </w:hyperlink>
          </w:p>
        </w:tc>
        <w:tc>
          <w:tcPr>
            <w:tcW w:w="1260" w:type="dxa"/>
            <w:vAlign w:val="bottom"/>
            <w:tcBorders>
              <w:top w:val="single" w:sz="8" w:color="0000EE"/>
              <w:bottom w:val="single" w:sz="8" w:color="0000EE"/>
            </w:tcBorders>
            <w:gridSpan w:val="6"/>
          </w:tcPr>
          <w:p>
            <w:pPr>
              <w:ind w:left="40"/>
              <w:spacing w:after="0"/>
              <w:rPr>
                <w:rFonts w:ascii="Arial" w:cs="Arial" w:eastAsia="Arial" w:hAnsi="Arial"/>
                <w:sz w:val="16"/>
                <w:szCs w:val="16"/>
                <w:color w:val="0000EE"/>
                <w:w w:val="90"/>
              </w:rPr>
            </w:pPr>
            <w:hyperlink w:anchor="page38">
              <w:r>
                <w:rPr>
                  <w:rFonts w:ascii="Arial" w:cs="Arial" w:eastAsia="Arial" w:hAnsi="Arial"/>
                  <w:sz w:val="16"/>
                  <w:szCs w:val="16"/>
                  <w:color w:val="0000EE"/>
                  <w:w w:val="90"/>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64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76"/>
        </w:trPr>
        <w:tc>
          <w:tcPr>
            <w:tcW w:w="640" w:type="dxa"/>
            <w:vAlign w:val="bottom"/>
            <w:gridSpan w:val="2"/>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1A.</w:t>
              </w:r>
            </w:hyperlink>
          </w:p>
        </w:tc>
        <w:tc>
          <w:tcPr>
            <w:tcW w:w="7440" w:type="dxa"/>
            <w:vAlign w:val="bottom"/>
            <w:gridSpan w:val="21"/>
          </w:tcPr>
          <w:p>
            <w:pPr>
              <w:ind w:left="40"/>
              <w:spacing w:after="0"/>
              <w:rPr>
                <w:rFonts w:ascii="Arial" w:cs="Arial" w:eastAsia="Arial" w:hAnsi="Arial"/>
                <w:sz w:val="16"/>
                <w:szCs w:val="16"/>
                <w:color w:val="0000EE"/>
              </w:rPr>
            </w:pPr>
            <w:hyperlink w:anchor="page38">
              <w:r>
                <w:rPr>
                  <w:rFonts w:ascii="Arial" w:cs="Arial" w:eastAsia="Arial" w:hAnsi="Arial"/>
                  <w:sz w:val="16"/>
                  <w:szCs w:val="16"/>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080" w:type="dxa"/>
            <w:vAlign w:val="bottom"/>
            <w:gridSpan w:val="23"/>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2.   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76"/>
        </w:trPr>
        <w:tc>
          <w:tcPr>
            <w:tcW w:w="4660" w:type="dxa"/>
            <w:vAlign w:val="bottom"/>
            <w:tcBorders>
              <w:top w:val="single" w:sz="8" w:color="0000EE"/>
            </w:tcBorders>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3.   Defaults Upon Senior Securities</w:t>
              </w:r>
            </w:hyperlink>
          </w:p>
        </w:tc>
        <w:tc>
          <w:tcPr>
            <w:tcW w:w="34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76"/>
        </w:trPr>
        <w:tc>
          <w:tcPr>
            <w:tcW w:w="230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7"/>
              </w:rPr>
            </w:pPr>
            <w:hyperlink w:anchor="page41">
              <w:r>
                <w:rPr>
                  <w:rFonts w:ascii="Arial" w:cs="Arial" w:eastAsia="Arial" w:hAnsi="Arial"/>
                  <w:sz w:val="16"/>
                  <w:szCs w:val="16"/>
                  <w:color w:val="0000EE"/>
                  <w:w w:val="97"/>
                </w:rPr>
                <w:t>Item 4.   Mine Safety Disclosures</w:t>
              </w:r>
            </w:hyperlink>
          </w:p>
        </w:tc>
        <w:tc>
          <w:tcPr>
            <w:tcW w:w="500" w:type="dxa"/>
            <w:vAlign w:val="bottom"/>
            <w:tcBorders>
              <w:top w:val="single" w:sz="8" w:color="0000EE"/>
            </w:tcBorders>
            <w:gridSpan w:val="3"/>
          </w:tcPr>
          <w:p>
            <w:pPr>
              <w:spacing w:after="0"/>
              <w:rPr>
                <w:sz w:val="24"/>
                <w:szCs w:val="24"/>
                <w:color w:val="auto"/>
              </w:rPr>
            </w:pPr>
          </w:p>
        </w:tc>
        <w:tc>
          <w:tcPr>
            <w:tcW w:w="528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76"/>
        </w:trPr>
        <w:tc>
          <w:tcPr>
            <w:tcW w:w="640" w:type="dxa"/>
            <w:vAlign w:val="bottom"/>
            <w:gridSpan w:val="2"/>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Item 5.</w:t>
              </w:r>
            </w:hyperlink>
          </w:p>
        </w:tc>
        <w:tc>
          <w:tcPr>
            <w:tcW w:w="7440" w:type="dxa"/>
            <w:vAlign w:val="bottom"/>
            <w:gridSpan w:val="21"/>
          </w:tcPr>
          <w:p>
            <w:pPr>
              <w:ind w:left="40"/>
              <w:spacing w:after="0"/>
              <w:rPr>
                <w:rFonts w:ascii="Arial" w:cs="Arial" w:eastAsia="Arial" w:hAnsi="Arial"/>
                <w:sz w:val="16"/>
                <w:szCs w:val="16"/>
                <w:color w:val="0000EE"/>
              </w:rPr>
            </w:pPr>
            <w:hyperlink w:anchor="page41">
              <w:r>
                <w:rPr>
                  <w:rFonts w:ascii="Arial" w:cs="Arial" w:eastAsia="Arial" w:hAnsi="Arial"/>
                  <w:sz w:val="16"/>
                  <w:szCs w:val="16"/>
                  <w:color w:val="0000EE"/>
                </w:rPr>
                <w:t>Other Information</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76"/>
        </w:trPr>
        <w:tc>
          <w:tcPr>
            <w:tcW w:w="640" w:type="dxa"/>
            <w:vAlign w:val="bottom"/>
            <w:tcBorders>
              <w:top w:val="single" w:sz="8" w:color="0000EE"/>
            </w:tcBorders>
            <w:gridSpan w:val="2"/>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6.</w:t>
              </w:r>
            </w:hyperlink>
          </w:p>
        </w:tc>
        <w:tc>
          <w:tcPr>
            <w:tcW w:w="1240" w:type="dxa"/>
            <w:vAlign w:val="bottom"/>
            <w:tcBorders>
              <w:top w:val="single" w:sz="8" w:color="0000EE"/>
            </w:tcBorders>
            <w:gridSpan w:val="5"/>
          </w:tcPr>
          <w:p>
            <w:pPr>
              <w:ind w:left="40"/>
              <w:spacing w:after="0"/>
              <w:rPr>
                <w:rFonts w:ascii="Arial" w:cs="Arial" w:eastAsia="Arial" w:hAnsi="Arial"/>
                <w:sz w:val="16"/>
                <w:szCs w:val="16"/>
                <w:color w:val="0000EE"/>
              </w:rPr>
            </w:pPr>
            <w:hyperlink w:anchor="page42">
              <w:r>
                <w:rPr>
                  <w:rFonts w:ascii="Arial" w:cs="Arial" w:eastAsia="Arial" w:hAnsi="Arial"/>
                  <w:sz w:val="16"/>
                  <w:szCs w:val="16"/>
                  <w:color w:val="0000EE"/>
                </w:rPr>
                <w:t>Exhibits</w:t>
              </w:r>
            </w:hyperlink>
          </w:p>
        </w:tc>
        <w:tc>
          <w:tcPr>
            <w:tcW w:w="6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76"/>
        </w:trPr>
        <w:tc>
          <w:tcPr>
            <w:tcW w:w="102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SIGNATURES</w:t>
              </w:r>
            </w:hyperlink>
          </w:p>
        </w:tc>
        <w:tc>
          <w:tcPr>
            <w:tcW w:w="200" w:type="dxa"/>
            <w:vAlign w:val="bottom"/>
            <w:tcBorders>
              <w:top w:val="single" w:sz="8" w:color="0000EE"/>
            </w:tcBorders>
            <w:gridSpan w:val="2"/>
          </w:tcPr>
          <w:p>
            <w:pPr>
              <w:spacing w:after="0"/>
              <w:rPr>
                <w:sz w:val="24"/>
                <w:szCs w:val="24"/>
                <w:color w:val="auto"/>
              </w:rPr>
            </w:pPr>
          </w:p>
        </w:tc>
        <w:tc>
          <w:tcPr>
            <w:tcW w:w="686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 w:name="page3"/>
    <w:bookmarkEnd w:id="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I—FINANCIAL INFORMATION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ALPINE INCOME PROPERTY TRUST,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data)</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6"/>
                <w:szCs w:val="16"/>
                <w:b w:val="1"/>
                <w:bCs w:val="1"/>
                <w:color w:val="auto"/>
              </w:rPr>
              <w:t>As of</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94"/>
              </w:rPr>
              <w:t>(Unaudited)</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September 30,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191"/>
        </w:trPr>
        <w:tc>
          <w:tcPr>
            <w:tcW w:w="5860" w:type="dxa"/>
            <w:vAlign w:val="bottom"/>
            <w:tcBorders>
              <w:top w:val="single" w:sz="8" w:color="CCEEFF"/>
            </w:tcBorders>
            <w:shd w:val="clear" w:color="auto" w:fill="CCEEFF"/>
          </w:tcPr>
          <w:p>
            <w:pPr>
              <w:ind w:left="26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20"/>
                <w:szCs w:val="20"/>
                <w:color w:val="auto"/>
              </w:rPr>
            </w:pPr>
            <w:r>
              <w:rPr>
                <w:rFonts w:ascii="Arial" w:cs="Arial" w:eastAsia="Arial" w:hAnsi="Arial"/>
                <w:sz w:val="16"/>
                <w:szCs w:val="16"/>
                <w:color w:val="auto"/>
              </w:rPr>
              <w:t>Real Estate: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 at cost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133,329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83,210</w:t>
            </w:r>
          </w:p>
        </w:tc>
        <w:tc>
          <w:tcPr>
            <w:tcW w:w="0" w:type="dxa"/>
            <w:vAlign w:val="bottom"/>
          </w:tcPr>
          <w:p>
            <w:pPr>
              <w:spacing w:after="0"/>
              <w:rPr>
                <w:sz w:val="1"/>
                <w:szCs w:val="1"/>
                <w:color w:val="auto"/>
              </w:rPr>
            </w:pPr>
          </w:p>
        </w:tc>
      </w:tr>
      <w:tr>
        <w:trPr>
          <w:trHeight w:val="198"/>
        </w:trPr>
        <w:tc>
          <w:tcPr>
            <w:tcW w:w="58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Building and Improvements, at cost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231,328</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142,679</w:t>
            </w: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Real Estate, at cost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364,657</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225,889</w:t>
            </w:r>
          </w:p>
        </w:tc>
        <w:tc>
          <w:tcPr>
            <w:tcW w:w="0" w:type="dxa"/>
            <w:vAlign w:val="bottom"/>
          </w:tcPr>
          <w:p>
            <w:pPr>
              <w:spacing w:after="0"/>
              <w:rPr>
                <w:sz w:val="1"/>
                <w:szCs w:val="1"/>
                <w:color w:val="auto"/>
              </w:rPr>
            </w:pPr>
          </w:p>
        </w:tc>
      </w:tr>
      <w:tr>
        <w:trPr>
          <w:trHeight w:val="198"/>
        </w:trPr>
        <w:tc>
          <w:tcPr>
            <w:tcW w:w="5860" w:type="dxa"/>
            <w:vAlign w:val="bottom"/>
          </w:tcPr>
          <w:p>
            <w:pPr>
              <w:ind w:left="10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(13,249)</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(6,550)</w:t>
            </w:r>
          </w:p>
        </w:tc>
        <w:tc>
          <w:tcPr>
            <w:tcW w:w="0" w:type="dxa"/>
            <w:vAlign w:val="bottom"/>
          </w:tcPr>
          <w:p>
            <w:pPr>
              <w:spacing w:after="0"/>
              <w:rPr>
                <w:sz w:val="1"/>
                <w:szCs w:val="1"/>
                <w:color w:val="auto"/>
              </w:rPr>
            </w:pPr>
          </w:p>
        </w:tc>
      </w:tr>
      <w:tr>
        <w:trPr>
          <w:trHeight w:val="190"/>
        </w:trPr>
        <w:tc>
          <w:tcPr>
            <w:tcW w:w="58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Real Estate—Net</w:t>
            </w: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351,408</w:t>
            </w: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219,339</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6,706</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20"/>
                <w:szCs w:val="20"/>
                <w:color w:val="auto"/>
              </w:rPr>
            </w:pPr>
            <w:r>
              <w:rPr>
                <w:rFonts w:ascii="Arial" w:cs="Arial" w:eastAsia="Arial" w:hAnsi="Arial"/>
                <w:sz w:val="16"/>
                <w:szCs w:val="16"/>
                <w:color w:val="auto"/>
              </w:rPr>
              <w:t>Intangible Lease Assets—Net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52,685</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36,881</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Straight-Line Rent Adjustment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198"/>
        </w:trPr>
        <w:tc>
          <w:tcPr>
            <w:tcW w:w="5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416,321</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262,240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8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100"/>
              <w:spacing w:after="0"/>
              <w:rPr>
                <w:sz w:val="20"/>
                <w:szCs w:val="20"/>
                <w:color w:val="auto"/>
              </w:rPr>
            </w:pPr>
            <w:r>
              <w:rPr>
                <w:rFonts w:ascii="Arial" w:cs="Arial" w:eastAsia="Arial" w:hAnsi="Arial"/>
                <w:sz w:val="16"/>
                <w:szCs w:val="16"/>
                <w:color w:val="auto"/>
              </w:rPr>
              <w:t>Accounts Payable, Accrued Expenses, and Other Liabilities</w:t>
            </w: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2,393</w:t>
            </w:r>
          </w:p>
        </w:tc>
        <w:tc>
          <w:tcPr>
            <w:tcW w:w="160" w:type="dxa"/>
            <w:vAlign w:val="bottom"/>
          </w:tcPr>
          <w:p>
            <w:pPr>
              <w:spacing w:after="0"/>
              <w:rPr>
                <w:sz w:val="17"/>
                <w:szCs w:val="17"/>
                <w:color w:val="auto"/>
              </w:rPr>
            </w:pPr>
          </w:p>
        </w:tc>
        <w:tc>
          <w:tcPr>
            <w:tcW w:w="500" w:type="dxa"/>
            <w:vAlign w:val="bottom"/>
          </w:tcPr>
          <w:p>
            <w:pPr>
              <w:jc w:val="right"/>
              <w:ind w:right="34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Rent and Deferred Revenue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8"/>
        </w:trPr>
        <w:tc>
          <w:tcPr>
            <w:tcW w:w="5860" w:type="dxa"/>
            <w:vAlign w:val="bottom"/>
          </w:tcPr>
          <w:p>
            <w:pPr>
              <w:ind w:left="100"/>
              <w:spacing w:after="0"/>
              <w:rPr>
                <w:sz w:val="20"/>
                <w:szCs w:val="20"/>
                <w:color w:val="auto"/>
              </w:rPr>
            </w:pPr>
            <w:r>
              <w:rPr>
                <w:rFonts w:ascii="Arial" w:cs="Arial" w:eastAsia="Arial" w:hAnsi="Arial"/>
                <w:sz w:val="16"/>
                <w:szCs w:val="16"/>
                <w:color w:val="auto"/>
              </w:rPr>
              <w:t>Intangible Lease Liabilities—Net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4,998</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190,195</w:t>
            </w:r>
          </w:p>
        </w:tc>
        <w:tc>
          <w:tcPr>
            <w:tcW w:w="1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106,809</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198,920</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113,147</w:t>
            </w:r>
          </w:p>
        </w:tc>
        <w:tc>
          <w:tcPr>
            <w:tcW w:w="0" w:type="dxa"/>
            <w:vAlign w:val="bottom"/>
          </w:tcPr>
          <w:p>
            <w:pPr>
              <w:spacing w:after="0"/>
              <w:rPr>
                <w:sz w:val="1"/>
                <w:szCs w:val="1"/>
                <w:color w:val="auto"/>
              </w:rPr>
            </w:pPr>
          </w:p>
        </w:tc>
      </w:tr>
      <w:tr>
        <w:trPr>
          <w:trHeight w:val="190"/>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Contingencies—See Note 15</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Preferred Stock, $0.01 par value per share, 100 million shares authorized, no shares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issued and outstanding as of September 30, 2021 and December 31, 2020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860" w:type="dxa"/>
            <w:vAlign w:val="bottom"/>
          </w:tcPr>
          <w:p>
            <w:pPr>
              <w:ind w:left="100"/>
              <w:spacing w:after="0"/>
              <w:rPr>
                <w:sz w:val="20"/>
                <w:szCs w:val="20"/>
                <w:color w:val="auto"/>
              </w:rPr>
            </w:pPr>
            <w:r>
              <w:rPr>
                <w:rFonts w:ascii="Arial" w:cs="Arial" w:eastAsia="Arial" w:hAnsi="Arial"/>
                <w:sz w:val="16"/>
                <w:szCs w:val="16"/>
                <w:color w:val="auto"/>
                <w:w w:val="94"/>
              </w:rPr>
              <w:t>Common Stock, $0.01 par value per share, 500 million shares authorized, 11,299,548</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60" w:type="dxa"/>
            <w:vAlign w:val="bottom"/>
          </w:tcPr>
          <w:p>
            <w:pPr>
              <w:ind w:left="100"/>
              <w:spacing w:after="0"/>
              <w:rPr>
                <w:sz w:val="20"/>
                <w:szCs w:val="20"/>
                <w:color w:val="auto"/>
              </w:rPr>
            </w:pPr>
            <w:r>
              <w:rPr>
                <w:rFonts w:ascii="Arial" w:cs="Arial" w:eastAsia="Arial" w:hAnsi="Arial"/>
                <w:sz w:val="16"/>
                <w:szCs w:val="16"/>
                <w:color w:val="auto"/>
                <w:w w:val="93"/>
              </w:rPr>
              <w:t>shares issued and outstanding as of September 30, 2021 and 7,458,755 shares issued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100"/>
              <w:spacing w:after="0"/>
              <w:rPr>
                <w:sz w:val="20"/>
                <w:szCs w:val="20"/>
                <w:color w:val="auto"/>
              </w:rPr>
            </w:pPr>
            <w:r>
              <w:rPr>
                <w:rFonts w:ascii="Arial" w:cs="Arial" w:eastAsia="Arial" w:hAnsi="Arial"/>
                <w:sz w:val="16"/>
                <w:szCs w:val="16"/>
                <w:color w:val="auto"/>
              </w:rPr>
              <w:t>and outstanding as of December 31, 2020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198,019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132,878</w:t>
            </w:r>
          </w:p>
        </w:tc>
        <w:tc>
          <w:tcPr>
            <w:tcW w:w="0" w:type="dxa"/>
            <w:vAlign w:val="bottom"/>
          </w:tcPr>
          <w:p>
            <w:pPr>
              <w:spacing w:after="0"/>
              <w:rPr>
                <w:sz w:val="1"/>
                <w:szCs w:val="1"/>
                <w:color w:val="auto"/>
              </w:rPr>
            </w:pPr>
          </w:p>
        </w:tc>
      </w:tr>
      <w:tr>
        <w:trPr>
          <w:trHeight w:val="198"/>
        </w:trPr>
        <w:tc>
          <w:tcPr>
            <w:tcW w:w="5860" w:type="dxa"/>
            <w:vAlign w:val="bottom"/>
          </w:tcPr>
          <w:p>
            <w:pPr>
              <w:ind w:left="100"/>
              <w:spacing w:after="0"/>
              <w:rPr>
                <w:sz w:val="20"/>
                <w:szCs w:val="20"/>
                <w:color w:val="auto"/>
              </w:rPr>
            </w:pPr>
            <w:r>
              <w:rPr>
                <w:rFonts w:ascii="Arial" w:cs="Arial" w:eastAsia="Arial" w:hAnsi="Arial"/>
                <w:sz w:val="16"/>
                <w:szCs w:val="16"/>
                <w:color w:val="auto"/>
              </w:rPr>
              <w:t>Dividends in Excess of Net Income</w:t>
            </w:r>
          </w:p>
        </w:tc>
        <w:tc>
          <w:tcPr>
            <w:tcW w:w="2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(11,652)</w:t>
            </w: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(5,713)</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90"/>
        </w:trPr>
        <w:tc>
          <w:tcPr>
            <w:tcW w:w="5860" w:type="dxa"/>
            <w:vAlign w:val="bottom"/>
          </w:tcPr>
          <w:p>
            <w:pPr>
              <w:ind w:left="30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186,808</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126,759</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30,593</w:t>
            </w:r>
          </w:p>
        </w:tc>
        <w:tc>
          <w:tcPr>
            <w:tcW w:w="1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22,334</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217,401</w:t>
            </w:r>
          </w:p>
        </w:tc>
        <w:tc>
          <w:tcPr>
            <w:tcW w:w="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149,093</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416,321</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262,240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 w:name="page4"/>
    <w:bookmarkEnd w:id="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ALPINE INCOME PROPERTY TRUST,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CONSOLIDATED STATEMENTS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in thousands, except share, per share and dividend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right"/>
              <w:ind w:right="20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8"/>
              <w:spacing w:after="0" w:line="175" w:lineRule="exact"/>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20,658</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Expenses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100"/>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Disposition of Assets</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Arial" w:cs="Arial" w:eastAsia="Arial" w:hAnsi="Arial"/>
                <w:sz w:val="16"/>
                <w:szCs w:val="16"/>
                <w:color w:val="auto"/>
              </w:rPr>
              <w:t>Net Income from Operations</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Net Income Attributable to Noncontrolling</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780" w:type="dxa"/>
            <w:vAlign w:val="bottom"/>
          </w:tcPr>
          <w:p>
            <w:pPr>
              <w:spacing w:after="0" w:line="165" w:lineRule="exact"/>
              <w:rPr>
                <w:sz w:val="20"/>
                <w:szCs w:val="20"/>
                <w:color w:val="auto"/>
              </w:rPr>
            </w:pPr>
            <w:r>
              <w:rPr>
                <w:rFonts w:ascii="Arial" w:cs="Arial" w:eastAsia="Arial" w:hAnsi="Arial"/>
                <w:sz w:val="16"/>
                <w:szCs w:val="16"/>
                <w:color w:val="auto"/>
              </w:rPr>
              <w:t>Net Income Attributable to Alpine Income Property</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4"/>
                <w:szCs w:val="14"/>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1,662</w:t>
            </w:r>
          </w:p>
        </w:tc>
        <w:tc>
          <w:tcPr>
            <w:tcW w:w="140" w:type="dxa"/>
            <w:vAlign w:val="bottom"/>
          </w:tcPr>
          <w:p>
            <w:pPr>
              <w:spacing w:after="0"/>
              <w:rPr>
                <w:sz w:val="14"/>
                <w:szCs w:val="14"/>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Trust, Inc.</w:t>
            </w:r>
          </w:p>
        </w:tc>
        <w:tc>
          <w:tcPr>
            <w:tcW w:w="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20"/>
                <w:szCs w:val="20"/>
                <w:color w:val="auto"/>
              </w:rPr>
            </w:pPr>
            <w:r>
              <w:rPr>
                <w:rFonts w:ascii="Arial" w:cs="Arial" w:eastAsia="Arial" w:hAnsi="Arial"/>
                <w:sz w:val="16"/>
                <w:szCs w:val="16"/>
                <w:b w:val="1"/>
                <w:bCs w:val="1"/>
                <w:color w:val="auto"/>
              </w:rPr>
              <w:t>Per Common Share Data:</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Alpine Income Property</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Trust, Inc.</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20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0.18</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20"/>
                <w:szCs w:val="20"/>
                <w:color w:val="auto"/>
              </w:rPr>
            </w:pPr>
            <w:r>
              <w:rPr>
                <w:rFonts w:ascii="Arial" w:cs="Arial" w:eastAsia="Arial" w:hAnsi="Arial"/>
                <w:sz w:val="16"/>
                <w:szCs w:val="16"/>
                <w:color w:val="auto"/>
              </w:rPr>
              <w:t>Weighted Average Number of Common Shares:</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11,299,548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7,455,281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9,253,090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7,632,660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12,996,503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8,679,135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10,637,934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8,856,514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Dividends Declared and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0.255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0.745</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 w:name="page5"/>
    <w:bookmarkEnd w:id="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500" w:right="2100"/>
        <w:spacing w:after="0" w:line="274" w:lineRule="auto"/>
        <w:rPr>
          <w:sz w:val="20"/>
          <w:szCs w:val="20"/>
          <w:color w:val="auto"/>
        </w:rPr>
      </w:pPr>
      <w:r>
        <w:rPr>
          <w:rFonts w:ascii="Arial" w:cs="Arial" w:eastAsia="Arial" w:hAnsi="Arial"/>
          <w:sz w:val="16"/>
          <w:szCs w:val="16"/>
          <w:color w:val="auto"/>
        </w:rPr>
        <w:t>ALPINE INCOME PROPERTY TRUST, INC. CONSOLIDATED STATEMENTS OF COMPREHENSIVE INCOME (Unaudited, in thousands)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r>
      <w:tr>
        <w:trPr>
          <w:trHeight w:val="160"/>
        </w:trPr>
        <w:tc>
          <w:tcPr>
            <w:tcW w:w="3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60" w:lineRule="exact"/>
              <w:rPr>
                <w:sz w:val="20"/>
                <w:szCs w:val="20"/>
                <w:color w:val="auto"/>
              </w:rPr>
            </w:pPr>
            <w:r>
              <w:rPr>
                <w:rFonts w:ascii="Arial" w:cs="Arial" w:eastAsia="Arial" w:hAnsi="Arial"/>
                <w:sz w:val="16"/>
                <w:szCs w:val="16"/>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2"/>
              <w:spacing w:after="0" w:line="160" w:lineRule="exact"/>
              <w:rPr>
                <w:sz w:val="20"/>
                <w:szCs w:val="20"/>
                <w:color w:val="auto"/>
              </w:rPr>
            </w:pPr>
            <w:r>
              <w:rPr>
                <w:rFonts w:ascii="Arial" w:cs="Arial" w:eastAsia="Arial" w:hAnsi="Arial"/>
                <w:sz w:val="16"/>
                <w:szCs w:val="16"/>
                <w:b w:val="1"/>
                <w:bCs w:val="1"/>
                <w:color w:val="auto"/>
                <w:w w:val="85"/>
              </w:rPr>
              <w:t>September 30,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60" w:lineRule="exact"/>
              <w:rPr>
                <w:sz w:val="20"/>
                <w:szCs w:val="20"/>
                <w:color w:val="auto"/>
              </w:rPr>
            </w:pPr>
            <w:r>
              <w:rPr>
                <w:rFonts w:ascii="Arial" w:cs="Arial" w:eastAsia="Arial" w:hAnsi="Arial"/>
                <w:sz w:val="16"/>
                <w:szCs w:val="16"/>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2"/>
              <w:spacing w:after="0" w:line="160" w:lineRule="exact"/>
              <w:rPr>
                <w:sz w:val="20"/>
                <w:szCs w:val="20"/>
                <w:color w:val="auto"/>
              </w:rPr>
            </w:pPr>
            <w:r>
              <w:rPr>
                <w:rFonts w:ascii="Arial" w:cs="Arial" w:eastAsia="Arial" w:hAnsi="Arial"/>
                <w:sz w:val="16"/>
                <w:szCs w:val="16"/>
                <w:b w:val="1"/>
                <w:bCs w:val="1"/>
                <w:color w:val="auto"/>
                <w:w w:val="85"/>
              </w:rPr>
              <w:t>September 30,</w:t>
            </w:r>
          </w:p>
        </w:tc>
        <w:tc>
          <w:tcPr>
            <w:tcW w:w="20" w:type="dxa"/>
            <w:vAlign w:val="bottom"/>
          </w:tcPr>
          <w:p>
            <w:pPr>
              <w:spacing w:after="0"/>
              <w:rPr>
                <w:sz w:val="13"/>
                <w:szCs w:val="13"/>
                <w:color w:val="auto"/>
              </w:rPr>
            </w:pPr>
          </w:p>
        </w:tc>
      </w:tr>
      <w:tr>
        <w:trPr>
          <w:trHeight w:val="205"/>
        </w:trPr>
        <w:tc>
          <w:tcPr>
            <w:tcW w:w="3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50"/>
        </w:trPr>
        <w:tc>
          <w:tcPr>
            <w:tcW w:w="3760" w:type="dxa"/>
            <w:vAlign w:val="bottom"/>
            <w:shd w:val="clear" w:color="auto" w:fill="CCEEFF"/>
          </w:tcPr>
          <w:p>
            <w:pPr>
              <w:spacing w:after="0" w:line="150" w:lineRule="exact"/>
              <w:rPr>
                <w:sz w:val="20"/>
                <w:szCs w:val="20"/>
                <w:color w:val="auto"/>
              </w:rPr>
            </w:pPr>
            <w:r>
              <w:rPr>
                <w:rFonts w:ascii="Arial" w:cs="Arial" w:eastAsia="Arial" w:hAnsi="Arial"/>
                <w:sz w:val="16"/>
                <w:szCs w:val="16"/>
                <w:color w:val="auto"/>
                <w:w w:val="93"/>
              </w:rPr>
              <w:t>Net Income Attributable to Alpine Income Property Trust,</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17"/>
                <w:szCs w:val="17"/>
                <w:color w:val="auto"/>
              </w:rPr>
            </w:pPr>
          </w:p>
        </w:tc>
      </w:tr>
      <w:tr>
        <w:trPr>
          <w:trHeight w:val="178"/>
        </w:trPr>
        <w:tc>
          <w:tcPr>
            <w:tcW w:w="3760" w:type="dxa"/>
            <w:vAlign w:val="bottom"/>
          </w:tcPr>
          <w:p>
            <w:pPr>
              <w:spacing w:after="0" w:line="178" w:lineRule="exact"/>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Cash Flow Hedging Derivative - Interest Rate Swaps</w:t>
            </w: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20" w:type="dxa"/>
            <w:vAlign w:val="bottom"/>
          </w:tcPr>
          <w:p>
            <w:pPr>
              <w:spacing w:after="0"/>
              <w:rPr>
                <w:sz w:val="16"/>
                <w:szCs w:val="16"/>
                <w:color w:val="auto"/>
              </w:rPr>
            </w:pPr>
          </w:p>
        </w:tc>
      </w:tr>
      <w:tr>
        <w:trPr>
          <w:trHeight w:val="178"/>
        </w:trPr>
        <w:tc>
          <w:tcPr>
            <w:tcW w:w="376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Total Other Comprehensive Income (Loss)</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148</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809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(619)</w:t>
            </w:r>
          </w:p>
        </w:tc>
        <w:tc>
          <w:tcPr>
            <w:tcW w:w="20" w:type="dxa"/>
            <w:vAlign w:val="bottom"/>
          </w:tcPr>
          <w:p>
            <w:pPr>
              <w:spacing w:after="0"/>
              <w:rPr>
                <w:sz w:val="15"/>
                <w:szCs w:val="15"/>
                <w:color w:val="auto"/>
              </w:rPr>
            </w:pPr>
          </w:p>
        </w:tc>
      </w:tr>
      <w:tr>
        <w:trPr>
          <w:trHeight w:val="178"/>
        </w:trPr>
        <w:tc>
          <w:tcPr>
            <w:tcW w:w="376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1,066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2,471</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180</w:t>
            </w:r>
          </w:p>
        </w:tc>
        <w:tc>
          <w:tcPr>
            <w:tcW w:w="20" w:type="dxa"/>
            <w:vAlign w:val="bottom"/>
          </w:tcPr>
          <w:p>
            <w:pPr>
              <w:spacing w:after="0"/>
              <w:rPr>
                <w:sz w:val="15"/>
                <w:szCs w:val="15"/>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5" w:name="page6"/>
    <w:bookmarkEnd w:id="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 w:right="59"/>
        <w:spacing w:after="0" w:line="274" w:lineRule="auto"/>
        <w:rPr>
          <w:sz w:val="20"/>
          <w:szCs w:val="20"/>
          <w:color w:val="auto"/>
        </w:rPr>
      </w:pPr>
      <w:r>
        <w:rPr>
          <w:rFonts w:ascii="Arial" w:cs="Arial" w:eastAsia="Arial" w:hAnsi="Arial"/>
          <w:sz w:val="16"/>
          <w:szCs w:val="16"/>
          <w:color w:val="auto"/>
        </w:rPr>
        <w:t>ALPINE INCOME PROPERTY TRUST, INC. CONSOLIDATED STATEMENTS OF STOCKHOLDERS’ EQUITY (Unaudited, in thousands, except per share data)</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three months ended September 30, 2021:</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6"/>
              </w:rPr>
              <w:t>Dividends in</w:t>
            </w:r>
          </w:p>
        </w:tc>
        <w:tc>
          <w:tcPr>
            <w:tcW w:w="60" w:type="dxa"/>
            <w:vAlign w:val="bottom"/>
          </w:tcPr>
          <w:p>
            <w:pPr>
              <w:spacing w:after="0"/>
              <w:rPr>
                <w:sz w:val="10"/>
                <w:szCs w:val="10"/>
                <w:color w:val="auto"/>
              </w:rPr>
            </w:pPr>
          </w:p>
        </w:tc>
        <w:tc>
          <w:tcPr>
            <w:tcW w:w="90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7"/>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88"/>
              </w:rPr>
              <w:t>Common</w:t>
            </w:r>
          </w:p>
        </w:tc>
        <w:tc>
          <w:tcPr>
            <w:tcW w:w="98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Additional Paid-</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3"/>
              </w:rPr>
              <w:t>Excess of Net</w:t>
            </w:r>
          </w:p>
        </w:tc>
        <w:tc>
          <w:tcPr>
            <w:tcW w:w="96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86"/>
              </w:rPr>
              <w:t>Stockholders'</w:t>
            </w:r>
          </w:p>
        </w:tc>
        <w:tc>
          <w:tcPr>
            <w:tcW w:w="960" w:type="dxa"/>
            <w:vAlign w:val="bottom"/>
            <w:gridSpan w:val="3"/>
          </w:tcPr>
          <w:p>
            <w:pPr>
              <w:jc w:val="center"/>
              <w:ind w:right="140"/>
              <w:spacing w:after="0" w:line="124" w:lineRule="exact"/>
              <w:rPr>
                <w:sz w:val="20"/>
                <w:szCs w:val="20"/>
                <w:color w:val="auto"/>
              </w:rPr>
            </w:pPr>
            <w:r>
              <w:rPr>
                <w:rFonts w:ascii="Arial" w:cs="Arial" w:eastAsia="Arial" w:hAnsi="Arial"/>
                <w:sz w:val="12"/>
                <w:szCs w:val="12"/>
                <w:b w:val="1"/>
                <w:bCs w:val="1"/>
                <w:color w:val="auto"/>
                <w:w w:val="86"/>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0"/>
        </w:trPr>
        <w:tc>
          <w:tcPr>
            <w:tcW w:w="242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Stock at Par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 Capital</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Income</w:t>
            </w: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Income (Loss)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Interest</w:t>
            </w:r>
          </w:p>
        </w:tc>
        <w:tc>
          <w:tcPr>
            <w:tcW w:w="8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w w:val="90"/>
              </w:rPr>
              <w:t>Total Equity</w:t>
            </w:r>
          </w:p>
        </w:tc>
      </w:tr>
      <w:tr>
        <w:trPr>
          <w:trHeight w:val="116"/>
        </w:trPr>
        <w:tc>
          <w:tcPr>
            <w:tcW w:w="2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Balance July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113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197,978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(9,689)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180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188,582</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29,858</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218,440</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Net Income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918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918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138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1,056</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Stock Issuance to Directors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79</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w w:val="99"/>
              </w:rPr>
              <w:t>Stock Issuance, Net of Equity Issuance Costs</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(38)</w:t>
            </w: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(38)</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(38)</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Units Issued</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1,031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1,031</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Cash Dividend ($0.255 per share)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(2,881)</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(2,881)</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(434)</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(3,315)</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Other Comprehensive Income</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148</w:t>
            </w:r>
          </w:p>
        </w:tc>
      </w:tr>
      <w:tr>
        <w:trPr>
          <w:trHeight w:val="116"/>
        </w:trPr>
        <w:tc>
          <w:tcPr>
            <w:tcW w:w="2420" w:type="dxa"/>
            <w:vAlign w:val="bottom"/>
          </w:tcPr>
          <w:p>
            <w:pPr>
              <w:spacing w:after="0" w:line="116" w:lineRule="exact"/>
              <w:rPr>
                <w:sz w:val="20"/>
                <w:szCs w:val="20"/>
                <w:color w:val="auto"/>
              </w:rPr>
            </w:pPr>
            <w:r>
              <w:rPr>
                <w:rFonts w:ascii="Arial" w:cs="Arial" w:eastAsia="Arial" w:hAnsi="Arial"/>
                <w:sz w:val="12"/>
                <w:szCs w:val="12"/>
                <w:color w:val="auto"/>
              </w:rPr>
              <w:t>Balance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113</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198,019</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(11,652)</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328</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186,808</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30,593</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217,401</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three months ended September 30, 2020:</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6"/>
              </w:rPr>
              <w:t>Dividends in</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88"/>
              </w:rPr>
              <w:t>Common</w:t>
            </w:r>
          </w:p>
        </w:tc>
        <w:tc>
          <w:tcPr>
            <w:tcW w:w="98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Additional Paid-</w:t>
            </w: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3"/>
              </w:rPr>
              <w:t>Excess of Net</w:t>
            </w:r>
          </w:p>
        </w:tc>
        <w:tc>
          <w:tcPr>
            <w:tcW w:w="940" w:type="dxa"/>
            <w:vAlign w:val="bottom"/>
            <w:gridSpan w:val="3"/>
          </w:tcPr>
          <w:p>
            <w:pPr>
              <w:jc w:val="center"/>
              <w:ind w:right="60"/>
              <w:spacing w:after="0" w:line="124" w:lineRule="exact"/>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86"/>
              </w:rPr>
              <w:t>Stockholders'</w:t>
            </w:r>
          </w:p>
        </w:tc>
        <w:tc>
          <w:tcPr>
            <w:tcW w:w="960" w:type="dxa"/>
            <w:vAlign w:val="bottom"/>
            <w:gridSpan w:val="3"/>
          </w:tcPr>
          <w:p>
            <w:pPr>
              <w:jc w:val="center"/>
              <w:ind w:right="140"/>
              <w:spacing w:after="0" w:line="124" w:lineRule="exact"/>
              <w:rPr>
                <w:sz w:val="20"/>
                <w:szCs w:val="20"/>
                <w:color w:val="auto"/>
              </w:rPr>
            </w:pPr>
            <w:r>
              <w:rPr>
                <w:rFonts w:ascii="Arial" w:cs="Arial" w:eastAsia="Arial" w:hAnsi="Arial"/>
                <w:sz w:val="12"/>
                <w:szCs w:val="12"/>
                <w:b w:val="1"/>
                <w:bCs w:val="1"/>
                <w:color w:val="auto"/>
                <w:w w:val="86"/>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0"/>
        </w:trPr>
        <w:tc>
          <w:tcPr>
            <w:tcW w:w="242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Stock at Par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 Capital</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Income</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Income (Loss)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Interest</w:t>
            </w:r>
          </w:p>
        </w:tc>
        <w:tc>
          <w:tcPr>
            <w:tcW w:w="8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w w:val="90"/>
              </w:rPr>
              <w:t>Total Equity</w:t>
            </w:r>
          </w:p>
        </w:tc>
      </w:tr>
      <w:tr>
        <w:trPr>
          <w:trHeight w:val="116"/>
        </w:trPr>
        <w:tc>
          <w:tcPr>
            <w:tcW w:w="2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Balance July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79</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133,038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(3,313)</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40"/>
              <w:spacing w:after="0" w:line="116" w:lineRule="exact"/>
              <w:rPr>
                <w:sz w:val="20"/>
                <w:szCs w:val="20"/>
                <w:color w:val="auto"/>
              </w:rPr>
            </w:pPr>
            <w:r>
              <w:rPr>
                <w:rFonts w:ascii="Arial" w:cs="Arial" w:eastAsia="Arial" w:hAnsi="Arial"/>
                <w:sz w:val="12"/>
                <w:szCs w:val="12"/>
                <w:color w:val="auto"/>
                <w:w w:val="78"/>
              </w:rPr>
              <w:t>(647)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129,157</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22,727</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151,884</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Net Income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546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546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90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636</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Stock Issuance to Directors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68</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Cash Dividend ($0.20 per share)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(1,492)</w:t>
            </w:r>
          </w:p>
        </w:tc>
        <w:tc>
          <w:tcPr>
            <w:tcW w:w="80" w:type="dxa"/>
            <w:vAlign w:val="bottom"/>
          </w:tcPr>
          <w:p>
            <w:pPr>
              <w:spacing w:after="0"/>
              <w:rPr>
                <w:sz w:val="10"/>
                <w:szCs w:val="10"/>
                <w:color w:val="auto"/>
              </w:rPr>
            </w:pPr>
          </w:p>
        </w:tc>
        <w:tc>
          <w:tcPr>
            <w:tcW w:w="860" w:type="dxa"/>
            <w:vAlign w:val="bottom"/>
            <w:gridSpan w:val="2"/>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(1,492)</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(244)</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(1,736)</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Other Comprehensive Income</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ind w:left="620"/>
              <w:spacing w:after="0" w:line="124" w:lineRule="exact"/>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28</w:t>
            </w:r>
          </w:p>
        </w:tc>
      </w:tr>
      <w:tr>
        <w:trPr>
          <w:trHeight w:val="116"/>
        </w:trPr>
        <w:tc>
          <w:tcPr>
            <w:tcW w:w="2420" w:type="dxa"/>
            <w:vAlign w:val="bottom"/>
          </w:tcPr>
          <w:p>
            <w:pPr>
              <w:spacing w:after="0" w:line="116" w:lineRule="exact"/>
              <w:rPr>
                <w:sz w:val="20"/>
                <w:szCs w:val="20"/>
                <w:color w:val="auto"/>
              </w:rPr>
            </w:pPr>
            <w:r>
              <w:rPr>
                <w:rFonts w:ascii="Arial" w:cs="Arial" w:eastAsia="Arial" w:hAnsi="Arial"/>
                <w:sz w:val="12"/>
                <w:szCs w:val="12"/>
                <w:color w:val="auto"/>
              </w:rPr>
              <w:t>Balance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79</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133,106</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(4,259)</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ind w:left="540"/>
              <w:spacing w:after="0" w:line="116" w:lineRule="exact"/>
              <w:rPr>
                <w:sz w:val="20"/>
                <w:szCs w:val="20"/>
                <w:color w:val="auto"/>
              </w:rPr>
            </w:pPr>
            <w:r>
              <w:rPr>
                <w:rFonts w:ascii="Arial" w:cs="Arial" w:eastAsia="Arial" w:hAnsi="Arial"/>
                <w:sz w:val="12"/>
                <w:szCs w:val="12"/>
                <w:color w:val="auto"/>
                <w:w w:val="78"/>
              </w:rPr>
              <w:t>(619)</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128,307</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22,573</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150,880</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nine months ended September 30, 2021:</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4"/>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6"/>
              </w:rPr>
              <w:t>Dividends in</w:t>
            </w:r>
          </w:p>
        </w:tc>
        <w:tc>
          <w:tcPr>
            <w:tcW w:w="60" w:type="dxa"/>
            <w:vAlign w:val="bottom"/>
          </w:tcPr>
          <w:p>
            <w:pPr>
              <w:spacing w:after="0"/>
              <w:rPr>
                <w:sz w:val="10"/>
                <w:szCs w:val="10"/>
                <w:color w:val="auto"/>
              </w:rPr>
            </w:pPr>
          </w:p>
        </w:tc>
        <w:tc>
          <w:tcPr>
            <w:tcW w:w="90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7"/>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88"/>
              </w:rPr>
              <w:t>Common</w:t>
            </w:r>
          </w:p>
        </w:tc>
        <w:tc>
          <w:tcPr>
            <w:tcW w:w="98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Additional Paid-</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3"/>
              </w:rPr>
              <w:t>Excess of Net</w:t>
            </w:r>
          </w:p>
        </w:tc>
        <w:tc>
          <w:tcPr>
            <w:tcW w:w="96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86"/>
              </w:rPr>
              <w:t>Stockholders'</w:t>
            </w:r>
          </w:p>
        </w:tc>
        <w:tc>
          <w:tcPr>
            <w:tcW w:w="960" w:type="dxa"/>
            <w:vAlign w:val="bottom"/>
            <w:gridSpan w:val="3"/>
          </w:tcPr>
          <w:p>
            <w:pPr>
              <w:jc w:val="center"/>
              <w:ind w:right="140"/>
              <w:spacing w:after="0" w:line="124" w:lineRule="exact"/>
              <w:rPr>
                <w:sz w:val="20"/>
                <w:szCs w:val="20"/>
                <w:color w:val="auto"/>
              </w:rPr>
            </w:pPr>
            <w:r>
              <w:rPr>
                <w:rFonts w:ascii="Arial" w:cs="Arial" w:eastAsia="Arial" w:hAnsi="Arial"/>
                <w:sz w:val="12"/>
                <w:szCs w:val="12"/>
                <w:b w:val="1"/>
                <w:bCs w:val="1"/>
                <w:color w:val="auto"/>
                <w:w w:val="86"/>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0"/>
        </w:trPr>
        <w:tc>
          <w:tcPr>
            <w:tcW w:w="242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Stock at Par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 Capital</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Income</w:t>
            </w:r>
          </w:p>
        </w:tc>
        <w:tc>
          <w:tcPr>
            <w:tcW w:w="6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3"/>
              </w:rPr>
              <w:t>Income (Loss)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Interest</w:t>
            </w:r>
          </w:p>
        </w:tc>
        <w:tc>
          <w:tcPr>
            <w:tcW w:w="8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w w:val="90"/>
              </w:rPr>
              <w:t>Total Equity</w:t>
            </w:r>
          </w:p>
        </w:tc>
      </w:tr>
      <w:tr>
        <w:trPr>
          <w:trHeight w:val="116"/>
        </w:trPr>
        <w:tc>
          <w:tcPr>
            <w:tcW w:w="2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Balance January 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75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132,878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(5,713)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(481)</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126,759</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22,334</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149,093</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Net Income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1,662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1,662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251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1,913</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Stock Issuance to Directors</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218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218</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218</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w w:val="99"/>
              </w:rPr>
              <w:t>Stock Issuance, Net of Equity Issuance Costs</w:t>
            </w:r>
          </w:p>
        </w:tc>
        <w:tc>
          <w:tcPr>
            <w:tcW w:w="1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2"/>
                <w:szCs w:val="12"/>
                <w:color w:val="auto"/>
              </w:rPr>
              <w:t>38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2"/>
                <w:szCs w:val="12"/>
                <w:color w:val="auto"/>
              </w:rPr>
              <w:t>64,923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64,961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64,961</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Units Issued</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9,041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9,041</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Cash Dividend ($0.745 per share)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(7,601)</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(7,601)</w:t>
            </w:r>
          </w:p>
        </w:tc>
        <w:tc>
          <w:tcPr>
            <w:tcW w:w="140" w:type="dxa"/>
            <w:vAlign w:val="bottom"/>
          </w:tcPr>
          <w:p>
            <w:pPr>
              <w:spacing w:after="0"/>
              <w:rPr>
                <w:sz w:val="10"/>
                <w:szCs w:val="10"/>
                <w:color w:val="auto"/>
              </w:rPr>
            </w:pPr>
          </w:p>
        </w:tc>
        <w:tc>
          <w:tcPr>
            <w:tcW w:w="82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(1,033)</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(8,634)</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Other Comprehensive Income</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809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809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809</w:t>
            </w:r>
          </w:p>
        </w:tc>
      </w:tr>
      <w:tr>
        <w:trPr>
          <w:trHeight w:val="116"/>
        </w:trPr>
        <w:tc>
          <w:tcPr>
            <w:tcW w:w="2420" w:type="dxa"/>
            <w:vAlign w:val="bottom"/>
          </w:tcPr>
          <w:p>
            <w:pPr>
              <w:spacing w:after="0" w:line="116" w:lineRule="exact"/>
              <w:rPr>
                <w:sz w:val="20"/>
                <w:szCs w:val="20"/>
                <w:color w:val="auto"/>
              </w:rPr>
            </w:pPr>
            <w:r>
              <w:rPr>
                <w:rFonts w:ascii="Arial" w:cs="Arial" w:eastAsia="Arial" w:hAnsi="Arial"/>
                <w:sz w:val="12"/>
                <w:szCs w:val="12"/>
                <w:color w:val="auto"/>
              </w:rPr>
              <w:t>Balance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113</w:t>
            </w: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198,019</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(11,652)</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328</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186,808</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30,593</w:t>
            </w: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2"/>
              <w:spacing w:after="0" w:line="116" w:lineRule="exact"/>
              <w:rPr>
                <w:sz w:val="20"/>
                <w:szCs w:val="20"/>
                <w:color w:val="auto"/>
              </w:rPr>
            </w:pPr>
            <w:r>
              <w:rPr>
                <w:rFonts w:ascii="Arial" w:cs="Arial" w:eastAsia="Arial" w:hAnsi="Arial"/>
                <w:sz w:val="12"/>
                <w:szCs w:val="12"/>
                <w:color w:val="auto"/>
              </w:rPr>
              <w:t>217,401</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nine months ended September 30, 2020:</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6"/>
              </w:rPr>
              <w:t>Dividends in</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4"/>
        </w:trPr>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88"/>
              </w:rPr>
              <w:t>Common</w:t>
            </w:r>
          </w:p>
        </w:tc>
        <w:tc>
          <w:tcPr>
            <w:tcW w:w="98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Additional Paid-</w:t>
            </w:r>
          </w:p>
        </w:tc>
        <w:tc>
          <w:tcPr>
            <w:tcW w:w="80" w:type="dxa"/>
            <w:vAlign w:val="bottom"/>
          </w:tcPr>
          <w:p>
            <w:pPr>
              <w:spacing w:after="0"/>
              <w:rPr>
                <w:sz w:val="10"/>
                <w:szCs w:val="10"/>
                <w:color w:val="auto"/>
              </w:rPr>
            </w:pPr>
          </w:p>
        </w:tc>
        <w:tc>
          <w:tcPr>
            <w:tcW w:w="88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3"/>
              </w:rPr>
              <w:t>Excess of Net</w:t>
            </w:r>
          </w:p>
        </w:tc>
        <w:tc>
          <w:tcPr>
            <w:tcW w:w="940" w:type="dxa"/>
            <w:vAlign w:val="bottom"/>
            <w:gridSpan w:val="3"/>
          </w:tcPr>
          <w:p>
            <w:pPr>
              <w:jc w:val="center"/>
              <w:ind w:right="60"/>
              <w:spacing w:after="0" w:line="124" w:lineRule="exact"/>
              <w:rPr>
                <w:sz w:val="20"/>
                <w:szCs w:val="20"/>
                <w:color w:val="auto"/>
              </w:rPr>
            </w:pPr>
            <w:r>
              <w:rPr>
                <w:rFonts w:ascii="Arial" w:cs="Arial" w:eastAsia="Arial" w:hAnsi="Arial"/>
                <w:sz w:val="12"/>
                <w:szCs w:val="12"/>
                <w:b w:val="1"/>
                <w:bCs w:val="1"/>
                <w:color w:val="auto"/>
                <w:w w:val="84"/>
              </w:rPr>
              <w:t>Comprehensive</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4" w:lineRule="exact"/>
              <w:rPr>
                <w:sz w:val="20"/>
                <w:szCs w:val="20"/>
                <w:color w:val="auto"/>
              </w:rPr>
            </w:pPr>
            <w:r>
              <w:rPr>
                <w:rFonts w:ascii="Arial" w:cs="Arial" w:eastAsia="Arial" w:hAnsi="Arial"/>
                <w:sz w:val="12"/>
                <w:szCs w:val="12"/>
                <w:b w:val="1"/>
                <w:bCs w:val="1"/>
                <w:color w:val="auto"/>
                <w:w w:val="86"/>
              </w:rPr>
              <w:t>Stockholders'</w:t>
            </w:r>
          </w:p>
        </w:tc>
        <w:tc>
          <w:tcPr>
            <w:tcW w:w="960" w:type="dxa"/>
            <w:vAlign w:val="bottom"/>
            <w:gridSpan w:val="3"/>
          </w:tcPr>
          <w:p>
            <w:pPr>
              <w:jc w:val="center"/>
              <w:ind w:right="140"/>
              <w:spacing w:after="0" w:line="124" w:lineRule="exact"/>
              <w:rPr>
                <w:sz w:val="20"/>
                <w:szCs w:val="20"/>
                <w:color w:val="auto"/>
              </w:rPr>
            </w:pPr>
            <w:r>
              <w:rPr>
                <w:rFonts w:ascii="Arial" w:cs="Arial" w:eastAsia="Arial" w:hAnsi="Arial"/>
                <w:sz w:val="12"/>
                <w:szCs w:val="12"/>
                <w:b w:val="1"/>
                <w:bCs w:val="1"/>
                <w:color w:val="auto"/>
                <w:w w:val="86"/>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0"/>
        </w:trPr>
        <w:tc>
          <w:tcPr>
            <w:tcW w:w="2420" w:type="dxa"/>
            <w:vAlign w:val="bottom"/>
          </w:tcPr>
          <w:p>
            <w:pPr>
              <w:spacing w:after="0"/>
              <w:rPr>
                <w:sz w:val="12"/>
                <w:szCs w:val="12"/>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6"/>
              </w:rPr>
              <w:t>Stock at Par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 Capital</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Income</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Income (Loss)</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7"/>
              </w:rPr>
              <w:t>Equity</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Interest</w:t>
            </w:r>
          </w:p>
        </w:tc>
        <w:tc>
          <w:tcPr>
            <w:tcW w:w="8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w w:val="90"/>
              </w:rPr>
              <w:t>Total Equity</w:t>
            </w:r>
          </w:p>
        </w:tc>
      </w:tr>
      <w:tr>
        <w:trPr>
          <w:trHeight w:val="116"/>
        </w:trPr>
        <w:tc>
          <w:tcPr>
            <w:tcW w:w="2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79</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137,948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(498)</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20"/>
              <w:spacing w:after="0" w:line="116"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137,529</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23,176</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160,705</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Net Income</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799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799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131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930</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Stock Repurchase</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(5,013)</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(5,013)</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(5,013)</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Stock Issuance to Directors</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2"/>
                <w:szCs w:val="12"/>
                <w:color w:val="auto"/>
              </w:rPr>
              <w:t>171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60" w:type="dxa"/>
            <w:vAlign w:val="bottom"/>
            <w:gridSpan w:val="2"/>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0" w:type="dxa"/>
            <w:vAlign w:val="bottom"/>
          </w:tcPr>
          <w:p>
            <w:pPr>
              <w:jc w:val="right"/>
              <w:ind w:right="2"/>
              <w:spacing w:after="0" w:line="124" w:lineRule="exact"/>
              <w:rPr>
                <w:sz w:val="20"/>
                <w:szCs w:val="20"/>
                <w:color w:val="auto"/>
              </w:rPr>
            </w:pPr>
            <w:r>
              <w:rPr>
                <w:rFonts w:ascii="Arial" w:cs="Arial" w:eastAsia="Arial" w:hAnsi="Arial"/>
                <w:sz w:val="12"/>
                <w:szCs w:val="12"/>
                <w:color w:val="auto"/>
              </w:rPr>
              <w:t>171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ind w:right="2"/>
              <w:spacing w:after="0" w:line="124" w:lineRule="exact"/>
              <w:rPr>
                <w:sz w:val="20"/>
                <w:szCs w:val="20"/>
                <w:color w:val="auto"/>
              </w:rPr>
            </w:pPr>
            <w:r>
              <w:rPr>
                <w:rFonts w:ascii="Arial" w:cs="Arial" w:eastAsia="Arial" w:hAnsi="Arial"/>
                <w:sz w:val="12"/>
                <w:szCs w:val="12"/>
                <w:color w:val="auto"/>
              </w:rPr>
              <w:t>171</w:t>
            </w:r>
          </w:p>
        </w:tc>
      </w:tr>
      <w:tr>
        <w:trPr>
          <w:trHeight w:val="124"/>
        </w:trPr>
        <w:tc>
          <w:tcPr>
            <w:tcW w:w="24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Cash Dividend ($0.60 per share)</w:t>
            </w: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(4,560)</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ind w:left="620"/>
              <w:spacing w:after="0" w:line="124"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(4,560)</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(734)</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(5,294)</w:t>
            </w:r>
          </w:p>
        </w:tc>
      </w:tr>
      <w:tr>
        <w:trPr>
          <w:trHeight w:val="124"/>
        </w:trPr>
        <w:tc>
          <w:tcPr>
            <w:tcW w:w="2420" w:type="dxa"/>
            <w:vAlign w:val="bottom"/>
          </w:tcPr>
          <w:p>
            <w:pPr>
              <w:spacing w:after="0" w:line="124" w:lineRule="exact"/>
              <w:rPr>
                <w:sz w:val="20"/>
                <w:szCs w:val="20"/>
                <w:color w:val="auto"/>
              </w:rPr>
            </w:pPr>
            <w:r>
              <w:rPr>
                <w:rFonts w:ascii="Arial" w:cs="Arial" w:eastAsia="Arial" w:hAnsi="Arial"/>
                <w:sz w:val="12"/>
                <w:szCs w:val="12"/>
                <w:color w:val="auto"/>
              </w:rPr>
              <w:t>Other Comprehensive Loss</w:t>
            </w:r>
          </w:p>
        </w:tc>
        <w:tc>
          <w:tcPr>
            <w:tcW w:w="10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60" w:type="dxa"/>
            <w:vAlign w:val="bottom"/>
            <w:gridSpan w:val="2"/>
          </w:tcPr>
          <w:p>
            <w:pPr>
              <w:ind w:left="540"/>
              <w:spacing w:after="0" w:line="124" w:lineRule="exact"/>
              <w:rPr>
                <w:sz w:val="20"/>
                <w:szCs w:val="20"/>
                <w:color w:val="auto"/>
              </w:rPr>
            </w:pPr>
            <w:r>
              <w:rPr>
                <w:rFonts w:ascii="Arial" w:cs="Arial" w:eastAsia="Arial" w:hAnsi="Arial"/>
                <w:sz w:val="12"/>
                <w:szCs w:val="12"/>
                <w:color w:val="auto"/>
              </w:rPr>
              <w:t>(619)</w:t>
            </w:r>
          </w:p>
        </w:tc>
        <w:tc>
          <w:tcPr>
            <w:tcW w:w="80" w:type="dxa"/>
            <w:vAlign w:val="bottom"/>
          </w:tcPr>
          <w:p>
            <w:pPr>
              <w:spacing w:after="0"/>
              <w:rPr>
                <w:sz w:val="10"/>
                <w:szCs w:val="10"/>
                <w:color w:val="auto"/>
              </w:rPr>
            </w:pPr>
          </w:p>
        </w:tc>
        <w:tc>
          <w:tcPr>
            <w:tcW w:w="92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(619)</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2"/>
                <w:szCs w:val="12"/>
                <w:color w:val="auto"/>
              </w:rPr>
              <w:t>(619)</w:t>
            </w:r>
          </w:p>
        </w:tc>
      </w:tr>
      <w:tr>
        <w:trPr>
          <w:trHeight w:val="116"/>
        </w:trPr>
        <w:tc>
          <w:tcPr>
            <w:tcW w:w="242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Balance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79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133,106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(4,259)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ind w:left="540"/>
              <w:spacing w:after="0" w:line="116" w:lineRule="exact"/>
              <w:rPr>
                <w:sz w:val="20"/>
                <w:szCs w:val="20"/>
                <w:color w:val="auto"/>
              </w:rPr>
            </w:pPr>
            <w:r>
              <w:rPr>
                <w:rFonts w:ascii="Arial" w:cs="Arial" w:eastAsia="Arial" w:hAnsi="Arial"/>
                <w:sz w:val="12"/>
                <w:szCs w:val="12"/>
                <w:color w:val="auto"/>
                <w:w w:val="78"/>
              </w:rPr>
              <w:t>(619)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128,307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22,573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2"/>
              <w:spacing w:after="0" w:line="116" w:lineRule="exact"/>
              <w:rPr>
                <w:sz w:val="20"/>
                <w:szCs w:val="20"/>
                <w:color w:val="auto"/>
              </w:rPr>
            </w:pPr>
            <w:r>
              <w:rPr>
                <w:rFonts w:ascii="Arial" w:cs="Arial" w:eastAsia="Arial" w:hAnsi="Arial"/>
                <w:sz w:val="12"/>
                <w:szCs w:val="12"/>
                <w:color w:val="auto"/>
              </w:rPr>
              <w:t>150,880</w:t>
            </w: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6" w:name="page7"/>
    <w:bookmarkEnd w:id="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ALPINE INCOME PROPERTY TRUST,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5"/>
          </w:tcPr>
          <w:p>
            <w:pPr>
              <w:ind w:left="880"/>
              <w:spacing w:after="0"/>
              <w:rPr>
                <w:sz w:val="20"/>
                <w:szCs w:val="20"/>
                <w:color w:val="auto"/>
              </w:rPr>
            </w:pPr>
            <w:r>
              <w:rPr>
                <w:rFonts w:ascii="Arial" w:cs="Arial" w:eastAsia="Arial" w:hAnsi="Arial"/>
                <w:sz w:val="14"/>
                <w:szCs w:val="14"/>
                <w:b w:val="1"/>
                <w:bCs w:val="1"/>
                <w:color w:val="auto"/>
              </w:rPr>
              <w:t>Nine Months Ended</w:t>
            </w:r>
          </w:p>
        </w:tc>
      </w:tr>
      <w:tr>
        <w:trPr>
          <w:trHeight w:val="141"/>
        </w:trPr>
        <w:tc>
          <w:tcPr>
            <w:tcW w:w="3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10"/>
              <w:spacing w:after="0" w:line="141" w:lineRule="exact"/>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2"/>
                <w:szCs w:val="12"/>
                <w:color w:val="auto"/>
              </w:rPr>
            </w:pPr>
          </w:p>
        </w:tc>
      </w:tr>
      <w:tr>
        <w:trPr>
          <w:trHeight w:val="141"/>
        </w:trPr>
        <w:tc>
          <w:tcPr>
            <w:tcW w:w="570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Flow from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1,913</w:t>
            </w:r>
          </w:p>
        </w:tc>
        <w:tc>
          <w:tcPr>
            <w:tcW w:w="14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930</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10,914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7,003</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Lease Assets and Liabilities to Lease Income</w:t>
            </w: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Disposition of Assets</w:t>
            </w: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Non-Cash Compensation</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Assets: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Straight-Line Rent Adjustment</w:t>
            </w:r>
          </w:p>
        </w:tc>
        <w:tc>
          <w:tcPr>
            <w:tcW w:w="140" w:type="dxa"/>
            <w:vAlign w:val="bottom"/>
          </w:tcPr>
          <w:p>
            <w:pPr>
              <w:spacing w:after="0"/>
              <w:rPr>
                <w:sz w:val="12"/>
                <w:szCs w:val="12"/>
                <w:color w:val="auto"/>
              </w:rPr>
            </w:pPr>
          </w:p>
        </w:tc>
        <w:tc>
          <w:tcPr>
            <w:tcW w:w="1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(393)</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COVID-19 Rent Repayments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2"/>
                <w:szCs w:val="12"/>
                <w:color w:val="auto"/>
              </w:rPr>
            </w:pPr>
          </w:p>
        </w:tc>
        <w:tc>
          <w:tcPr>
            <w:tcW w:w="1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Increase (Decrease) in Liabilities: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774</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Rent and Deferred Revenue</w:t>
            </w: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20" w:type="dxa"/>
            <w:vAlign w:val="bottom"/>
          </w:tcPr>
          <w:p>
            <w:pPr>
              <w:spacing w:after="0"/>
              <w:rPr>
                <w:sz w:val="12"/>
                <w:szCs w:val="12"/>
                <w:color w:val="auto"/>
              </w:rPr>
            </w:pPr>
          </w:p>
        </w:tc>
      </w:tr>
      <w:tr>
        <w:trPr>
          <w:trHeight w:val="141"/>
        </w:trPr>
        <w:tc>
          <w:tcPr>
            <w:tcW w:w="5700" w:type="dxa"/>
            <w:vAlign w:val="bottom"/>
            <w:tcBorders>
              <w:bottom w:val="single" w:sz="8" w:color="CCEEFF"/>
            </w:tcBorders>
            <w:gridSpan w:val="2"/>
          </w:tcPr>
          <w:p>
            <w:pPr>
              <w:ind w:left="300"/>
              <w:spacing w:after="0" w:line="141"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13,090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7,356</w:t>
            </w:r>
          </w:p>
        </w:tc>
        <w:tc>
          <w:tcPr>
            <w:tcW w:w="2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Flow from Investing Activities: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Acquisition of Real Estate, Including Capitalized Expenditures</w:t>
            </w:r>
          </w:p>
        </w:tc>
        <w:tc>
          <w:tcPr>
            <w:tcW w:w="140" w:type="dxa"/>
            <w:vAlign w:val="bottom"/>
          </w:tcPr>
          <w:p>
            <w:pPr>
              <w:spacing w:after="0"/>
              <w:rPr>
                <w:sz w:val="12"/>
                <w:szCs w:val="12"/>
                <w:color w:val="auto"/>
              </w:rPr>
            </w:pPr>
          </w:p>
        </w:tc>
        <w:tc>
          <w:tcPr>
            <w:tcW w:w="1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(120,961)</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(100,736)</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Disposition of Assets</w:t>
            </w: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3,653</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4,933</w:t>
            </w:r>
          </w:p>
        </w:tc>
        <w:tc>
          <w:tcPr>
            <w:tcW w:w="20" w:type="dxa"/>
            <w:vAlign w:val="bottom"/>
          </w:tcPr>
          <w:p>
            <w:pPr>
              <w:spacing w:after="0"/>
              <w:rPr>
                <w:sz w:val="12"/>
                <w:szCs w:val="12"/>
                <w:color w:val="auto"/>
              </w:rPr>
            </w:pPr>
          </w:p>
        </w:tc>
      </w:tr>
      <w:tr>
        <w:trPr>
          <w:trHeight w:val="141"/>
        </w:trPr>
        <w:tc>
          <w:tcPr>
            <w:tcW w:w="5700" w:type="dxa"/>
            <w:vAlign w:val="bottom"/>
            <w:tcBorders>
              <w:bottom w:val="single" w:sz="8" w:color="CCEEFF"/>
            </w:tcBorders>
            <w:gridSpan w:val="2"/>
          </w:tcPr>
          <w:p>
            <w:pPr>
              <w:ind w:left="300"/>
              <w:spacing w:after="0" w:line="141"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(117,308)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(95,803)</w:t>
            </w:r>
          </w:p>
        </w:tc>
        <w:tc>
          <w:tcPr>
            <w:tcW w:w="2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Flow from Financing Activities: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Proceeds from Long-Term Debt</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217,121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95,000</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on Long-Term Debt</w:t>
            </w: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(162,431)</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(6,692)</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Paid for Loan Fees</w:t>
            </w:r>
          </w:p>
        </w:tc>
        <w:tc>
          <w:tcPr>
            <w:tcW w:w="140" w:type="dxa"/>
            <w:vAlign w:val="bottom"/>
          </w:tcPr>
          <w:p>
            <w:pPr>
              <w:spacing w:after="0"/>
              <w:rPr>
                <w:sz w:val="12"/>
                <w:szCs w:val="12"/>
                <w:color w:val="auto"/>
              </w:rPr>
            </w:pPr>
          </w:p>
        </w:tc>
        <w:tc>
          <w:tcPr>
            <w:tcW w:w="1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(1,387)</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Common Stock</w:t>
            </w: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(5,013)</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Proceeds From Stock Issuance, net</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64,961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(8,634)</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(5,294)</w:t>
            </w:r>
          </w:p>
        </w:tc>
        <w:tc>
          <w:tcPr>
            <w:tcW w:w="20" w:type="dxa"/>
            <w:vAlign w:val="bottom"/>
          </w:tcPr>
          <w:p>
            <w:pPr>
              <w:spacing w:after="0"/>
              <w:rPr>
                <w:sz w:val="12"/>
                <w:szCs w:val="12"/>
                <w:color w:val="auto"/>
              </w:rPr>
            </w:pPr>
          </w:p>
        </w:tc>
      </w:tr>
      <w:tr>
        <w:trPr>
          <w:trHeight w:val="141"/>
        </w:trPr>
        <w:tc>
          <w:tcPr>
            <w:tcW w:w="5700" w:type="dxa"/>
            <w:vAlign w:val="bottom"/>
            <w:tcBorders>
              <w:bottom w:val="single" w:sz="8" w:color="CCEEFF"/>
            </w:tcBorders>
            <w:gridSpan w:val="2"/>
          </w:tcPr>
          <w:p>
            <w:pPr>
              <w:ind w:left="300"/>
              <w:spacing w:after="0" w:line="141"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109,630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77,991</w:t>
            </w:r>
          </w:p>
        </w:tc>
        <w:tc>
          <w:tcPr>
            <w:tcW w:w="2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5,412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(10,456)</w:t>
            </w:r>
          </w:p>
        </w:tc>
        <w:tc>
          <w:tcPr>
            <w:tcW w:w="20" w:type="dxa"/>
            <w:vAlign w:val="bottom"/>
          </w:tcPr>
          <w:p>
            <w:pPr>
              <w:spacing w:after="0"/>
              <w:rPr>
                <w:sz w:val="12"/>
                <w:szCs w:val="12"/>
                <w:color w:val="auto"/>
              </w:rPr>
            </w:pPr>
          </w:p>
        </w:tc>
      </w:tr>
      <w:tr>
        <w:trPr>
          <w:trHeight w:val="149"/>
        </w:trPr>
        <w:tc>
          <w:tcPr>
            <w:tcW w:w="57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12,342</w:t>
            </w:r>
          </w:p>
        </w:tc>
        <w:tc>
          <w:tcPr>
            <w:tcW w:w="20" w:type="dxa"/>
            <w:vAlign w:val="bottom"/>
          </w:tcPr>
          <w:p>
            <w:pPr>
              <w:spacing w:after="0"/>
              <w:rPr>
                <w:sz w:val="12"/>
                <w:szCs w:val="12"/>
                <w:color w:val="auto"/>
              </w:rPr>
            </w:pPr>
          </w:p>
        </w:tc>
      </w:tr>
      <w:tr>
        <w:trPr>
          <w:trHeight w:val="141"/>
        </w:trPr>
        <w:tc>
          <w:tcPr>
            <w:tcW w:w="570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Cash and Cash Equivalents, End of Period</w:t>
            </w:r>
          </w:p>
        </w:tc>
        <w:tc>
          <w:tcPr>
            <w:tcW w:w="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7,306</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1,886</w:t>
            </w:r>
          </w:p>
        </w:tc>
        <w:tc>
          <w:tcPr>
            <w:tcW w:w="20" w:type="dxa"/>
            <w:vAlign w:val="bottom"/>
          </w:tcPr>
          <w:p>
            <w:pPr>
              <w:spacing w:after="0"/>
              <w:rPr>
                <w:sz w:val="12"/>
                <w:szCs w:val="12"/>
                <w:color w:val="auto"/>
              </w:rPr>
            </w:pPr>
          </w:p>
        </w:tc>
      </w:tr>
      <w:tr>
        <w:trPr>
          <w:trHeight w:val="20"/>
        </w:trPr>
        <w:tc>
          <w:tcPr>
            <w:tcW w:w="3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6"/>
        </w:trPr>
        <w:tc>
          <w:tcPr>
            <w:tcW w:w="3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6"/>
        </w:trPr>
        <w:tc>
          <w:tcPr>
            <w:tcW w:w="57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Reconciliation of Cash to the Consolidated Balance Sheets:</w:t>
            </w: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34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Cash and Cash Equivalents</w:t>
            </w:r>
          </w:p>
        </w:tc>
        <w:tc>
          <w:tcPr>
            <w:tcW w:w="23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CCEEFF"/>
            </w:tcBorders>
          </w:tcPr>
          <w:p>
            <w:pPr>
              <w:jc w:val="right"/>
              <w:spacing w:after="0" w:line="141" w:lineRule="exact"/>
              <w:rPr>
                <w:sz w:val="20"/>
                <w:szCs w:val="20"/>
                <w:color w:val="auto"/>
              </w:rPr>
            </w:pPr>
            <w:r>
              <w:rPr>
                <w:rFonts w:ascii="Arial" w:cs="Arial" w:eastAsia="Arial" w:hAnsi="Arial"/>
                <w:sz w:val="14"/>
                <w:szCs w:val="14"/>
                <w:color w:val="auto"/>
              </w:rPr>
              <w:t>6,706</w:t>
            </w: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CCEEFF"/>
            </w:tcBorders>
          </w:tcPr>
          <w:p>
            <w:pPr>
              <w:jc w:val="right"/>
              <w:spacing w:after="0" w:line="141" w:lineRule="exact"/>
              <w:rPr>
                <w:sz w:val="20"/>
                <w:szCs w:val="20"/>
                <w:color w:val="auto"/>
              </w:rPr>
            </w:pPr>
            <w:r>
              <w:rPr>
                <w:rFonts w:ascii="Arial" w:cs="Arial" w:eastAsia="Arial" w:hAnsi="Arial"/>
                <w:sz w:val="14"/>
                <w:szCs w:val="14"/>
                <w:color w:val="auto"/>
              </w:rPr>
              <w:t>1,886</w:t>
            </w:r>
          </w:p>
        </w:tc>
        <w:tc>
          <w:tcPr>
            <w:tcW w:w="20" w:type="dxa"/>
            <w:vAlign w:val="bottom"/>
          </w:tcPr>
          <w:p>
            <w:pPr>
              <w:spacing w:after="0"/>
              <w:rPr>
                <w:sz w:val="12"/>
                <w:szCs w:val="12"/>
                <w:color w:val="auto"/>
              </w:rPr>
            </w:pPr>
          </w:p>
        </w:tc>
      </w:tr>
      <w:tr>
        <w:trPr>
          <w:trHeight w:val="149"/>
        </w:trPr>
        <w:tc>
          <w:tcPr>
            <w:tcW w:w="5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1"/>
        </w:trPr>
        <w:tc>
          <w:tcPr>
            <w:tcW w:w="5700" w:type="dxa"/>
            <w:vAlign w:val="bottom"/>
            <w:gridSpan w:val="2"/>
          </w:tcPr>
          <w:p>
            <w:pPr>
              <w:spacing w:after="0" w:line="141" w:lineRule="exact"/>
              <w:rPr>
                <w:sz w:val="20"/>
                <w:szCs w:val="20"/>
                <w:color w:val="auto"/>
              </w:rPr>
            </w:pPr>
            <w:r>
              <w:rPr>
                <w:rFonts w:ascii="Arial" w:cs="Arial" w:eastAsia="Arial" w:hAnsi="Arial"/>
                <w:sz w:val="14"/>
                <w:szCs w:val="14"/>
                <w:color w:val="auto"/>
              </w:rPr>
              <w:t>Total Cash</w:t>
            </w: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7,306</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1,886</w:t>
            </w:r>
          </w:p>
        </w:tc>
        <w:tc>
          <w:tcPr>
            <w:tcW w:w="20" w:type="dxa"/>
            <w:vAlign w:val="bottom"/>
          </w:tcPr>
          <w:p>
            <w:pPr>
              <w:spacing w:after="0"/>
              <w:rPr>
                <w:sz w:val="12"/>
                <w:szCs w:val="12"/>
                <w:color w:val="auto"/>
              </w:rPr>
            </w:pPr>
          </w:p>
        </w:tc>
      </w:tr>
      <w:tr>
        <w:trPr>
          <w:trHeight w:val="20"/>
        </w:trPr>
        <w:tc>
          <w:tcPr>
            <w:tcW w:w="3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7" w:name="page8"/>
    <w:bookmarkEnd w:id="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ALPINE INCOME PROPERTY TRUST, INC.</w:t>
      </w:r>
    </w:p>
    <w:p>
      <w:pPr>
        <w:spacing w:after="0" w:line="25"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CONSOLIDATED STATEMENTS OF CASH FLOWS (Continued)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r>
      <w:tr>
        <w:trPr>
          <w:trHeight w:val="141"/>
        </w:trPr>
        <w:tc>
          <w:tcPr>
            <w:tcW w:w="5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110"/>
              <w:spacing w:after="0" w:line="141" w:lineRule="exact"/>
              <w:rPr>
                <w:sz w:val="20"/>
                <w:szCs w:val="20"/>
                <w:color w:val="auto"/>
              </w:rPr>
            </w:pPr>
            <w:r>
              <w:rPr>
                <w:rFonts w:ascii="Arial" w:cs="Arial" w:eastAsia="Arial" w:hAnsi="Arial"/>
                <w:sz w:val="14"/>
                <w:szCs w:val="14"/>
                <w:b w:val="1"/>
                <w:bCs w:val="1"/>
                <w:color w:val="auto"/>
                <w:w w:val="90"/>
              </w:rPr>
              <w:t>September 30, 2020</w:t>
            </w:r>
          </w:p>
        </w:tc>
        <w:tc>
          <w:tcPr>
            <w:tcW w:w="20" w:type="dxa"/>
            <w:vAlign w:val="bottom"/>
          </w:tcPr>
          <w:p>
            <w:pPr>
              <w:spacing w:after="0"/>
              <w:rPr>
                <w:sz w:val="12"/>
                <w:szCs w:val="12"/>
                <w:color w:val="auto"/>
              </w:rPr>
            </w:pPr>
          </w:p>
        </w:tc>
      </w:tr>
      <w:tr>
        <w:trPr>
          <w:trHeight w:val="141"/>
        </w:trPr>
        <w:tc>
          <w:tcPr>
            <w:tcW w:w="57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Supplemental Disclosure of Cash Flow Information:</w:t>
            </w:r>
          </w:p>
        </w:tc>
        <w:tc>
          <w:tcPr>
            <w:tcW w:w="1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809</w:t>
            </w:r>
          </w:p>
        </w:tc>
        <w:tc>
          <w:tcPr>
            <w:tcW w:w="20" w:type="dxa"/>
            <w:vAlign w:val="bottom"/>
          </w:tcPr>
          <w:p>
            <w:pPr>
              <w:spacing w:after="0"/>
              <w:rPr>
                <w:sz w:val="12"/>
                <w:szCs w:val="12"/>
                <w:color w:val="auto"/>
              </w:rPr>
            </w:pPr>
          </w:p>
        </w:tc>
      </w:tr>
      <w:tr>
        <w:trPr>
          <w:trHeight w:val="149"/>
        </w:trPr>
        <w:tc>
          <w:tcPr>
            <w:tcW w:w="5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Gain (Loss) on Cash Flow Hedge</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0" w:type="dxa"/>
            <w:vAlign w:val="bottom"/>
          </w:tcPr>
          <w:p>
            <w:pPr>
              <w:spacing w:after="0"/>
              <w:rPr>
                <w:sz w:val="12"/>
                <w:szCs w:val="12"/>
                <w:color w:val="auto"/>
              </w:rPr>
            </w:pPr>
          </w:p>
        </w:tc>
      </w:tr>
      <w:tr>
        <w:trPr>
          <w:trHeight w:val="149"/>
        </w:trPr>
        <w:tc>
          <w:tcPr>
            <w:tcW w:w="5700" w:type="dxa"/>
            <w:vAlign w:val="bottom"/>
          </w:tcPr>
          <w:p>
            <w:pPr>
              <w:ind w:left="100"/>
              <w:spacing w:after="0" w:line="149" w:lineRule="exact"/>
              <w:rPr>
                <w:sz w:val="20"/>
                <w:szCs w:val="20"/>
                <w:color w:val="auto"/>
              </w:rPr>
            </w:pPr>
            <w:r>
              <w:rPr>
                <w:rFonts w:ascii="Arial" w:cs="Arial" w:eastAsia="Arial" w:hAnsi="Arial"/>
                <w:sz w:val="14"/>
                <w:szCs w:val="14"/>
                <w:color w:val="auto"/>
              </w:rPr>
              <w:t>Operating Units Issued in Exchange for Real Estate</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9,041</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Assumption of Mortgage Note Payable</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8" w:name="page9"/>
    <w:bookmarkEnd w:id="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 BUSINESS AND ORGANIZATION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BUSINESS</w:t>
      </w:r>
    </w:p>
    <w:p>
      <w:pPr>
        <w:spacing w:after="0" w:line="21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2"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Our portfolio consists of 89 net leased retail and office properties located in 62 markets in 28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65" w:lineRule="exact"/>
        <w:rPr>
          <w:sz w:val="20"/>
          <w:szCs w:val="20"/>
          <w:color w:val="auto"/>
        </w:rPr>
      </w:pPr>
    </w:p>
    <w:p>
      <w:pPr>
        <w:jc w:val="both"/>
        <w:ind w:left="40" w:right="59" w:firstLine="297"/>
        <w:spacing w:after="0" w:line="300" w:lineRule="auto"/>
        <w:rPr>
          <w:sz w:val="20"/>
          <w:szCs w:val="20"/>
          <w:color w:val="auto"/>
        </w:rPr>
      </w:pPr>
      <w:r>
        <w:rPr>
          <w:rFonts w:ascii="Arial" w:cs="Arial" w:eastAsia="Arial" w:hAnsi="Arial"/>
          <w:sz w:val="15"/>
          <w:szCs w:val="15"/>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REIT and the sole member of our Manager (“CTO”).</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ORGANIZATION</w:t>
      </w:r>
    </w:p>
    <w:p>
      <w:pPr>
        <w:spacing w:after="0" w:line="212" w:lineRule="exact"/>
        <w:rPr>
          <w:sz w:val="20"/>
          <w:szCs w:val="20"/>
          <w:color w:val="auto"/>
        </w:rPr>
      </w:pPr>
    </w:p>
    <w:p>
      <w:pPr>
        <w:jc w:val="both"/>
        <w:ind w:left="40" w:right="59" w:firstLine="297"/>
        <w:spacing w:after="0" w:line="288" w:lineRule="auto"/>
        <w:rPr>
          <w:sz w:val="20"/>
          <w:szCs w:val="20"/>
          <w:color w:val="auto"/>
        </w:rPr>
      </w:pPr>
      <w:r>
        <w:rPr>
          <w:rFonts w:ascii="Arial" w:cs="Arial" w:eastAsia="Arial" w:hAnsi="Arial"/>
          <w:sz w:val="15"/>
          <w:szCs w:val="15"/>
          <w:color w:val="auto"/>
        </w:rPr>
        <w:t>The Company is a Maryland corporation that was formed on August 19, 2019. On November 26, 2019, the Company closed its initial public offering (“IPO”) of shares of its common stock (the “Offering”) as well as a concurrent private placement of shares of common stock to CTO. Net proceeds from the Offering and the concurrent CTO Private Placement (defined below) were used to purchase 15 properties from CTO. Additionally, CTO contributed to Alpine Income Property OP, LP, the Company’s operating partnership (the “Operating Partnership”), five additional properties in exchange for operating partnership units (“OP Units”).</w:t>
      </w:r>
    </w:p>
    <w:p>
      <w:pPr>
        <w:spacing w:after="0" w:line="153" w:lineRule="exact"/>
        <w:rPr>
          <w:sz w:val="20"/>
          <w:szCs w:val="20"/>
          <w:color w:val="auto"/>
        </w:rPr>
      </w:pPr>
    </w:p>
    <w:p>
      <w:pPr>
        <w:jc w:val="both"/>
        <w:ind w:left="40" w:right="59" w:firstLine="297"/>
        <w:spacing w:after="0" w:line="280" w:lineRule="auto"/>
        <w:rPr>
          <w:sz w:val="20"/>
          <w:szCs w:val="20"/>
          <w:color w:val="auto"/>
        </w:rPr>
      </w:pPr>
      <w:r>
        <w:rPr>
          <w:rFonts w:ascii="Arial" w:cs="Arial" w:eastAsia="Arial" w:hAnsi="Arial"/>
          <w:sz w:val="15"/>
          <w:szCs w:val="15"/>
          <w:color w:val="auto"/>
        </w:rPr>
        <w:t>The price per share paid in the Offering and the concurrent private placement was $19.00 (the “IPO Price”). The Offering raised $142.5 million in gross proceeds from the issuance of 7,500,000 shares of our common stock. We also raised $7.5 million from the concurrent private placement to CTO from the issuance of 394,737 shares of our common stock (“CTO Private Placement”). Included in the Offering was CTO’s purchase of 421,053 shares of our common stock for $8.0 million, representing a cash investment by CTO of $15.5 million. A total of $125.9 million of proceeds from the Offering were utilized to acquire 15 properties in our initial portfolio. The remaining five properties in our initial portfolio were contributed by CTO in exchange for 1,223,854 OP Units for a value of $23.3 million based on the IPO Price. The Company incurred a total of $12.0 million of transaction costs, which included underwriting fees of $9.4 million. Upon completion of the Offering, the CTO Private Placement, and the other transactions executed at the time of our listing on the New York Stock Exchange (the “NYSE”) under the symbol “PINE” (collectively defined as the “Formation Transactions”), CTO owned 22.3% of our outstanding common stock (assuming the OP Units issued to CTO in the Formation Transactions are exchanged for shares of our common stock on a one-for-one basis).</w:t>
      </w:r>
    </w:p>
    <w:p>
      <w:pPr>
        <w:spacing w:after="0" w:line="163" w:lineRule="exact"/>
        <w:rPr>
          <w:sz w:val="20"/>
          <w:szCs w:val="20"/>
          <w:color w:val="auto"/>
        </w:rPr>
      </w:pPr>
    </w:p>
    <w:p>
      <w:pPr>
        <w:jc w:val="both"/>
        <w:ind w:left="40" w:right="59" w:firstLine="297"/>
        <w:spacing w:after="0" w:line="281" w:lineRule="auto"/>
        <w:rPr>
          <w:sz w:val="20"/>
          <w:szCs w:val="20"/>
          <w:color w:val="auto"/>
        </w:rPr>
      </w:pPr>
      <w:r>
        <w:rPr>
          <w:rFonts w:ascii="Arial" w:cs="Arial" w:eastAsia="Arial" w:hAnsi="Arial"/>
          <w:sz w:val="15"/>
          <w:szCs w:val="15"/>
          <w:color w:val="auto"/>
        </w:rPr>
        <w:t>We conduct the substantial majority of our operations through, and substantially all of our assets are held by, the Operating Partnership. Our wholly owned subsidiary, Alpine Income Property GP, LLC (“PINE GP”), is the sole general partner of the Operating Partnership. As of September 30, 2021, we have a total ownership interest in the Operating Partnership of 86.9%, with CTO holding, directly and indirectly, a 9.4% ownership interest in the Operating Partnership. The remaining 3.7% ownership interest is held by an unrelated third party in connection with the issuance of 479,640 OP Units valued at $9.0 million in the aggregate, or $18.85 per unit, based on the Company’s trailing ten day average closing share price. The issuance of 479,640 OP Units includes (i) 424,951 OP Units issued as partial consideration for the portfolio of nine net lease properties acquired on June 30, 2021 and (ii) 54,689 OP Units issued in connection with the acquisition of one net lease property on July 12, 2021 (see Note 3, “Income Property Portfolio”). Our interest in the Operating Partnership generally entitles us to share in cash distributions from, and in the profits and losses of, the Operating Partnership in proportion to our percentage ownership. We, through PINE GP, generally have the exclusive power under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9" w:name="page10"/>
    <w:bookmarkEnd w:id="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the partnership agreement to manage and conduct the business and affairs of the Operating Partnership, subject to certain approval and voting rights of the limited partners. Our Board of Directors (the “Board”) manages our business and affairs.</w:t>
      </w:r>
    </w:p>
    <w:p>
      <w:pPr>
        <w:spacing w:after="0" w:line="149" w:lineRule="exact"/>
        <w:rPr>
          <w:sz w:val="20"/>
          <w:szCs w:val="20"/>
          <w:color w:val="auto"/>
        </w:rPr>
      </w:pPr>
    </w:p>
    <w:p>
      <w:pPr>
        <w:jc w:val="both"/>
        <w:ind w:left="40" w:right="59" w:firstLine="345"/>
        <w:spacing w:after="0" w:line="280" w:lineRule="auto"/>
        <w:rPr>
          <w:sz w:val="20"/>
          <w:szCs w:val="20"/>
          <w:color w:val="auto"/>
        </w:rPr>
      </w:pPr>
      <w:r>
        <w:rPr>
          <w:rFonts w:ascii="Arial" w:cs="Arial" w:eastAsia="Arial" w:hAnsi="Arial"/>
          <w:sz w:val="15"/>
          <w:szCs w:val="15"/>
          <w:color w:val="auto"/>
        </w:rPr>
        <w:t>The Company has elected to be taxed as a real estate investment trust (“REIT”) for U.S. federal income tax purposes under the Internal Revenue Code of 1986, as amended (the “Internal Revenue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COVID-19 PANDEMIC</w:t>
      </w:r>
    </w:p>
    <w:p>
      <w:pPr>
        <w:spacing w:after="0" w:line="212" w:lineRule="exact"/>
        <w:rPr>
          <w:sz w:val="20"/>
          <w:szCs w:val="20"/>
          <w:color w:val="auto"/>
        </w:rPr>
      </w:pPr>
    </w:p>
    <w:p>
      <w:pPr>
        <w:jc w:val="both"/>
        <w:ind w:left="40" w:right="59" w:firstLine="297"/>
        <w:spacing w:after="0" w:line="288" w:lineRule="auto"/>
        <w:rPr>
          <w:sz w:val="20"/>
          <w:szCs w:val="20"/>
          <w:color w:val="auto"/>
        </w:rPr>
      </w:pPr>
      <w:r>
        <w:rPr>
          <w:rFonts w:ascii="Arial" w:cs="Arial" w:eastAsia="Arial" w:hAnsi="Arial"/>
          <w:sz w:val="15"/>
          <w:szCs w:val="15"/>
          <w:color w:val="auto"/>
        </w:rPr>
        <w:t>In March 2020, the World Health Organization declared the outbreak of the novel coronavirus as a pandemic (the “COVID-19 Pandemic”), which has spread throughout the United States. The spread of the COVID-19 Pandemic and its variants have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and its variants, as well as their impact on the U.S. economy and international economies.</w:t>
      </w:r>
    </w:p>
    <w:p>
      <w:pPr>
        <w:spacing w:after="0" w:line="153" w:lineRule="exact"/>
        <w:rPr>
          <w:sz w:val="20"/>
          <w:szCs w:val="20"/>
          <w:color w:val="auto"/>
        </w:rPr>
      </w:pPr>
    </w:p>
    <w:p>
      <w:pPr>
        <w:jc w:val="both"/>
        <w:ind w:left="40" w:right="59" w:firstLine="297"/>
        <w:spacing w:after="0" w:line="292" w:lineRule="auto"/>
        <w:rPr>
          <w:sz w:val="20"/>
          <w:szCs w:val="20"/>
          <w:color w:val="auto"/>
        </w:rPr>
      </w:pPr>
      <w:r>
        <w:rPr>
          <w:rFonts w:ascii="Arial" w:cs="Arial" w:eastAsia="Arial" w:hAnsi="Arial"/>
          <w:sz w:val="15"/>
          <w:szCs w:val="15"/>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through mid-year 2022.</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2. SUMMARY OF SIGNIFICANT ACCOUNTING POLICIES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USE OF ESTIMATES IN THE PREPARATION OF FINANCIAL STATEMENTS</w:t>
      </w:r>
    </w:p>
    <w:p>
      <w:pPr>
        <w:spacing w:after="0" w:line="212"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65"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income properties, could change materially due to continued volatility in the real estate and financial markets, or as a result of a significant dislocation in those markets.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LONG-LIVED ASSETS</w:t>
      </w:r>
    </w:p>
    <w:p>
      <w:pPr>
        <w:spacing w:after="0" w:line="212"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 xml:space="preserve">The Company follows Financial Accounting Standards Board (“FASB”) ASC Topic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0" w:name="page11"/>
    <w:bookmarkEnd w:id="1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6"/>
          <w:szCs w:val="16"/>
          <w:color w:val="auto"/>
        </w:rPr>
        <w:t>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PURCHASE ACCOUNTING FOR ACQUISITIONS OF REAL ESTATE SUBJECT TO A LEASE</w:t>
      </w:r>
    </w:p>
    <w:p>
      <w:pPr>
        <w:spacing w:after="0" w:line="212" w:lineRule="exact"/>
        <w:rPr>
          <w:sz w:val="20"/>
          <w:szCs w:val="20"/>
          <w:color w:val="auto"/>
        </w:rPr>
      </w:pPr>
    </w:p>
    <w:p>
      <w:pPr>
        <w:jc w:val="both"/>
        <w:ind w:left="40" w:right="59" w:firstLine="537"/>
        <w:spacing w:after="0" w:line="281" w:lineRule="auto"/>
        <w:rPr>
          <w:sz w:val="20"/>
          <w:szCs w:val="20"/>
          <w:color w:val="auto"/>
        </w:rPr>
      </w:pPr>
      <w:r>
        <w:rPr>
          <w:rFonts w:ascii="Arial" w:cs="Arial" w:eastAsia="Arial" w:hAnsi="Arial"/>
          <w:sz w:val="15"/>
          <w:szCs w:val="15"/>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Arial" w:cs="Arial" w:eastAsia="Arial" w:hAnsi="Arial"/>
          <w:sz w:val="15"/>
          <w:szCs w:val="15"/>
          <w:i w:val="1"/>
          <w:iCs w:val="1"/>
          <w:color w:val="auto"/>
        </w:rPr>
        <w:t>Clarifying the Definition of a Business</w:t>
      </w:r>
      <w:r>
        <w:rPr>
          <w:rFonts w:ascii="Arial" w:cs="Arial" w:eastAsia="Arial" w:hAnsi="Arial"/>
          <w:sz w:val="15"/>
          <w:szCs w:val="15"/>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59" w:lineRule="exact"/>
        <w:rPr>
          <w:sz w:val="20"/>
          <w:szCs w:val="20"/>
          <w:color w:val="auto"/>
        </w:rPr>
      </w:pPr>
    </w:p>
    <w:p>
      <w:pPr>
        <w:jc w:val="both"/>
        <w:ind w:left="40" w:right="59" w:firstLine="459"/>
        <w:spacing w:after="0" w:line="280" w:lineRule="auto"/>
        <w:rPr>
          <w:sz w:val="20"/>
          <w:szCs w:val="20"/>
          <w:color w:val="auto"/>
        </w:rPr>
      </w:pPr>
      <w:r>
        <w:rPr>
          <w:rFonts w:ascii="Arial" w:cs="Arial" w:eastAsia="Arial" w:hAnsi="Arial"/>
          <w:sz w:val="15"/>
          <w:szCs w:val="15"/>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INCOME PROPERTY LEASE REVENUE</w:t>
      </w:r>
    </w:p>
    <w:p>
      <w:pPr>
        <w:spacing w:after="0" w:line="212"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The rental arrangements associated with the Company’s income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75"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2021 and December 31, 2020, the Company had recorded an allowance for doubtful accounts of $0.1 million.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CASH AND CASH EQUIVALENTS</w:t>
      </w:r>
    </w:p>
    <w:p>
      <w:pPr>
        <w:spacing w:after="0" w:line="21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Cash and cash equivalents include cash on hand, bank demand accounts, and money market accounts having original maturities of 90 days or less. The Company’s bank balances as of September 30, 2021 and December 31, 2020 include certain amounts over the Federal Deposit Insurance Corporation limits. The carrying value of cash and cash equivalents is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1" w:name="page12"/>
    <w:bookmarkEnd w:id="1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reported at Level 1 in the fair value hierarchy, which represents valuation based upon quoted prices in active markets for identical assets or liabilities.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RESTRICTED CASH</w:t>
      </w:r>
    </w:p>
    <w:p>
      <w:pPr>
        <w:spacing w:after="0" w:line="212" w:lineRule="exact"/>
        <w:rPr>
          <w:sz w:val="20"/>
          <w:szCs w:val="20"/>
          <w:color w:val="auto"/>
        </w:rPr>
      </w:pPr>
    </w:p>
    <w:p>
      <w:pPr>
        <w:jc w:val="both"/>
        <w:ind w:left="40" w:right="59" w:firstLine="404"/>
        <w:spacing w:after="0" w:line="290" w:lineRule="auto"/>
        <w:rPr>
          <w:sz w:val="20"/>
          <w:szCs w:val="20"/>
          <w:color w:val="auto"/>
        </w:rPr>
      </w:pPr>
      <w:r>
        <w:rPr>
          <w:rFonts w:ascii="Arial" w:cs="Arial" w:eastAsia="Arial" w:hAnsi="Arial"/>
          <w:sz w:val="16"/>
          <w:szCs w:val="16"/>
          <w:color w:val="auto"/>
        </w:rPr>
        <w:t>Restricted cash totaled $0.6 million at September 30, 2021 which is being held in a capital replacement and leasing commissions reserve account in connection with our financing of six income properties.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FINANCIAL INSTRUMENTS AND HEDGING ACTIVITY</w:t>
      </w:r>
    </w:p>
    <w:p>
      <w:pPr>
        <w:spacing w:after="0" w:line="212"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Company accounts for its cash flow hedging derivatives in accordance with FASB ASC Topic 815-20,</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Depending upon the hedge’s value at each balance sheet date, the derivatives are included in either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accounts payable, accrued expenses,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69" w:lineRule="exact"/>
        <w:rPr>
          <w:sz w:val="20"/>
          <w:szCs w:val="20"/>
          <w:color w:val="auto"/>
        </w:rPr>
      </w:pPr>
    </w:p>
    <w:p>
      <w:pPr>
        <w:jc w:val="both"/>
        <w:ind w:left="40" w:right="59" w:firstLine="297"/>
        <w:spacing w:after="0" w:line="264" w:lineRule="auto"/>
        <w:rPr>
          <w:sz w:val="20"/>
          <w:szCs w:val="20"/>
          <w:color w:val="auto"/>
        </w:rPr>
      </w:pPr>
      <w:r>
        <w:rPr>
          <w:rFonts w:ascii="Arial" w:cs="Arial" w:eastAsia="Arial" w:hAnsi="Arial"/>
          <w:sz w:val="16"/>
          <w:szCs w:val="16"/>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the interest rate swaps and the associated debts are identical, both hedging instruments qualify for the shortcut method, therefore, it is assumed that there is no hedge ineffectiveness throughout the entire term of the hedging instruments.</w:t>
      </w:r>
    </w:p>
    <w:p>
      <w:pPr>
        <w:spacing w:after="0" w:line="17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9, “Interest Rate Swaps”).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FAIR VALUE OF FINANCIAL INSTRUMENTS</w:t>
      </w:r>
    </w:p>
    <w:p>
      <w:pPr>
        <w:spacing w:after="0" w:line="212" w:lineRule="exact"/>
        <w:rPr>
          <w:sz w:val="20"/>
          <w:szCs w:val="20"/>
          <w:color w:val="auto"/>
        </w:rPr>
      </w:pPr>
    </w:p>
    <w:p>
      <w:pPr>
        <w:jc w:val="both"/>
        <w:ind w:left="40" w:right="59" w:firstLine="297"/>
        <w:spacing w:after="0" w:line="303" w:lineRule="auto"/>
        <w:rPr>
          <w:sz w:val="20"/>
          <w:szCs w:val="20"/>
          <w:color w:val="auto"/>
        </w:rPr>
      </w:pPr>
      <w:r>
        <w:rPr>
          <w:rFonts w:ascii="Arial" w:cs="Arial" w:eastAsia="Arial" w:hAnsi="Arial"/>
          <w:sz w:val="14"/>
          <w:szCs w:val="14"/>
          <w:color w:val="auto"/>
        </w:rPr>
        <w:t>The carrying amounts of the Company’s financial assets and liabilities including cash and cash equivalents, restricted cash, accounts receivable included in other assets, accounts payable, and accrued expenses and other liabilities at September 30, 2021 and December 31, 2020, approximate fair value because of the short maturity of these instruments. The carrying value of the Company’s Credit Facility, hereinafter defined, as of September 30, 2021 and December 31, 2020,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FAIR VALUE MEASUREMENTS</w:t>
      </w:r>
    </w:p>
    <w:p>
      <w:pPr>
        <w:spacing w:after="0" w:line="187"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56" w:lineRule="exact"/>
        <w:rPr>
          <w:sz w:val="20"/>
          <w:szCs w:val="20"/>
          <w:color w:val="auto"/>
        </w:rPr>
      </w:pPr>
    </w:p>
    <w:p>
      <w:pPr>
        <w:ind w:left="660" w:hanging="295"/>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 Valuation is based upon quoted prices in active markets for identical assets or liabilities.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4"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2" w:name="page13"/>
    <w:bookmarkEnd w:id="1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right="59" w:hanging="295"/>
        <w:spacing w:after="0" w:line="25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9" w:lineRule="exact"/>
        <w:rPr>
          <w:rFonts w:ascii="Arial" w:cs="Arial" w:eastAsia="Arial" w:hAnsi="Arial"/>
          <w:sz w:val="16"/>
          <w:szCs w:val="16"/>
          <w:color w:val="auto"/>
        </w:rPr>
      </w:pPr>
    </w:p>
    <w:p>
      <w:pPr>
        <w:jc w:val="both"/>
        <w:ind w:left="660" w:right="59" w:hanging="295"/>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CONCENTRATION OF RISK</w:t>
      </w:r>
    </w:p>
    <w:p>
      <w:pPr>
        <w:spacing w:after="0" w:line="200"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Certain of the tenants in the portfolio of 89 properties accounted for more than 10% of total revenues during the nine months ended September 30, 2021 and 2020.</w:t>
      </w:r>
    </w:p>
    <w:p>
      <w:pPr>
        <w:spacing w:after="0" w:line="149"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During the nine months ended September 30, 2021, the property leased to Wells Fargo Bank, NA represented 13% of total revenues. During the nine months ended September 30, 2020, the properties leased to Wells Fargo Bank, NA and Hilton Grand Vacations represented 20% and 13% of total revenues, respectively.</w:t>
      </w:r>
    </w:p>
    <w:p>
      <w:pPr>
        <w:spacing w:after="0" w:line="162"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As of September 30, 2021 and December 31, 2020, based on square footage, 11% and 17%, respectively, of the Company’s real estate portfolio was located in the State of Florida and 11% and 15%, respectively, of the Company’s real estate portfolio was located in the State of North Carolina. Additionally, as of September 30, 2021, more than 10% of the Company’s real estate portfolio, based on square footage, was located in the State of Texas and more than 10% of the Company’s real estate portfolio was located in the States of Oregon and Michigan as of December 31, 2020.</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RECLASSIFICATIONS</w:t>
      </w:r>
    </w:p>
    <w:p>
      <w:pPr>
        <w:spacing w:after="0" w:line="212" w:lineRule="exact"/>
        <w:rPr>
          <w:sz w:val="20"/>
          <w:szCs w:val="20"/>
          <w:color w:val="auto"/>
        </w:rPr>
      </w:pPr>
    </w:p>
    <w:p>
      <w:pPr>
        <w:jc w:val="both"/>
        <w:ind w:left="40" w:right="59" w:firstLine="404"/>
        <w:spacing w:after="0" w:line="262" w:lineRule="auto"/>
        <w:rPr>
          <w:sz w:val="20"/>
          <w:szCs w:val="20"/>
          <w:color w:val="auto"/>
        </w:rPr>
      </w:pPr>
      <w:r>
        <w:rPr>
          <w:rFonts w:ascii="Arial" w:cs="Arial" w:eastAsia="Arial" w:hAnsi="Arial"/>
          <w:sz w:val="16"/>
          <w:szCs w:val="16"/>
          <w:color w:val="auto"/>
        </w:rPr>
        <w:t>Certain items in the consolidated balance sheet as of December 31, 2020 have been reclassified to conform to the presentation as of September 30, 2021. Specifically, in the first quarter of 2021, the Company reclassified deferred financing costs, net of accumulated amortization, as a component of other assets on the accompanying consolidated balance sheet. Accordingly, deferred financing costs of $0.9 million, net of accumulated amortization of $0.2 million, were reclassified from long-term debt to other assets as of December 31, 2020. Additionally, in the third quarter of 2021, the Company increased non-cash compensation for the nine months ended September 30, 2020 by $0.03 million through a reclassification from accounts payable, accrued expenses, and other liabilities within operating activities on the accompanying consolidated statements of cash flows which is the result of timing related to the issuance of shares for director retainers.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3. INCOME PROPERTY PORTFOLIO</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As of September 30, 2021, the Company’s income property portfolio consisted of 89 properties with total square footage of 2.7 million.</w:t>
      </w:r>
    </w:p>
    <w:p>
      <w:pPr>
        <w:spacing w:after="0" w:line="149"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Leasing revenue consists of long-term rental revenue from retail and office income properties, which is recognized as earned, using the straight-line method over the life of each lease.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leasing revenue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264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2020</w:t>
            </w:r>
          </w:p>
        </w:tc>
        <w:tc>
          <w:tcPr>
            <w:tcW w:w="16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2020</w:t>
            </w:r>
          </w:p>
        </w:tc>
        <w:tc>
          <w:tcPr>
            <w:tcW w:w="20" w:type="dxa"/>
            <w:vAlign w:val="bottom"/>
          </w:tcPr>
          <w:p>
            <w:pPr>
              <w:spacing w:after="0"/>
              <w:rPr>
                <w:sz w:val="16"/>
                <w:szCs w:val="16"/>
                <w:color w:val="auto"/>
              </w:rPr>
            </w:pPr>
          </w:p>
        </w:tc>
      </w:tr>
      <w:tr>
        <w:trPr>
          <w:trHeight w:val="19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 Income</w:t>
            </w:r>
          </w:p>
        </w:tc>
        <w:tc>
          <w:tcPr>
            <w:tcW w:w="4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6"/>
                <w:szCs w:val="16"/>
                <w:color w:val="auto"/>
              </w:rPr>
              <w:t>Lease Payments</w:t>
            </w: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7,418</w:t>
            </w:r>
          </w:p>
        </w:tc>
        <w:tc>
          <w:tcPr>
            <w:tcW w:w="140" w:type="dxa"/>
            <w:vAlign w:val="bottom"/>
          </w:tcPr>
          <w:p>
            <w:pPr>
              <w:spacing w:after="0"/>
              <w:rPr>
                <w:sz w:val="17"/>
                <w:szCs w:val="17"/>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4,721</w:t>
            </w:r>
          </w:p>
        </w:tc>
        <w:tc>
          <w:tcPr>
            <w:tcW w:w="160" w:type="dxa"/>
            <w:vAlign w:val="bottom"/>
          </w:tcPr>
          <w:p>
            <w:pPr>
              <w:spacing w:after="0"/>
              <w:rPr>
                <w:sz w:val="17"/>
                <w:szCs w:val="17"/>
                <w:color w:val="auto"/>
              </w:rPr>
            </w:pPr>
          </w:p>
        </w:tc>
        <w:tc>
          <w:tcPr>
            <w:tcW w:w="460" w:type="dxa"/>
            <w:vAlign w:val="bottom"/>
          </w:tcPr>
          <w:p>
            <w:pPr>
              <w:jc w:val="right"/>
              <w:ind w:right="278"/>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18,850</w:t>
            </w:r>
          </w:p>
        </w:tc>
        <w:tc>
          <w:tcPr>
            <w:tcW w:w="14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12,762</w:t>
            </w:r>
          </w:p>
        </w:tc>
        <w:tc>
          <w:tcPr>
            <w:tcW w:w="20" w:type="dxa"/>
            <w:vAlign w:val="bottom"/>
          </w:tcPr>
          <w:p>
            <w:pPr>
              <w:spacing w:after="0"/>
              <w:rPr>
                <w:sz w:val="17"/>
                <w:szCs w:val="17"/>
                <w:color w:val="auto"/>
              </w:rPr>
            </w:pPr>
          </w:p>
        </w:tc>
      </w:tr>
      <w:tr>
        <w:trPr>
          <w:trHeight w:val="198"/>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Variable Lease Payments</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4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20" w:type="dxa"/>
            <w:vAlign w:val="bottom"/>
          </w:tcPr>
          <w:p>
            <w:pPr>
              <w:spacing w:after="0"/>
              <w:rPr>
                <w:sz w:val="17"/>
                <w:szCs w:val="17"/>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6"/>
                <w:szCs w:val="16"/>
                <w:color w:val="auto"/>
              </w:rPr>
              <w:t>Total Lease Income</w:t>
            </w:r>
          </w:p>
        </w:tc>
        <w:tc>
          <w:tcPr>
            <w:tcW w:w="42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160" w:type="dxa"/>
            <w:vAlign w:val="bottom"/>
          </w:tcPr>
          <w:p>
            <w:pPr>
              <w:spacing w:after="0"/>
              <w:rPr>
                <w:sz w:val="16"/>
                <w:szCs w:val="16"/>
                <w:color w:val="auto"/>
              </w:rPr>
            </w:pPr>
          </w:p>
        </w:tc>
        <w:tc>
          <w:tcPr>
            <w:tcW w:w="4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20,658</w:t>
            </w:r>
          </w:p>
        </w:tc>
        <w:tc>
          <w:tcPr>
            <w:tcW w:w="140" w:type="dxa"/>
            <w:vAlign w:val="bottom"/>
          </w:tcPr>
          <w:p>
            <w:pPr>
              <w:spacing w:after="0"/>
              <w:rPr>
                <w:sz w:val="16"/>
                <w:szCs w:val="16"/>
                <w:color w:val="auto"/>
              </w:rPr>
            </w:pPr>
          </w:p>
        </w:tc>
        <w:tc>
          <w:tcPr>
            <w:tcW w:w="800" w:type="dxa"/>
            <w:vAlign w:val="bottom"/>
            <w:tcBorders>
              <w:bottom w:val="single" w:sz="8" w:color="auto"/>
            </w:tcBorders>
          </w:tcPr>
          <w:p>
            <w:pPr>
              <w:jc w:val="right"/>
              <w:ind w:right="64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13,863</w:t>
            </w:r>
          </w:p>
        </w:tc>
        <w:tc>
          <w:tcPr>
            <w:tcW w:w="20" w:type="dxa"/>
            <w:vAlign w:val="bottom"/>
          </w:tcPr>
          <w:p>
            <w:pPr>
              <w:spacing w:after="0"/>
              <w:rPr>
                <w:sz w:val="16"/>
                <w:szCs w:val="16"/>
                <w:color w:val="auto"/>
              </w:rPr>
            </w:pPr>
          </w:p>
        </w:tc>
      </w:tr>
      <w:tr>
        <w:trPr>
          <w:trHeight w:val="20"/>
        </w:trPr>
        <w:tc>
          <w:tcPr>
            <w:tcW w:w="2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0"/>
        </w:trPr>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80"/>
              <w:spacing w:after="0"/>
              <w:rPr>
                <w:sz w:val="20"/>
                <w:szCs w:val="20"/>
                <w:color w:val="auto"/>
              </w:rPr>
            </w:pPr>
            <w:r>
              <w:rPr>
                <w:rFonts w:ascii="Arial" w:cs="Arial" w:eastAsia="Arial" w:hAnsi="Arial"/>
                <w:sz w:val="16"/>
                <w:szCs w:val="16"/>
                <w:color w:val="auto"/>
              </w:rPr>
              <w:t>13</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4"/>
        </w:trPr>
        <w:tc>
          <w:tcPr>
            <w:tcW w:w="2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6" w:right="1440" w:bottom="1440" w:gutter="0" w:footer="0" w:header="0"/>
        </w:sectPr>
      </w:pPr>
    </w:p>
    <w:bookmarkStart w:id="13" w:name="page14"/>
    <w:bookmarkEnd w:id="1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i w:val="1"/>
          <w:iCs w:val="1"/>
          <w:color w:val="auto"/>
        </w:rPr>
        <w:t xml:space="preserve">Minimum Future Rental Receipts. </w:t>
      </w:r>
      <w:r>
        <w:rPr>
          <w:rFonts w:ascii="Arial" w:cs="Arial" w:eastAsia="Arial" w:hAnsi="Arial"/>
          <w:sz w:val="16"/>
          <w:szCs w:val="16"/>
          <w:color w:val="auto"/>
        </w:rPr>
        <w:t>Minimum future rental receipts under non-cancelable operating leases, excluding percentage</w:t>
      </w:r>
      <w:r>
        <w:rPr>
          <w:rFonts w:ascii="Arial" w:cs="Arial" w:eastAsia="Arial" w:hAnsi="Arial"/>
          <w:sz w:val="16"/>
          <w:szCs w:val="16"/>
          <w:i w:val="1"/>
          <w:iCs w:val="1"/>
          <w:color w:val="auto"/>
        </w:rPr>
        <w:t xml:space="preserve"> </w:t>
      </w:r>
      <w:r>
        <w:rPr>
          <w:rFonts w:ascii="Arial" w:cs="Arial" w:eastAsia="Arial" w:hAnsi="Arial"/>
          <w:sz w:val="16"/>
          <w:szCs w:val="16"/>
          <w:color w:val="auto"/>
        </w:rPr>
        <w:t>rent and other lease payments that are not fixed and determinable, having remaining terms in excess of one year subsequent to September 30, 2021, are summarized as follows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480" w:type="dxa"/>
            <w:vAlign w:val="bottom"/>
          </w:tcPr>
          <w:p>
            <w:pPr>
              <w:spacing w:after="0"/>
              <w:rPr>
                <w:sz w:val="18"/>
                <w:szCs w:val="18"/>
                <w:color w:val="auto"/>
              </w:rPr>
            </w:pPr>
          </w:p>
        </w:tc>
        <w:tc>
          <w:tcPr>
            <w:tcW w:w="1900" w:type="dxa"/>
            <w:vAlign w:val="bottom"/>
          </w:tcPr>
          <w:p>
            <w:pPr>
              <w:jc w:val="right"/>
              <w:ind w:right="778"/>
              <w:spacing w:after="0"/>
              <w:rPr>
                <w:sz w:val="20"/>
                <w:szCs w:val="20"/>
                <w:color w:val="auto"/>
              </w:rPr>
            </w:pPr>
            <w:r>
              <w:rPr>
                <w:rFonts w:ascii="Arial" w:cs="Arial" w:eastAsia="Arial" w:hAnsi="Arial"/>
                <w:sz w:val="16"/>
                <w:szCs w:val="16"/>
                <w:b w:val="1"/>
                <w:bCs w:val="1"/>
                <w:color w:val="auto"/>
              </w:rPr>
              <w:t>Amounts</w:t>
            </w:r>
          </w:p>
        </w:tc>
      </w:tr>
      <w:tr>
        <w:trPr>
          <w:trHeight w:val="191"/>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8,167</w:t>
            </w:r>
          </w:p>
        </w:tc>
      </w:tr>
      <w:tr>
        <w:trPr>
          <w:trHeight w:val="198"/>
        </w:trPr>
        <w:tc>
          <w:tcPr>
            <w:tcW w:w="6280" w:type="dxa"/>
            <w:vAlign w:val="bottom"/>
          </w:tcPr>
          <w:p>
            <w:pPr>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32,264</w:t>
            </w:r>
          </w:p>
        </w:tc>
      </w:tr>
      <w:tr>
        <w:trPr>
          <w:trHeight w:val="198"/>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32,181</w:t>
            </w:r>
          </w:p>
        </w:tc>
      </w:tr>
      <w:tr>
        <w:trPr>
          <w:trHeight w:val="198"/>
        </w:trPr>
        <w:tc>
          <w:tcPr>
            <w:tcW w:w="6280" w:type="dxa"/>
            <w:vAlign w:val="bottom"/>
          </w:tcPr>
          <w:p>
            <w:pPr>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31,465</w:t>
            </w:r>
          </w:p>
        </w:tc>
      </w:tr>
      <w:tr>
        <w:trPr>
          <w:trHeight w:val="198"/>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30,467</w:t>
            </w:r>
          </w:p>
        </w:tc>
      </w:tr>
      <w:tr>
        <w:trPr>
          <w:trHeight w:val="198"/>
        </w:trPr>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2026 and thereafter (cumulative)</w:t>
            </w:r>
          </w:p>
        </w:tc>
        <w:tc>
          <w:tcPr>
            <w:tcW w:w="4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118,512</w:t>
            </w:r>
          </w:p>
        </w:tc>
      </w:tr>
      <w:tr>
        <w:trPr>
          <w:trHeight w:val="190"/>
        </w:trPr>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253,056</w:t>
            </w: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 w:right="59" w:firstLine="338"/>
        <w:spacing w:after="0" w:line="264" w:lineRule="auto"/>
        <w:rPr>
          <w:sz w:val="20"/>
          <w:szCs w:val="20"/>
          <w:color w:val="auto"/>
        </w:rPr>
      </w:pPr>
      <w:r>
        <w:rPr>
          <w:rFonts w:ascii="Arial" w:cs="Arial" w:eastAsia="Arial" w:hAnsi="Arial"/>
          <w:sz w:val="16"/>
          <w:szCs w:val="16"/>
          <w:i w:val="1"/>
          <w:iCs w:val="1"/>
          <w:color w:val="auto"/>
        </w:rPr>
        <w:t xml:space="preserve">2021 Activity. </w:t>
      </w:r>
      <w:r>
        <w:rPr>
          <w:rFonts w:ascii="Arial" w:cs="Arial" w:eastAsia="Arial" w:hAnsi="Arial"/>
          <w:sz w:val="16"/>
          <w:szCs w:val="16"/>
          <w:color w:val="auto"/>
        </w:rPr>
        <w:t>During the nine months ended September 30, 2021, the Company acquired 42 income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$158.7 million, or an acquisition cost of $160.0 million including capitalized acquisition costs. Of the total acquisition cost, $52.1 million was allocated to land, $89.6 million was allocated to buildings and improvements, $20.5 million was allocated to intangible assets pertaining to the in-place lease value, leasing fees, and above market lease value, and $2.2 million was allocated to intangible liabilities for the below market lease value. The weighted average amortization period for the intangible assets and liabilities was 8.4 years at acquisition.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4" w:name="page15"/>
    <w:bookmarkEnd w:id="1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leases attributable to the income properties acquired during the nine months ended September 30, 2021 are described below:</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Remaining Lease</w:t>
            </w:r>
          </w:p>
        </w:tc>
      </w:t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2"/>
              </w:rPr>
              <w:t>Term at</w:t>
            </w:r>
          </w:p>
        </w:tc>
      </w:t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0"/>
              </w:rPr>
              <w:t>Date of</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66"/>
              <w:spacing w:after="0"/>
              <w:rPr>
                <w:sz w:val="20"/>
                <w:szCs w:val="20"/>
                <w:color w:val="auto"/>
              </w:rPr>
            </w:pPr>
            <w:r>
              <w:rPr>
                <w:rFonts w:ascii="Arial" w:cs="Arial" w:eastAsia="Arial" w:hAnsi="Arial"/>
                <w:sz w:val="15"/>
                <w:szCs w:val="15"/>
                <w:b w:val="1"/>
                <w:bCs w:val="1"/>
                <w:color w:val="auto"/>
                <w:w w:val="91"/>
              </w:rPr>
              <w:t>Purchase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9"/>
              </w:rPr>
              <w:t>Acquisition Date</w:t>
            </w:r>
          </w:p>
        </w:tc>
      </w:tr>
      <w:tr>
        <w:trPr>
          <w:trHeight w:val="195"/>
        </w:trPr>
        <w:tc>
          <w:tcPr>
            <w:tcW w:w="234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2200" w:type="dxa"/>
            <w:vAlign w:val="bottom"/>
            <w:gridSpan w:val="2"/>
          </w:tcPr>
          <w:p>
            <w:pPr>
              <w:spacing w:after="0"/>
              <w:rPr>
                <w:sz w:val="20"/>
                <w:szCs w:val="20"/>
                <w:color w:val="auto"/>
              </w:rPr>
            </w:pPr>
            <w:r>
              <w:rPr>
                <w:rFonts w:ascii="Arial" w:cs="Arial" w:eastAsia="Arial" w:hAnsi="Arial"/>
                <w:sz w:val="15"/>
                <w:szCs w:val="15"/>
                <w:b w:val="1"/>
                <w:bCs w:val="1"/>
                <w:color w:val="auto"/>
              </w:rPr>
              <w:t>Location</w:t>
            </w: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Acquisition</w:t>
            </w:r>
          </w:p>
        </w:tc>
        <w:tc>
          <w:tcPr>
            <w:tcW w:w="1140" w:type="dxa"/>
            <w:vAlign w:val="bottom"/>
            <w:gridSpan w:val="2"/>
          </w:tcPr>
          <w:p>
            <w:pPr>
              <w:ind w:left="120"/>
              <w:spacing w:after="0"/>
              <w:rPr>
                <w:sz w:val="20"/>
                <w:szCs w:val="20"/>
                <w:color w:val="auto"/>
              </w:rPr>
            </w:pPr>
            <w:r>
              <w:rPr>
                <w:rFonts w:ascii="Arial" w:cs="Arial" w:eastAsia="Arial" w:hAnsi="Arial"/>
                <w:sz w:val="15"/>
                <w:szCs w:val="15"/>
                <w:b w:val="1"/>
                <w:bCs w:val="1"/>
                <w:color w:val="auto"/>
              </w:rPr>
              <w:t>Square-Feet</w:t>
            </w:r>
          </w:p>
        </w:tc>
        <w:tc>
          <w:tcPr>
            <w:tcW w:w="880" w:type="dxa"/>
            <w:vAlign w:val="bottom"/>
            <w:gridSpan w:val="2"/>
          </w:tcPr>
          <w:p>
            <w:pPr>
              <w:spacing w:after="0"/>
              <w:rPr>
                <w:sz w:val="20"/>
                <w:szCs w:val="20"/>
                <w:color w:val="auto"/>
              </w:rPr>
            </w:pPr>
            <w:r>
              <w:rPr>
                <w:rFonts w:ascii="Arial" w:cs="Arial" w:eastAsia="Arial" w:hAnsi="Arial"/>
                <w:sz w:val="15"/>
                <w:szCs w:val="15"/>
                <w:b w:val="1"/>
                <w:bCs w:val="1"/>
                <w:color w:val="auto"/>
                <w:w w:val="89"/>
              </w:rPr>
              <w:t xml:space="preserve">Price </w:t>
            </w: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000's)</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9"/>
              </w:rPr>
              <w:t>(in years)</w:t>
            </w:r>
          </w:p>
        </w:tc>
      </w:tr>
      <w:tr>
        <w:trPr>
          <w:trHeight w:val="181"/>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Cut and Shoot, TX</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1/25/2021</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9,096</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2200" w:type="dxa"/>
            <w:vAlign w:val="bottom"/>
            <w:gridSpan w:val="2"/>
          </w:tcPr>
          <w:p>
            <w:pPr>
              <w:spacing w:after="0"/>
              <w:rPr>
                <w:sz w:val="20"/>
                <w:szCs w:val="20"/>
                <w:color w:val="auto"/>
              </w:rPr>
            </w:pPr>
            <w:r>
              <w:rPr>
                <w:rFonts w:ascii="Arial" w:cs="Arial" w:eastAsia="Arial" w:hAnsi="Arial"/>
                <w:sz w:val="15"/>
                <w:szCs w:val="15"/>
                <w:color w:val="auto"/>
              </w:rPr>
              <w:t>Del Rio, TX</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1/25/2021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1,403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Seguin, TX</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1/25/2021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At Home</w:t>
            </w:r>
          </w:p>
        </w:tc>
        <w:tc>
          <w:tcPr>
            <w:tcW w:w="2200" w:type="dxa"/>
            <w:vAlign w:val="bottom"/>
            <w:gridSpan w:val="2"/>
          </w:tcPr>
          <w:p>
            <w:pPr>
              <w:spacing w:after="0"/>
              <w:rPr>
                <w:sz w:val="20"/>
                <w:szCs w:val="20"/>
                <w:color w:val="auto"/>
              </w:rPr>
            </w:pPr>
            <w:r>
              <w:rPr>
                <w:rFonts w:ascii="Arial" w:cs="Arial" w:eastAsia="Arial" w:hAnsi="Arial"/>
                <w:sz w:val="15"/>
                <w:szCs w:val="15"/>
                <w:color w:val="auto"/>
              </w:rPr>
              <w:t>Canton, OH</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3/09/2021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89,902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8,571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 Supplies Plus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Canton, OH</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3/09/2021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Salon Lofts</w:t>
            </w:r>
          </w:p>
        </w:tc>
        <w:tc>
          <w:tcPr>
            <w:tcW w:w="2200" w:type="dxa"/>
            <w:vAlign w:val="bottom"/>
            <w:gridSpan w:val="2"/>
          </w:tcPr>
          <w:p>
            <w:pPr>
              <w:spacing w:after="0"/>
              <w:rPr>
                <w:sz w:val="20"/>
                <w:szCs w:val="20"/>
                <w:color w:val="auto"/>
              </w:rPr>
            </w:pPr>
            <w:r>
              <w:rPr>
                <w:rFonts w:ascii="Arial" w:cs="Arial" w:eastAsia="Arial" w:hAnsi="Arial"/>
                <w:sz w:val="15"/>
                <w:szCs w:val="15"/>
                <w:color w:val="auto"/>
              </w:rPr>
              <w:t>Canton, OH</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3/09/2021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Sportsman Warehouse</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3/29/2021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48,974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Burlington Stores, Inc.</w:t>
            </w:r>
          </w:p>
        </w:tc>
        <w:tc>
          <w:tcPr>
            <w:tcW w:w="2200" w:type="dxa"/>
            <w:vAlign w:val="bottom"/>
            <w:gridSpan w:val="2"/>
          </w:tcPr>
          <w:p>
            <w:pPr>
              <w:spacing w:after="0"/>
              <w:rPr>
                <w:sz w:val="20"/>
                <w:szCs w:val="20"/>
                <w:color w:val="auto"/>
              </w:rPr>
            </w:pPr>
            <w:r>
              <w:rPr>
                <w:rFonts w:ascii="Arial" w:cs="Arial" w:eastAsia="Arial" w:hAnsi="Arial"/>
                <w:sz w:val="15"/>
                <w:szCs w:val="15"/>
                <w:color w:val="auto"/>
              </w:rPr>
              <w:t>North Richland Hills, TX</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4/23/2021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70,891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11,528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Academy Sports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Florence, SC</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6/22/2021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Big Lots</w:t>
            </w:r>
          </w:p>
        </w:tc>
        <w:tc>
          <w:tcPr>
            <w:tcW w:w="2200" w:type="dxa"/>
            <w:vAlign w:val="bottom"/>
            <w:gridSpan w:val="2"/>
          </w:tcPr>
          <w:p>
            <w:pPr>
              <w:spacing w:after="0"/>
              <w:rPr>
                <w:sz w:val="20"/>
                <w:szCs w:val="20"/>
                <w:color w:val="auto"/>
              </w:rPr>
            </w:pPr>
            <w:r>
              <w:rPr>
                <w:rFonts w:ascii="Arial" w:cs="Arial" w:eastAsia="Arial" w:hAnsi="Arial"/>
                <w:sz w:val="15"/>
                <w:szCs w:val="15"/>
                <w:color w:val="auto"/>
              </w:rPr>
              <w:t>Durant, OK</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6/25/2021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36,794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1,836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Orscheln</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Durant, OK</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6/25/2021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37,965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Lowe's</w:t>
            </w:r>
          </w:p>
        </w:tc>
        <w:tc>
          <w:tcPr>
            <w:tcW w:w="2200" w:type="dxa"/>
            <w:vAlign w:val="bottom"/>
            <w:gridSpan w:val="2"/>
          </w:tcPr>
          <w:p>
            <w:pPr>
              <w:spacing w:after="0"/>
              <w:rPr>
                <w:sz w:val="20"/>
                <w:szCs w:val="20"/>
                <w:color w:val="auto"/>
              </w:rPr>
            </w:pPr>
            <w:r>
              <w:rPr>
                <w:rFonts w:ascii="Arial" w:cs="Arial" w:eastAsia="Arial" w:hAnsi="Arial"/>
                <w:sz w:val="15"/>
                <w:szCs w:val="15"/>
                <w:color w:val="auto"/>
              </w:rPr>
              <w:t>Katy, TX</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131,644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14,672</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Harris Teeter</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Charlotte, NC</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8,273</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Rite Aid</w:t>
            </w:r>
          </w:p>
        </w:tc>
        <w:tc>
          <w:tcPr>
            <w:tcW w:w="2200" w:type="dxa"/>
            <w:vAlign w:val="bottom"/>
            <w:gridSpan w:val="2"/>
          </w:tcPr>
          <w:p>
            <w:pPr>
              <w:spacing w:after="0"/>
              <w:rPr>
                <w:sz w:val="20"/>
                <w:szCs w:val="20"/>
                <w:color w:val="auto"/>
              </w:rPr>
            </w:pPr>
            <w:r>
              <w:rPr>
                <w:rFonts w:ascii="Arial" w:cs="Arial" w:eastAsia="Arial" w:hAnsi="Arial"/>
                <w:sz w:val="15"/>
                <w:szCs w:val="15"/>
                <w:color w:val="auto"/>
              </w:rPr>
              <w:t>Renton, WA</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16,280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7,200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Walgreens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Clermont, FL</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5,085</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Big Lots</w:t>
            </w:r>
          </w:p>
        </w:tc>
        <w:tc>
          <w:tcPr>
            <w:tcW w:w="2200" w:type="dxa"/>
            <w:vAlign w:val="bottom"/>
            <w:gridSpan w:val="2"/>
          </w:tcPr>
          <w:p>
            <w:pPr>
              <w:spacing w:after="0"/>
              <w:rPr>
                <w:sz w:val="20"/>
                <w:szCs w:val="20"/>
                <w:color w:val="auto"/>
              </w:rPr>
            </w:pPr>
            <w:r>
              <w:rPr>
                <w:rFonts w:ascii="Arial" w:cs="Arial" w:eastAsia="Arial" w:hAnsi="Arial"/>
                <w:sz w:val="15"/>
                <w:szCs w:val="15"/>
                <w:color w:val="auto"/>
              </w:rPr>
              <w:t>Germantown, MD</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25,589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4,670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Big Lots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Phoenix, AZ</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34,512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Circle K</w:t>
            </w:r>
          </w:p>
        </w:tc>
        <w:tc>
          <w:tcPr>
            <w:tcW w:w="2200" w:type="dxa"/>
            <w:vAlign w:val="bottom"/>
            <w:gridSpan w:val="2"/>
          </w:tcPr>
          <w:p>
            <w:pPr>
              <w:spacing w:after="0"/>
              <w:rPr>
                <w:sz w:val="20"/>
                <w:szCs w:val="20"/>
                <w:color w:val="auto"/>
              </w:rPr>
            </w:pPr>
            <w:r>
              <w:rPr>
                <w:rFonts w:ascii="Arial" w:cs="Arial" w:eastAsia="Arial" w:hAnsi="Arial"/>
                <w:sz w:val="15"/>
                <w:szCs w:val="15"/>
                <w:color w:val="auto"/>
              </w:rPr>
              <w:t>Indianapolis, IN</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4,283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Burger King</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Plymouth, NC</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Dollar Tree</w:t>
            </w:r>
          </w:p>
        </w:tc>
        <w:tc>
          <w:tcPr>
            <w:tcW w:w="2200" w:type="dxa"/>
            <w:vAlign w:val="bottom"/>
            <w:gridSpan w:val="2"/>
          </w:tcPr>
          <w:p>
            <w:pPr>
              <w:spacing w:after="0"/>
              <w:rPr>
                <w:sz w:val="20"/>
                <w:szCs w:val="20"/>
                <w:color w:val="auto"/>
              </w:rPr>
            </w:pPr>
            <w:r>
              <w:rPr>
                <w:rFonts w:ascii="Arial" w:cs="Arial" w:eastAsia="Arial" w:hAnsi="Arial"/>
                <w:sz w:val="15"/>
                <w:szCs w:val="15"/>
                <w:color w:val="auto"/>
              </w:rPr>
              <w:t>Demopolis, AL</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10,159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1,615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Firestone</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Pittsburgh, PA</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1,468</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5"/>
                <w:szCs w:val="15"/>
                <w:color w:val="auto"/>
              </w:rPr>
              <w:t>Ware, MA</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6,889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1,396</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Grease Monkey</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Stockbridge, GA</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Hardee's</w:t>
            </w:r>
          </w:p>
        </w:tc>
        <w:tc>
          <w:tcPr>
            <w:tcW w:w="2200" w:type="dxa"/>
            <w:vAlign w:val="bottom"/>
            <w:gridSpan w:val="2"/>
          </w:tcPr>
          <w:p>
            <w:pPr>
              <w:spacing w:after="0"/>
              <w:rPr>
                <w:sz w:val="20"/>
                <w:szCs w:val="20"/>
                <w:color w:val="auto"/>
              </w:rPr>
            </w:pPr>
            <w:r>
              <w:rPr>
                <w:rFonts w:ascii="Arial" w:cs="Arial" w:eastAsia="Arial" w:hAnsi="Arial"/>
                <w:sz w:val="15"/>
                <w:szCs w:val="15"/>
                <w:color w:val="auto"/>
              </w:rPr>
              <w:t>Boaz, AL</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3,542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1,185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Schlotzsky's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Sweetwater, TX</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5"/>
                <w:szCs w:val="15"/>
                <w:color w:val="auto"/>
              </w:rPr>
              <w:t>Athens, GA</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6/30/2021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6,871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1,127</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Family Dollar</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Burlington, NC</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7/01/2021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O'Reilly Auto Parts</w:t>
            </w:r>
          </w:p>
        </w:tc>
        <w:tc>
          <w:tcPr>
            <w:tcW w:w="2200" w:type="dxa"/>
            <w:vAlign w:val="bottom"/>
            <w:gridSpan w:val="2"/>
          </w:tcPr>
          <w:p>
            <w:pPr>
              <w:spacing w:after="0"/>
              <w:rPr>
                <w:sz w:val="20"/>
                <w:szCs w:val="20"/>
                <w:color w:val="auto"/>
              </w:rPr>
            </w:pPr>
            <w:r>
              <w:rPr>
                <w:rFonts w:ascii="Arial" w:cs="Arial" w:eastAsia="Arial" w:hAnsi="Arial"/>
                <w:sz w:val="15"/>
                <w:szCs w:val="15"/>
                <w:color w:val="auto"/>
              </w:rPr>
              <w:t>Duluth, MN</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7/12/2021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11,182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1,030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11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Tractor Supply</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Washington Court House, OH</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8/27/2021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39,984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Harbor Freight</w:t>
            </w:r>
          </w:p>
        </w:tc>
        <w:tc>
          <w:tcPr>
            <w:tcW w:w="2200" w:type="dxa"/>
            <w:vAlign w:val="bottom"/>
            <w:gridSpan w:val="2"/>
          </w:tcPr>
          <w:p>
            <w:pPr>
              <w:spacing w:after="0"/>
              <w:rPr>
                <w:sz w:val="20"/>
                <w:szCs w:val="20"/>
                <w:color w:val="auto"/>
              </w:rPr>
            </w:pPr>
            <w:r>
              <w:rPr>
                <w:rFonts w:ascii="Arial" w:cs="Arial" w:eastAsia="Arial" w:hAnsi="Arial"/>
                <w:sz w:val="15"/>
                <w:szCs w:val="15"/>
                <w:color w:val="auto"/>
              </w:rPr>
              <w:t>Midland, MI</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8/31/2021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1,750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Camping World</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Duluth, MN</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66,033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Advance Auto Parts</w:t>
            </w:r>
          </w:p>
        </w:tc>
        <w:tc>
          <w:tcPr>
            <w:tcW w:w="2200" w:type="dxa"/>
            <w:vAlign w:val="bottom"/>
            <w:gridSpan w:val="2"/>
          </w:tcPr>
          <w:p>
            <w:pPr>
              <w:spacing w:after="0"/>
              <w:rPr>
                <w:sz w:val="20"/>
                <w:szCs w:val="20"/>
                <w:color w:val="auto"/>
              </w:rPr>
            </w:pPr>
            <w:r>
              <w:rPr>
                <w:rFonts w:ascii="Arial" w:cs="Arial" w:eastAsia="Arial" w:hAnsi="Arial"/>
                <w:sz w:val="15"/>
                <w:szCs w:val="15"/>
                <w:color w:val="auto"/>
              </w:rPr>
              <w:t>Ludington, MI</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9/14/2021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6,604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1,050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Advance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New Baltimore, MI</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Dollar Tree</w:t>
            </w:r>
          </w:p>
        </w:tc>
        <w:tc>
          <w:tcPr>
            <w:tcW w:w="2200" w:type="dxa"/>
            <w:vAlign w:val="bottom"/>
            <w:gridSpan w:val="2"/>
          </w:tcPr>
          <w:p>
            <w:pPr>
              <w:spacing w:after="0"/>
              <w:rPr>
                <w:sz w:val="20"/>
                <w:szCs w:val="20"/>
                <w:color w:val="auto"/>
              </w:rPr>
            </w:pPr>
            <w:r>
              <w:rPr>
                <w:rFonts w:ascii="Arial" w:cs="Arial" w:eastAsia="Arial" w:hAnsi="Arial"/>
                <w:sz w:val="15"/>
                <w:szCs w:val="15"/>
                <w:color w:val="auto"/>
              </w:rPr>
              <w:t>Stillwell, OK</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9/17/2021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9,828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1,576</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O'Reilly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Angels Camp, CA</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9/22/2021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2,125</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Walmart</w:t>
            </w:r>
          </w:p>
        </w:tc>
        <w:tc>
          <w:tcPr>
            <w:tcW w:w="2200" w:type="dxa"/>
            <w:vAlign w:val="bottom"/>
            <w:gridSpan w:val="2"/>
          </w:tcPr>
          <w:p>
            <w:pPr>
              <w:spacing w:after="0"/>
              <w:rPr>
                <w:sz w:val="20"/>
                <w:szCs w:val="20"/>
                <w:color w:val="auto"/>
              </w:rPr>
            </w:pPr>
            <w:r>
              <w:rPr>
                <w:rFonts w:ascii="Arial" w:cs="Arial" w:eastAsia="Arial" w:hAnsi="Arial"/>
                <w:sz w:val="15"/>
                <w:szCs w:val="15"/>
                <w:color w:val="auto"/>
              </w:rPr>
              <w:t>Hempstead, TX</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9/28/2021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52,190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4,450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7-Eleven</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Olathe, KS</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3,782</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At Home</w:t>
            </w:r>
          </w:p>
        </w:tc>
        <w:tc>
          <w:tcPr>
            <w:tcW w:w="2200" w:type="dxa"/>
            <w:vAlign w:val="bottom"/>
            <w:gridSpan w:val="2"/>
          </w:tcPr>
          <w:p>
            <w:pPr>
              <w:spacing w:after="0"/>
              <w:rPr>
                <w:sz w:val="20"/>
                <w:szCs w:val="20"/>
                <w:color w:val="auto"/>
              </w:rPr>
            </w:pPr>
            <w:r>
              <w:rPr>
                <w:rFonts w:ascii="Arial" w:cs="Arial" w:eastAsia="Arial" w:hAnsi="Arial"/>
                <w:sz w:val="15"/>
                <w:szCs w:val="15"/>
                <w:color w:val="auto"/>
              </w:rPr>
              <w:t>Turnersville, NJ</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89,460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7,181</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Boston Market</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Turnersville, NJ</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Verizon</w:t>
            </w:r>
          </w:p>
        </w:tc>
        <w:tc>
          <w:tcPr>
            <w:tcW w:w="2200" w:type="dxa"/>
            <w:vAlign w:val="bottom"/>
            <w:gridSpan w:val="2"/>
          </w:tcPr>
          <w:p>
            <w:pPr>
              <w:spacing w:after="0"/>
              <w:rPr>
                <w:sz w:val="20"/>
                <w:szCs w:val="20"/>
                <w:color w:val="auto"/>
              </w:rPr>
            </w:pPr>
            <w:r>
              <w:rPr>
                <w:rFonts w:ascii="Arial" w:cs="Arial" w:eastAsia="Arial" w:hAnsi="Arial"/>
                <w:sz w:val="15"/>
                <w:szCs w:val="15"/>
                <w:color w:val="auto"/>
              </w:rPr>
              <w:t>Turnersville, NJ</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3,568</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Advance Auto Parts</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 Paul, MN</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Hobby Lobby</w:t>
            </w:r>
          </w:p>
        </w:tc>
        <w:tc>
          <w:tcPr>
            <w:tcW w:w="2200" w:type="dxa"/>
            <w:vAlign w:val="bottom"/>
            <w:gridSpan w:val="2"/>
          </w:tcPr>
          <w:p>
            <w:pPr>
              <w:spacing w:after="0"/>
              <w:rPr>
                <w:sz w:val="20"/>
                <w:szCs w:val="20"/>
                <w:color w:val="auto"/>
              </w:rPr>
            </w:pPr>
            <w:r>
              <w:rPr>
                <w:rFonts w:ascii="Arial" w:cs="Arial" w:eastAsia="Arial" w:hAnsi="Arial"/>
                <w:sz w:val="15"/>
                <w:szCs w:val="15"/>
                <w:color w:val="auto"/>
              </w:rPr>
              <w:t>Aberdeen, SD</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49,034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3,150</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6"/>
        </w:trPr>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Tree</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Albuquerque, NM</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Office Depot</w:t>
            </w:r>
          </w:p>
        </w:tc>
        <w:tc>
          <w:tcPr>
            <w:tcW w:w="2200" w:type="dxa"/>
            <w:vAlign w:val="bottom"/>
            <w:gridSpan w:val="2"/>
          </w:tcPr>
          <w:p>
            <w:pPr>
              <w:spacing w:after="0"/>
              <w:rPr>
                <w:sz w:val="20"/>
                <w:szCs w:val="20"/>
                <w:color w:val="auto"/>
              </w:rPr>
            </w:pPr>
            <w:r>
              <w:rPr>
                <w:rFonts w:ascii="Arial" w:cs="Arial" w:eastAsia="Arial" w:hAnsi="Arial"/>
                <w:sz w:val="15"/>
                <w:szCs w:val="15"/>
                <w:color w:val="auto"/>
              </w:rPr>
              <w:t>Albuquerque, NM</w:t>
            </w:r>
          </w:p>
        </w:tc>
        <w:tc>
          <w:tcPr>
            <w:tcW w:w="900" w:type="dxa"/>
            <w:vAlign w:val="bottom"/>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30,346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3,814</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6"/>
        </w:trPr>
        <w:tc>
          <w:tcPr>
            <w:tcW w:w="2340" w:type="dxa"/>
            <w:vAlign w:val="bottom"/>
            <w:gridSpan w:val="2"/>
            <w:shd w:val="clear" w:color="auto" w:fill="CCEEFF"/>
          </w:tcPr>
          <w:p>
            <w:pPr>
              <w:spacing w:after="0" w:line="186" w:lineRule="exact"/>
              <w:rPr>
                <w:sz w:val="20"/>
                <w:szCs w:val="20"/>
                <w:color w:val="auto"/>
              </w:rPr>
            </w:pPr>
            <w:r>
              <w:rPr>
                <w:rFonts w:ascii="Arial" w:cs="Arial" w:eastAsia="Arial" w:hAnsi="Arial"/>
                <w:sz w:val="14"/>
                <w:szCs w:val="14"/>
                <w:color w:val="auto"/>
              </w:rPr>
              <w:t xml:space="preserve">Valero </w:t>
            </w:r>
            <w:r>
              <w:rPr>
                <w:rFonts w:ascii="Arial" w:cs="Arial" w:eastAsia="Arial" w:hAnsi="Arial"/>
                <w:sz w:val="21"/>
                <w:szCs w:val="21"/>
                <w:color w:val="auto"/>
                <w:vertAlign w:val="superscript"/>
              </w:rPr>
              <w:t>(2)</w:t>
            </w:r>
          </w:p>
        </w:tc>
        <w:tc>
          <w:tcPr>
            <w:tcW w:w="2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Jackson, MS</w:t>
            </w:r>
          </w:p>
        </w:tc>
        <w:tc>
          <w:tcPr>
            <w:tcW w:w="9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r>
      <w:tr>
        <w:trPr>
          <w:trHeight w:val="186"/>
        </w:trPr>
        <w:tc>
          <w:tcPr>
            <w:tcW w:w="234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4"/>
                <w:szCs w:val="14"/>
                <w:color w:val="auto"/>
              </w:rPr>
              <w:t xml:space="preserve">Valero </w:t>
            </w:r>
            <w:r>
              <w:rPr>
                <w:rFonts w:ascii="Arial" w:cs="Arial" w:eastAsia="Arial" w:hAnsi="Arial"/>
                <w:sz w:val="21"/>
                <w:szCs w:val="21"/>
                <w:color w:val="auto"/>
                <w:vertAlign w:val="superscript"/>
              </w:rPr>
              <w:t>(2)</w:t>
            </w:r>
          </w:p>
        </w:tc>
        <w:tc>
          <w:tcPr>
            <w:tcW w:w="22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Leland, MS</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89"/>
              </w:rPr>
              <w:t>9/30/2021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3,375</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977</w:t>
            </w: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r>
      <w:tr>
        <w:trPr>
          <w:trHeight w:val="178"/>
        </w:trPr>
        <w:tc>
          <w:tcPr>
            <w:tcW w:w="2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gridSpan w:val="4"/>
            <w:shd w:val="clear" w:color="auto" w:fill="CCEEFF"/>
          </w:tcPr>
          <w:p>
            <w:pPr>
              <w:ind w:left="1540"/>
              <w:spacing w:after="0"/>
              <w:rPr>
                <w:sz w:val="20"/>
                <w:szCs w:val="20"/>
                <w:color w:val="auto"/>
              </w:rPr>
            </w:pPr>
            <w:r>
              <w:rPr>
                <w:rFonts w:ascii="Arial" w:cs="Arial" w:eastAsia="Arial" w:hAnsi="Arial"/>
                <w:sz w:val="15"/>
                <w:szCs w:val="15"/>
                <w:color w:val="auto"/>
                <w:w w:val="96"/>
              </w:rPr>
              <w:t>Total / Weighted Average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1,129,210</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158,664</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r>
    </w:tbl>
    <w:p>
      <w:pPr>
        <w:spacing w:after="0" w:line="58" w:lineRule="exact"/>
        <w:rPr>
          <w:sz w:val="20"/>
          <w:szCs w:val="20"/>
          <w:color w:val="auto"/>
        </w:rPr>
      </w:pPr>
    </w:p>
    <w:p>
      <w:pPr>
        <w:ind w:left="340" w:hanging="297"/>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2"/>
          <w:szCs w:val="12"/>
          <w:color w:val="auto"/>
        </w:rPr>
        <w:t>The aggregate purchase price of $14.8 million was partially funded through the issuance of 479,640 OP Units valued at $9.0 million, see Note 10, “Equity.”</w:t>
      </w:r>
    </w:p>
    <w:p>
      <w:pPr>
        <w:spacing w:after="0" w:line="8" w:lineRule="exact"/>
        <w:rPr>
          <w:rFonts w:ascii="Arial" w:cs="Arial" w:eastAsia="Arial" w:hAnsi="Arial"/>
          <w:sz w:val="9"/>
          <w:szCs w:val="9"/>
          <w:color w:val="auto"/>
        </w:rPr>
      </w:pPr>
    </w:p>
    <w:p>
      <w:pPr>
        <w:ind w:left="340" w:hanging="297"/>
        <w:spacing w:after="0"/>
        <w:tabs>
          <w:tab w:leader="none" w:pos="340" w:val="left"/>
        </w:tabs>
        <w:numPr>
          <w:ilvl w:val="0"/>
          <w:numId w:val="5"/>
        </w:numPr>
        <w:rPr>
          <w:rFonts w:ascii="Arial" w:cs="Arial" w:eastAsia="Arial" w:hAnsi="Arial"/>
          <w:sz w:val="10"/>
          <w:szCs w:val="10"/>
          <w:color w:val="auto"/>
        </w:rPr>
      </w:pPr>
      <w:r>
        <w:rPr>
          <w:rFonts w:ascii="Arial" w:cs="Arial" w:eastAsia="Arial" w:hAnsi="Arial"/>
          <w:sz w:val="13"/>
          <w:szCs w:val="13"/>
          <w:color w:val="auto"/>
        </w:rPr>
        <w:t>Subject to a master lease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5" w:name="page16"/>
    <w:bookmarkEnd w:id="1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firstLine="297"/>
        <w:spacing w:after="0" w:line="326" w:lineRule="auto"/>
        <w:rPr>
          <w:sz w:val="20"/>
          <w:szCs w:val="20"/>
          <w:color w:val="auto"/>
        </w:rPr>
      </w:pPr>
      <w:r>
        <w:rPr>
          <w:rFonts w:ascii="Arial" w:cs="Arial" w:eastAsia="Arial" w:hAnsi="Arial"/>
          <w:sz w:val="15"/>
          <w:szCs w:val="15"/>
          <w:color w:val="auto"/>
        </w:rPr>
        <w:t>On July 21, 2021, the Company disposed of one income property, classified as held for sale as of June 30, 2021, leased to Outback Steakhouse located in Huntersville, North Carolina, for a sales price of $3.8 million, generating a gain on sale of $0.5 million.</w:t>
      </w:r>
    </w:p>
    <w:p>
      <w:pPr>
        <w:spacing w:after="0" w:line="125" w:lineRule="exact"/>
        <w:rPr>
          <w:sz w:val="20"/>
          <w:szCs w:val="20"/>
          <w:color w:val="auto"/>
        </w:rPr>
      </w:pPr>
    </w:p>
    <w:p>
      <w:pPr>
        <w:jc w:val="both"/>
        <w:ind w:left="40" w:right="59" w:firstLine="297"/>
        <w:spacing w:after="0" w:line="264" w:lineRule="auto"/>
        <w:rPr>
          <w:sz w:val="20"/>
          <w:szCs w:val="20"/>
          <w:color w:val="auto"/>
        </w:rPr>
      </w:pPr>
      <w:r>
        <w:rPr>
          <w:rFonts w:ascii="Arial" w:cs="Arial" w:eastAsia="Arial" w:hAnsi="Arial"/>
          <w:sz w:val="16"/>
          <w:szCs w:val="16"/>
          <w:i w:val="1"/>
          <w:iCs w:val="1"/>
          <w:color w:val="auto"/>
        </w:rPr>
        <w:t xml:space="preserve">2020 Activity. </w:t>
      </w:r>
      <w:r>
        <w:rPr>
          <w:rFonts w:ascii="Arial" w:cs="Arial" w:eastAsia="Arial" w:hAnsi="Arial"/>
          <w:sz w:val="16"/>
          <w:szCs w:val="16"/>
          <w:color w:val="auto"/>
        </w:rPr>
        <w:t>During the nine months ended September 30, 2020, the Company acquired 26 income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$99.3 million, or an acquisition cost of $100.3 million including capitalized acquisition costs. Of the total acquisition cost, $25.8 million was allocated to land, $59.7 million was allocated to buildings and improvements, $16.1 million was allocated to intangible assets pertaining to the in-place lease value, leasing fees, and above market lease value, and $1.3 million was allocated to intangible liabilities for the below market lease value. The weighted average amortization period for the intangible assets and liabilities was 10.2 years at acquisition.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lease income properties acquired during the nine months ended September 30, 2020 are described below:</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Remaining Lease</w:t>
            </w:r>
          </w:p>
        </w:tc>
      </w:t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2"/>
              </w:rPr>
              <w:t>Term at</w:t>
            </w:r>
          </w:p>
        </w:tc>
      </w:t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Date of</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5"/>
              </w:rPr>
              <w:t>Purchase</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Acquisition Date</w:t>
            </w:r>
          </w:p>
        </w:tc>
      </w:tr>
      <w:tr>
        <w:trPr>
          <w:trHeight w:val="195"/>
        </w:trPr>
        <w:tc>
          <w:tcPr>
            <w:tcW w:w="2680" w:type="dxa"/>
            <w:vAlign w:val="bottom"/>
            <w:gridSpan w:val="2"/>
          </w:tcPr>
          <w:p>
            <w:pPr>
              <w:spacing w:after="0"/>
              <w:rPr>
                <w:sz w:val="20"/>
                <w:szCs w:val="20"/>
                <w:color w:val="auto"/>
              </w:rPr>
            </w:pPr>
            <w:r>
              <w:rPr>
                <w:rFonts w:ascii="Arial" w:cs="Arial" w:eastAsia="Arial" w:hAnsi="Arial"/>
                <w:sz w:val="15"/>
                <w:szCs w:val="15"/>
                <w:b w:val="1"/>
                <w:bCs w:val="1"/>
                <w:color w:val="auto"/>
              </w:rPr>
              <w:t>Description</w:t>
            </w:r>
          </w:p>
        </w:tc>
        <w:tc>
          <w:tcPr>
            <w:tcW w:w="1740" w:type="dxa"/>
            <w:vAlign w:val="bottom"/>
            <w:gridSpan w:val="2"/>
          </w:tcPr>
          <w:p>
            <w:pPr>
              <w:spacing w:after="0"/>
              <w:rPr>
                <w:sz w:val="20"/>
                <w:szCs w:val="20"/>
                <w:color w:val="auto"/>
              </w:rPr>
            </w:pPr>
            <w:r>
              <w:rPr>
                <w:rFonts w:ascii="Arial" w:cs="Arial" w:eastAsia="Arial" w:hAnsi="Arial"/>
                <w:sz w:val="15"/>
                <w:szCs w:val="15"/>
                <w:b w:val="1"/>
                <w:bCs w:val="1"/>
                <w:color w:val="auto"/>
              </w:rPr>
              <w:t>Location</w:t>
            </w:r>
          </w:p>
        </w:tc>
        <w:tc>
          <w:tcPr>
            <w:tcW w:w="10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Acquisition</w:t>
            </w:r>
          </w:p>
        </w:tc>
        <w:tc>
          <w:tcPr>
            <w:tcW w:w="1180" w:type="dxa"/>
            <w:vAlign w:val="bottom"/>
            <w:gridSpan w:val="2"/>
          </w:tcPr>
          <w:p>
            <w:pPr>
              <w:ind w:left="120"/>
              <w:spacing w:after="0"/>
              <w:rPr>
                <w:sz w:val="20"/>
                <w:szCs w:val="20"/>
                <w:color w:val="auto"/>
              </w:rPr>
            </w:pPr>
            <w:r>
              <w:rPr>
                <w:rFonts w:ascii="Arial" w:cs="Arial" w:eastAsia="Arial" w:hAnsi="Arial"/>
                <w:sz w:val="15"/>
                <w:szCs w:val="15"/>
                <w:b w:val="1"/>
                <w:bCs w:val="1"/>
                <w:color w:val="auto"/>
              </w:rPr>
              <w:t>Square-Feet</w:t>
            </w:r>
          </w:p>
        </w:tc>
        <w:tc>
          <w:tcPr>
            <w:tcW w:w="116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89"/>
              </w:rPr>
              <w:t xml:space="preserve">Price </w:t>
            </w: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000's)</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89"/>
              </w:rPr>
              <w:t>(in years)</w:t>
            </w:r>
          </w:p>
        </w:tc>
      </w:tr>
      <w:tr>
        <w:trPr>
          <w:trHeight w:val="181"/>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Conn's HomePlus</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Hurst, TX</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1/10/2020</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37,957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6,100</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7-Eleven</w:t>
            </w:r>
          </w:p>
        </w:tc>
        <w:tc>
          <w:tcPr>
            <w:tcW w:w="1740" w:type="dxa"/>
            <w:vAlign w:val="bottom"/>
            <w:gridSpan w:val="2"/>
          </w:tcPr>
          <w:p>
            <w:pPr>
              <w:spacing w:after="0"/>
              <w:rPr>
                <w:sz w:val="20"/>
                <w:szCs w:val="20"/>
                <w:color w:val="auto"/>
              </w:rPr>
            </w:pPr>
            <w:r>
              <w:rPr>
                <w:rFonts w:ascii="Arial" w:cs="Arial" w:eastAsia="Arial" w:hAnsi="Arial"/>
                <w:sz w:val="15"/>
                <w:szCs w:val="15"/>
                <w:color w:val="auto"/>
              </w:rPr>
              <w:t>Austin, TX</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1/13/2020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6,400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5,762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7-Eleven</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Georgetown, TX</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1/13/2020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Lehigh Gas Wholesale Services, Inc.</w:t>
            </w:r>
          </w:p>
        </w:tc>
        <w:tc>
          <w:tcPr>
            <w:tcW w:w="1740" w:type="dxa"/>
            <w:vAlign w:val="bottom"/>
            <w:gridSpan w:val="2"/>
          </w:tcPr>
          <w:p>
            <w:pPr>
              <w:spacing w:after="0"/>
              <w:rPr>
                <w:sz w:val="20"/>
                <w:szCs w:val="20"/>
                <w:color w:val="auto"/>
              </w:rPr>
            </w:pPr>
            <w:r>
              <w:rPr>
                <w:rFonts w:ascii="Arial" w:cs="Arial" w:eastAsia="Arial" w:hAnsi="Arial"/>
                <w:sz w:val="15"/>
                <w:szCs w:val="15"/>
                <w:color w:val="auto"/>
              </w:rPr>
              <w:t>Highland Heights, KY</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2/03/2020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4,250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American Multi-Cinema, Inc.</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Tyngsborough, MA</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2/19/2020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Hobby Lobby</w:t>
            </w:r>
          </w:p>
        </w:tc>
        <w:tc>
          <w:tcPr>
            <w:tcW w:w="1740" w:type="dxa"/>
            <w:vAlign w:val="bottom"/>
            <w:gridSpan w:val="2"/>
          </w:tcPr>
          <w:p>
            <w:pPr>
              <w:spacing w:after="0"/>
              <w:rPr>
                <w:sz w:val="20"/>
                <w:szCs w:val="20"/>
                <w:color w:val="auto"/>
              </w:rPr>
            </w:pPr>
            <w:r>
              <w:rPr>
                <w:rFonts w:ascii="Arial" w:cs="Arial" w:eastAsia="Arial" w:hAnsi="Arial"/>
                <w:sz w:val="15"/>
                <w:szCs w:val="15"/>
                <w:color w:val="auto"/>
              </w:rPr>
              <w:t>Tulsa, OK</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2/28/2020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84,180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12,486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John Silver's</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Tulsa, OK</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2/28/2020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Old Time Pottery</w:t>
            </w:r>
          </w:p>
        </w:tc>
        <w:tc>
          <w:tcPr>
            <w:tcW w:w="1740" w:type="dxa"/>
            <w:vAlign w:val="bottom"/>
            <w:gridSpan w:val="2"/>
          </w:tcPr>
          <w:p>
            <w:pPr>
              <w:spacing w:after="0"/>
              <w:rPr>
                <w:sz w:val="20"/>
                <w:szCs w:val="20"/>
                <w:color w:val="auto"/>
              </w:rPr>
            </w:pPr>
            <w:r>
              <w:rPr>
                <w:rFonts w:ascii="Arial" w:cs="Arial" w:eastAsia="Arial" w:hAnsi="Arial"/>
                <w:sz w:val="15"/>
                <w:szCs w:val="15"/>
                <w:color w:val="auto"/>
              </w:rPr>
              <w:t>Orange Park, FL</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2/28/2020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84,180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6,312</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Freddy's Frozen Custard</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Orange Park, FL</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2/28/2020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Hobby Lobby</w:t>
            </w:r>
          </w:p>
        </w:tc>
        <w:tc>
          <w:tcPr>
            <w:tcW w:w="1740" w:type="dxa"/>
            <w:vAlign w:val="bottom"/>
            <w:gridSpan w:val="2"/>
          </w:tcPr>
          <w:p>
            <w:pPr>
              <w:spacing w:after="0"/>
              <w:rPr>
                <w:sz w:val="20"/>
                <w:szCs w:val="20"/>
                <w:color w:val="auto"/>
              </w:rPr>
            </w:pPr>
            <w:r>
              <w:rPr>
                <w:rFonts w:ascii="Arial" w:cs="Arial" w:eastAsia="Arial" w:hAnsi="Arial"/>
                <w:sz w:val="15"/>
                <w:szCs w:val="15"/>
                <w:color w:val="auto"/>
              </w:rPr>
              <w:t>Arden, NC</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6/24/2020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7,987</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Walmart</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Howell, MI</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6/30/2020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214,172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20,590</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Advanced Auto Parts</w:t>
            </w:r>
          </w:p>
        </w:tc>
        <w:tc>
          <w:tcPr>
            <w:tcW w:w="1740" w:type="dxa"/>
            <w:vAlign w:val="bottom"/>
            <w:gridSpan w:val="2"/>
          </w:tcPr>
          <w:p>
            <w:pPr>
              <w:spacing w:after="0"/>
              <w:rPr>
                <w:sz w:val="20"/>
                <w:szCs w:val="20"/>
                <w:color w:val="auto"/>
              </w:rPr>
            </w:pPr>
            <w:r>
              <w:rPr>
                <w:rFonts w:ascii="Arial" w:cs="Arial" w:eastAsia="Arial" w:hAnsi="Arial"/>
                <w:sz w:val="15"/>
                <w:szCs w:val="15"/>
                <w:color w:val="auto"/>
              </w:rPr>
              <w:t>Severn, MD</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2,588</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14.5</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Heuvelton, NY</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9,342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Winthrop, NY</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1,589</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Salem, NY</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Harrisville, NY</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9,309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1,466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13.3</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Newtonsville, OH</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9,290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Hammond, NY</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9,219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1,384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Barker, NY</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9,275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1,439</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Chazy, NY</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9/14/2020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9,277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1,673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11.0</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Milford, ME</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9/21/2020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Limestone, ME</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9/21/2020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1,456</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13.1</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Bingham, ME</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9/21/2020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9,345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r>
      <w:tr>
        <w:trPr>
          <w:trHeight w:val="186"/>
        </w:trPr>
        <w:tc>
          <w:tcPr>
            <w:tcW w:w="2680" w:type="dxa"/>
            <w:vAlign w:val="bottom"/>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tcPr>
          <w:p>
            <w:pPr>
              <w:spacing w:after="0"/>
              <w:rPr>
                <w:sz w:val="20"/>
                <w:szCs w:val="20"/>
                <w:color w:val="auto"/>
              </w:rPr>
            </w:pPr>
            <w:r>
              <w:rPr>
                <w:rFonts w:ascii="Arial" w:cs="Arial" w:eastAsia="Arial" w:hAnsi="Arial"/>
                <w:sz w:val="15"/>
                <w:szCs w:val="15"/>
                <w:color w:val="auto"/>
              </w:rPr>
              <w:t>Willis, TX</w:t>
            </w:r>
          </w:p>
        </w:tc>
        <w:tc>
          <w:tcPr>
            <w:tcW w:w="920" w:type="dxa"/>
            <w:vAlign w:val="bottom"/>
          </w:tcPr>
          <w:p>
            <w:pPr>
              <w:jc w:val="center"/>
              <w:spacing w:after="0"/>
              <w:rPr>
                <w:sz w:val="20"/>
                <w:szCs w:val="20"/>
                <w:color w:val="auto"/>
              </w:rPr>
            </w:pPr>
            <w:r>
              <w:rPr>
                <w:rFonts w:ascii="Arial" w:cs="Arial" w:eastAsia="Arial" w:hAnsi="Arial"/>
                <w:sz w:val="15"/>
                <w:szCs w:val="15"/>
                <w:color w:val="auto"/>
                <w:w w:val="89"/>
              </w:rPr>
              <w:t>9/23/2020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1,774</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w:t>
            </w:r>
          </w:p>
        </w:tc>
      </w:tr>
      <w:tr>
        <w:trPr>
          <w:trHeight w:val="186"/>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Dollar General</w:t>
            </w:r>
          </w:p>
        </w:tc>
        <w:tc>
          <w:tcPr>
            <w:tcW w:w="1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Somerville, TX</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9/23/2020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186"/>
        </w:trPr>
        <w:tc>
          <w:tcPr>
            <w:tcW w:w="26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Dollar General</w:t>
            </w:r>
          </w:p>
        </w:tc>
        <w:tc>
          <w:tcPr>
            <w:tcW w:w="17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Odessa, TX</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89"/>
              </w:rPr>
              <w:t>9/30/2020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9,127</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1,792</w:t>
            </w: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w:t>
            </w:r>
          </w:p>
        </w:tc>
      </w:tr>
      <w:tr>
        <w:trPr>
          <w:trHeight w:val="178"/>
        </w:trPr>
        <w:tc>
          <w:tcPr>
            <w:tcW w:w="2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gridSpan w:val="4"/>
            <w:shd w:val="clear" w:color="auto" w:fill="CCEEFF"/>
          </w:tcPr>
          <w:p>
            <w:pPr>
              <w:ind w:left="1100"/>
              <w:spacing w:after="0"/>
              <w:rPr>
                <w:sz w:val="20"/>
                <w:szCs w:val="20"/>
                <w:color w:val="auto"/>
              </w:rPr>
            </w:pPr>
            <w:r>
              <w:rPr>
                <w:rFonts w:ascii="Arial" w:cs="Arial" w:eastAsia="Arial" w:hAnsi="Arial"/>
                <w:sz w:val="15"/>
                <w:szCs w:val="15"/>
                <w:color w:val="auto"/>
                <w:w w:val="96"/>
              </w:rPr>
              <w:t>Total / Weighted Average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673,978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99,282</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left="40" w:right="59" w:firstLine="297"/>
        <w:spacing w:after="0" w:line="326" w:lineRule="auto"/>
        <w:rPr>
          <w:sz w:val="20"/>
          <w:szCs w:val="20"/>
          <w:color w:val="auto"/>
        </w:rPr>
      </w:pPr>
      <w:r>
        <w:rPr>
          <w:rFonts w:ascii="Arial" w:cs="Arial" w:eastAsia="Arial" w:hAnsi="Arial"/>
          <w:sz w:val="15"/>
          <w:szCs w:val="15"/>
          <w:color w:val="auto"/>
        </w:rPr>
        <w:t>On September 25, 2020, the Company disposed of one income property, classified as held for sale as of June 30, 2020, leased to Outback Steakhouse located in Charlottesville, Virginia, for a sales price of $5.1 million, generating a gain on sale of $0.3 million.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6" w:name="page17"/>
    <w:bookmarkEnd w:id="1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4. FAIR VALUE OF FINANCIAL INSTRUMENTS</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September 30, 2021 and December 31, 2020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2840" w:type="dxa"/>
            <w:vAlign w:val="bottom"/>
            <w:gridSpan w:val="4"/>
          </w:tcPr>
          <w:p>
            <w:pPr>
              <w:jc w:val="right"/>
              <w:ind w:right="738"/>
              <w:spacing w:after="0"/>
              <w:rPr>
                <w:sz w:val="20"/>
                <w:szCs w:val="20"/>
                <w:color w:val="auto"/>
              </w:rPr>
            </w:pPr>
            <w:r>
              <w:rPr>
                <w:rFonts w:ascii="Arial" w:cs="Arial" w:eastAsia="Arial" w:hAnsi="Arial"/>
                <w:sz w:val="16"/>
                <w:szCs w:val="16"/>
                <w:b w:val="1"/>
                <w:bCs w:val="1"/>
                <w:color w:val="auto"/>
              </w:rPr>
              <w:t>December 31, 2020</w:t>
            </w:r>
          </w:p>
        </w:tc>
      </w:tr>
      <w:tr>
        <w:trPr>
          <w:trHeight w:val="175"/>
        </w:trPr>
        <w:tc>
          <w:tcPr>
            <w:tcW w:w="3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120"/>
              <w:spacing w:after="0" w:line="175" w:lineRule="exact"/>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58"/>
              <w:spacing w:after="0" w:line="175" w:lineRule="exact"/>
              <w:rPr>
                <w:sz w:val="20"/>
                <w:szCs w:val="20"/>
                <w:color w:val="auto"/>
              </w:rPr>
            </w:pPr>
            <w:r>
              <w:rPr>
                <w:rFonts w:ascii="Arial" w:cs="Arial" w:eastAsia="Arial" w:hAnsi="Arial"/>
                <w:sz w:val="16"/>
                <w:szCs w:val="16"/>
                <w:b w:val="1"/>
                <w:bCs w:val="1"/>
                <w:color w:val="auto"/>
              </w:rPr>
              <w:t>Estimated</w:t>
            </w:r>
          </w:p>
        </w:tc>
      </w:tr>
      <w:tr>
        <w:trPr>
          <w:trHeight w:val="214"/>
        </w:trPr>
        <w:tc>
          <w:tcPr>
            <w:tcW w:w="31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 Value</w:t>
            </w: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Value</w:t>
            </w:r>
          </w:p>
        </w:tc>
        <w:tc>
          <w:tcPr>
            <w:tcW w:w="200" w:type="dxa"/>
            <w:vAlign w:val="bottom"/>
          </w:tcPr>
          <w:p>
            <w:pPr>
              <w:spacing w:after="0"/>
              <w:rPr>
                <w:sz w:val="18"/>
                <w:szCs w:val="18"/>
                <w:color w:val="auto"/>
              </w:rPr>
            </w:pPr>
          </w:p>
        </w:tc>
        <w:tc>
          <w:tcPr>
            <w:tcW w:w="1200" w:type="dxa"/>
            <w:vAlign w:val="bottom"/>
          </w:tcPr>
          <w:p>
            <w:pPr>
              <w:jc w:val="right"/>
              <w:ind w:right="258"/>
              <w:spacing w:after="0"/>
              <w:rPr>
                <w:sz w:val="20"/>
                <w:szCs w:val="20"/>
                <w:color w:val="auto"/>
              </w:rPr>
            </w:pPr>
            <w:r>
              <w:rPr>
                <w:rFonts w:ascii="Arial" w:cs="Arial" w:eastAsia="Arial" w:hAnsi="Arial"/>
                <w:sz w:val="16"/>
                <w:szCs w:val="16"/>
                <w:b w:val="1"/>
                <w:bCs w:val="1"/>
                <w:color w:val="auto"/>
              </w:rPr>
              <w:t>Fair Value</w:t>
            </w:r>
          </w:p>
        </w:tc>
      </w:tr>
      <w:tr>
        <w:trPr>
          <w:trHeight w:val="191"/>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 Level 1</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r>
      <w:tr>
        <w:trPr>
          <w:trHeight w:val="198"/>
        </w:trPr>
        <w:tc>
          <w:tcPr>
            <w:tcW w:w="3100" w:type="dxa"/>
            <w:vAlign w:val="bottom"/>
          </w:tcPr>
          <w:p>
            <w:pPr>
              <w:spacing w:after="0"/>
              <w:rPr>
                <w:sz w:val="20"/>
                <w:szCs w:val="20"/>
                <w:color w:val="auto"/>
              </w:rPr>
            </w:pPr>
            <w:r>
              <w:rPr>
                <w:rFonts w:ascii="Arial" w:cs="Arial" w:eastAsia="Arial" w:hAnsi="Arial"/>
                <w:sz w:val="16"/>
                <w:szCs w:val="16"/>
                <w:color w:val="auto"/>
              </w:rPr>
              <w:t>Restricted Cash - Level 1</w:t>
            </w:r>
          </w:p>
        </w:tc>
        <w:tc>
          <w:tcPr>
            <w:tcW w:w="340" w:type="dxa"/>
            <w:vAlign w:val="bottom"/>
          </w:tcPr>
          <w:p>
            <w:pPr>
              <w:jc w:val="right"/>
              <w:ind w:right="158"/>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 Level 2</w:t>
            </w: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190,195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106,809</w:t>
            </w:r>
          </w:p>
        </w:tc>
      </w:tr>
    </w:tbl>
    <w:p>
      <w:pPr>
        <w:spacing w:after="0" w:line="186"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62"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tables present the fair value of assets (liabilities) measured on a recurring basis by Level as of September 30, 2021 and December 31, 2020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4"/>
              </w:rPr>
              <w:t>Fair Value at Reporting Date Using</w:t>
            </w:r>
          </w:p>
        </w:tc>
      </w:tr>
      <w:tr>
        <w:trPr>
          <w:trHeight w:val="175"/>
        </w:trPr>
        <w:tc>
          <w:tcPr>
            <w:tcW w:w="2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160"/>
              <w:spacing w:after="0" w:line="175" w:lineRule="exact"/>
              <w:rPr>
                <w:sz w:val="20"/>
                <w:szCs w:val="20"/>
                <w:color w:val="auto"/>
              </w:rPr>
            </w:pPr>
            <w:r>
              <w:rPr>
                <w:rFonts w:ascii="Arial" w:cs="Arial" w:eastAsia="Arial" w:hAnsi="Arial"/>
                <w:sz w:val="16"/>
                <w:szCs w:val="16"/>
                <w:b w:val="1"/>
                <w:bCs w:val="1"/>
                <w:color w:val="auto"/>
                <w:w w:val="92"/>
              </w:rPr>
              <w:t>Quoted Prices in</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Active Markets</w:t>
            </w: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6"/>
              </w:rPr>
              <w:t>Significant Other</w:t>
            </w:r>
          </w:p>
        </w:tc>
        <w:tc>
          <w:tcPr>
            <w:tcW w:w="10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b w:val="1"/>
                <w:bCs w:val="1"/>
                <w:color w:val="auto"/>
                <w:w w:val="92"/>
              </w:rPr>
              <w:t>Significant</w:t>
            </w:r>
          </w:p>
        </w:tc>
      </w:tr>
      <w:tr>
        <w:trPr>
          <w:trHeight w:val="198"/>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for Identical</w:t>
            </w:r>
          </w:p>
        </w:tc>
        <w:tc>
          <w:tcPr>
            <w:tcW w:w="1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Observable</w:t>
            </w:r>
          </w:p>
        </w:tc>
        <w:tc>
          <w:tcPr>
            <w:tcW w:w="10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b w:val="1"/>
                <w:bCs w:val="1"/>
                <w:color w:val="auto"/>
                <w:w w:val="90"/>
              </w:rPr>
              <w:t>Unobservable</w:t>
            </w:r>
          </w:p>
        </w:tc>
      </w:tr>
      <w:tr>
        <w:trPr>
          <w:trHeight w:val="214"/>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Fair Value</w:t>
            </w:r>
          </w:p>
        </w:tc>
        <w:tc>
          <w:tcPr>
            <w:tcW w:w="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Assets (Level 1)</w:t>
            </w:r>
          </w:p>
        </w:tc>
        <w:tc>
          <w:tcPr>
            <w:tcW w:w="1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Inputs (Level 2)</w:t>
            </w:r>
          </w:p>
        </w:tc>
        <w:tc>
          <w:tcPr>
            <w:tcW w:w="100" w:type="dxa"/>
            <w:vAlign w:val="bottom"/>
          </w:tcPr>
          <w:p>
            <w:pPr>
              <w:spacing w:after="0"/>
              <w:rPr>
                <w:sz w:val="18"/>
                <w:szCs w:val="18"/>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b w:val="1"/>
                <w:bCs w:val="1"/>
                <w:color w:val="auto"/>
                <w:w w:val="95"/>
              </w:rPr>
              <w:t>Inputs (Level 3)</w:t>
            </w:r>
          </w:p>
        </w:tc>
      </w:tr>
      <w:tr>
        <w:trPr>
          <w:trHeight w:val="191"/>
        </w:trPr>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198"/>
        </w:trPr>
        <w:tc>
          <w:tcPr>
            <w:tcW w:w="3400" w:type="dxa"/>
            <w:vAlign w:val="bottom"/>
            <w:gridSpan w:val="2"/>
          </w:tcPr>
          <w:p>
            <w:pPr>
              <w:ind w:left="300"/>
              <w:spacing w:after="0" w:line="198" w:lineRule="exact"/>
              <w:rPr>
                <w:sz w:val="20"/>
                <w:szCs w:val="20"/>
                <w:color w:val="auto"/>
              </w:rPr>
            </w:pPr>
            <w:r>
              <w:rPr>
                <w:rFonts w:ascii="Arial" w:cs="Arial" w:eastAsia="Arial" w:hAnsi="Arial"/>
                <w:sz w:val="15"/>
                <w:szCs w:val="15"/>
                <w:color w:val="auto"/>
              </w:rPr>
              <w:t xml:space="preserve">2026 Term Loan Interest Rate Swap </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198"/>
        </w:trPr>
        <w:tc>
          <w:tcPr>
            <w:tcW w:w="340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5"/>
                <w:szCs w:val="15"/>
                <w:color w:val="auto"/>
              </w:rPr>
              <w:t xml:space="preserve">2027 Term Loan Interest Rate Swap </w:t>
            </w:r>
            <w:r>
              <w:rPr>
                <w:rFonts w:ascii="Arial" w:cs="Arial" w:eastAsia="Arial" w:hAnsi="Arial"/>
                <w:sz w:val="22"/>
                <w:szCs w:val="22"/>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198"/>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8"/>
        </w:trPr>
        <w:tc>
          <w:tcPr>
            <w:tcW w:w="340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5"/>
                <w:szCs w:val="15"/>
                <w:color w:val="auto"/>
              </w:rPr>
              <w:t xml:space="preserve">Credit Facility Interest Rate Swap </w:t>
            </w:r>
            <w:r>
              <w:rPr>
                <w:rFonts w:ascii="Arial" w:cs="Arial" w:eastAsia="Arial" w:hAnsi="Arial"/>
                <w:sz w:val="22"/>
                <w:szCs w:val="22"/>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198"/>
        </w:trPr>
        <w:tc>
          <w:tcPr>
            <w:tcW w:w="3400" w:type="dxa"/>
            <w:vAlign w:val="bottom"/>
            <w:gridSpan w:val="2"/>
          </w:tcPr>
          <w:p>
            <w:pPr>
              <w:ind w:left="300"/>
              <w:spacing w:after="0" w:line="198" w:lineRule="exact"/>
              <w:rPr>
                <w:sz w:val="20"/>
                <w:szCs w:val="20"/>
                <w:color w:val="auto"/>
              </w:rPr>
            </w:pPr>
            <w:r>
              <w:rPr>
                <w:rFonts w:ascii="Arial" w:cs="Arial" w:eastAsia="Arial" w:hAnsi="Arial"/>
                <w:sz w:val="15"/>
                <w:szCs w:val="15"/>
                <w:color w:val="auto"/>
              </w:rPr>
              <w:t xml:space="preserve">2026 Term Loan Interest Rate Swap </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198"/>
        </w:trPr>
        <w:tc>
          <w:tcPr>
            <w:tcW w:w="340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5"/>
                <w:szCs w:val="15"/>
                <w:color w:val="auto"/>
              </w:rPr>
              <w:t xml:space="preserve">2027 Term Loan Interest Rate Swap </w:t>
            </w:r>
            <w:r>
              <w:rPr>
                <w:rFonts w:ascii="Arial" w:cs="Arial" w:eastAsia="Arial" w:hAnsi="Arial"/>
                <w:sz w:val="22"/>
                <w:szCs w:val="22"/>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99"/>
        </w:trPr>
        <w:tc>
          <w:tcPr>
            <w:tcW w:w="22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r>
    </w:tbl>
    <w:p>
      <w:pPr>
        <w:spacing w:after="0" w:line="58" w:lineRule="exact"/>
        <w:rPr>
          <w:sz w:val="20"/>
          <w:szCs w:val="20"/>
          <w:color w:val="auto"/>
        </w:rPr>
      </w:pPr>
    </w:p>
    <w:p>
      <w:pPr>
        <w:ind w:left="340" w:right="279" w:hanging="297"/>
        <w:spacing w:after="0" w:line="226" w:lineRule="auto"/>
        <w:tabs>
          <w:tab w:leader="none" w:pos="340" w:val="left"/>
        </w:tabs>
        <w:numPr>
          <w:ilvl w:val="0"/>
          <w:numId w:val="6"/>
        </w:numPr>
        <w:rPr>
          <w:rFonts w:ascii="Arial" w:cs="Arial" w:eastAsia="Arial" w:hAnsi="Arial"/>
          <w:sz w:val="10"/>
          <w:szCs w:val="10"/>
          <w:color w:val="auto"/>
        </w:rPr>
      </w:pPr>
      <w:r>
        <w:rPr>
          <w:rFonts w:ascii="Arial" w:cs="Arial" w:eastAsia="Arial" w:hAnsi="Arial"/>
          <w:sz w:val="13"/>
          <w:szCs w:val="13"/>
          <w:color w:val="auto"/>
        </w:rPr>
        <w:t>Effective May 21, 2021, the Company utilized interest rate swaps to fix LIBOR and achieve a weighted average fixed interest rate of 0.81% plus the applicable spread on the $60.0 million 2026 Term Loan (hereinafter defined) balance.</w:t>
      </w:r>
    </w:p>
    <w:p>
      <w:pPr>
        <w:jc w:val="both"/>
        <w:ind w:left="340" w:right="59" w:hanging="297"/>
        <w:spacing w:after="0" w:line="218" w:lineRule="auto"/>
        <w:tabs>
          <w:tab w:leader="none" w:pos="340" w:val="left"/>
        </w:tabs>
        <w:numPr>
          <w:ilvl w:val="0"/>
          <w:numId w:val="6"/>
        </w:numPr>
        <w:rPr>
          <w:rFonts w:ascii="Arial" w:cs="Arial" w:eastAsia="Arial" w:hAnsi="Arial"/>
          <w:sz w:val="10"/>
          <w:szCs w:val="10"/>
          <w:color w:val="auto"/>
        </w:rPr>
      </w:pPr>
      <w:r>
        <w:rPr>
          <w:rFonts w:ascii="Arial" w:cs="Arial" w:eastAsia="Arial" w:hAnsi="Arial"/>
          <w:sz w:val="13"/>
          <w:szCs w:val="13"/>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w:t>
      </w:r>
    </w:p>
    <w:p>
      <w:pPr>
        <w:spacing w:after="0" w:line="1" w:lineRule="exact"/>
        <w:rPr>
          <w:rFonts w:ascii="Arial" w:cs="Arial" w:eastAsia="Arial" w:hAnsi="Arial"/>
          <w:sz w:val="10"/>
          <w:szCs w:val="10"/>
          <w:color w:val="auto"/>
        </w:rPr>
      </w:pPr>
    </w:p>
    <w:p>
      <w:pPr>
        <w:ind w:left="340" w:right="79" w:hanging="297"/>
        <w:spacing w:after="0" w:line="234" w:lineRule="auto"/>
        <w:tabs>
          <w:tab w:leader="none" w:pos="340" w:val="left"/>
        </w:tabs>
        <w:numPr>
          <w:ilvl w:val="0"/>
          <w:numId w:val="6"/>
        </w:numPr>
        <w:rPr>
          <w:rFonts w:ascii="Arial" w:cs="Arial" w:eastAsia="Arial" w:hAnsi="Arial"/>
          <w:sz w:val="10"/>
          <w:szCs w:val="10"/>
          <w:color w:val="auto"/>
        </w:rPr>
      </w:pPr>
      <w:r>
        <w:rPr>
          <w:rFonts w:ascii="Arial" w:cs="Arial" w:eastAsia="Arial" w:hAnsi="Arial"/>
          <w:sz w:val="13"/>
          <w:szCs w:val="13"/>
          <w:color w:val="auto"/>
        </w:rPr>
        <w:t>Effective April 30, 2020, the Company utilized an interest rate swap to fix LIBOR and achieve a fixed interest rate of 0.48% plus the applicable spread on $50.0 million of the outstanding balance on the Credit Facility (hereinafter defined).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7" w:name="page18"/>
    <w:bookmarkEnd w:id="1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5. INTANGIBLE ASSETS AND LIABILITIES</w:t>
      </w:r>
    </w:p>
    <w:p>
      <w:pPr>
        <w:spacing w:after="0" w:line="216"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2021 and December 31, 2020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September 30, 2021</w:t>
            </w:r>
          </w:p>
        </w:tc>
        <w:tc>
          <w:tcPr>
            <w:tcW w:w="160" w:type="dxa"/>
            <w:vAlign w:val="bottom"/>
          </w:tcPr>
          <w:p>
            <w:pPr>
              <w:spacing w:after="0"/>
              <w:rPr>
                <w:sz w:val="16"/>
                <w:szCs w:val="16"/>
                <w:color w:val="auto"/>
              </w:rPr>
            </w:pPr>
          </w:p>
        </w:tc>
        <w:tc>
          <w:tcPr>
            <w:tcW w:w="1640" w:type="dxa"/>
            <w:vAlign w:val="bottom"/>
          </w:tcPr>
          <w:p>
            <w:pPr>
              <w:jc w:val="right"/>
              <w:ind w:right="158"/>
              <w:spacing w:after="0"/>
              <w:rPr>
                <w:sz w:val="20"/>
                <w:szCs w:val="20"/>
                <w:color w:val="auto"/>
              </w:rPr>
            </w:pPr>
            <w:r>
              <w:rPr>
                <w:rFonts w:ascii="Arial" w:cs="Arial" w:eastAsia="Arial" w:hAnsi="Arial"/>
                <w:sz w:val="16"/>
                <w:szCs w:val="16"/>
                <w:b w:val="1"/>
                <w:bCs w:val="1"/>
                <w:color w:val="auto"/>
                <w:w w:val="95"/>
              </w:rPr>
              <w:t>December 31, 2020</w:t>
            </w:r>
          </w:p>
        </w:tc>
        <w:tc>
          <w:tcPr>
            <w:tcW w:w="20" w:type="dxa"/>
            <w:vAlign w:val="bottom"/>
          </w:tcPr>
          <w:p>
            <w:pPr>
              <w:spacing w:after="0"/>
              <w:rPr>
                <w:sz w:val="16"/>
                <w:szCs w:val="16"/>
                <w:color w:val="auto"/>
              </w:rPr>
            </w:pPr>
          </w:p>
        </w:tc>
      </w:tr>
      <w:tr>
        <w:trPr>
          <w:trHeight w:val="19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Lease Assets:</w:t>
            </w:r>
          </w:p>
        </w:tc>
        <w:tc>
          <w:tcPr>
            <w:tcW w:w="1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180" w:type="dxa"/>
            <w:vAlign w:val="bottom"/>
          </w:tcPr>
          <w:p>
            <w:pPr>
              <w:ind w:left="100"/>
              <w:spacing w:after="0"/>
              <w:rPr>
                <w:sz w:val="20"/>
                <w:szCs w:val="20"/>
                <w:color w:val="auto"/>
              </w:rPr>
            </w:pPr>
            <w:r>
              <w:rPr>
                <w:rFonts w:ascii="Arial" w:cs="Arial" w:eastAsia="Arial" w:hAnsi="Arial"/>
                <w:sz w:val="16"/>
                <w:szCs w:val="16"/>
                <w:color w:val="auto"/>
              </w:rPr>
              <w:t>Value of In-Place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41,090</w:t>
            </w:r>
          </w:p>
        </w:tc>
        <w:tc>
          <w:tcPr>
            <w:tcW w:w="18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27,494</w:t>
            </w:r>
          </w:p>
        </w:tc>
        <w:tc>
          <w:tcPr>
            <w:tcW w:w="20" w:type="dxa"/>
            <w:vAlign w:val="bottom"/>
          </w:tcPr>
          <w:p>
            <w:pPr>
              <w:spacing w:after="0"/>
              <w:rPr>
                <w:sz w:val="17"/>
                <w:szCs w:val="17"/>
                <w:color w:val="auto"/>
              </w:rPr>
            </w:pPr>
          </w:p>
        </w:tc>
      </w:tr>
      <w:tr>
        <w:trPr>
          <w:trHeight w:val="198"/>
        </w:trPr>
        <w:tc>
          <w:tcPr>
            <w:tcW w:w="5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Value of Above Market In-Place Leases</w:t>
            </w: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20" w:type="dxa"/>
            <w:vAlign w:val="bottom"/>
          </w:tcPr>
          <w:p>
            <w:pPr>
              <w:spacing w:after="0"/>
              <w:rPr>
                <w:sz w:val="17"/>
                <w:szCs w:val="17"/>
                <w:color w:val="auto"/>
              </w:rPr>
            </w:pPr>
          </w:p>
        </w:tc>
      </w:tr>
      <w:tr>
        <w:trPr>
          <w:trHeight w:val="198"/>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Value of Intangible Leasing Costs</w:t>
            </w: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16,966</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w:t>
            </w:r>
          </w:p>
        </w:tc>
        <w:tc>
          <w:tcPr>
            <w:tcW w:w="20" w:type="dxa"/>
            <w:vAlign w:val="bottom"/>
          </w:tcPr>
          <w:p>
            <w:pPr>
              <w:spacing w:after="0"/>
              <w:rPr>
                <w:sz w:val="17"/>
                <w:szCs w:val="17"/>
                <w:color w:val="auto"/>
              </w:rPr>
            </w:pPr>
          </w:p>
        </w:tc>
      </w:tr>
      <w:tr>
        <w:trPr>
          <w:trHeight w:val="190"/>
        </w:trPr>
        <w:tc>
          <w:tcPr>
            <w:tcW w:w="5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Sub-total Intangible Lease Assets</w:t>
            </w: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41,140</w:t>
            </w:r>
          </w:p>
        </w:tc>
        <w:tc>
          <w:tcPr>
            <w:tcW w:w="20" w:type="dxa"/>
            <w:vAlign w:val="bottom"/>
          </w:tcPr>
          <w:p>
            <w:pPr>
              <w:spacing w:after="0"/>
              <w:rPr>
                <w:sz w:val="16"/>
                <w:szCs w:val="16"/>
                <w:color w:val="auto"/>
              </w:rPr>
            </w:pPr>
          </w:p>
        </w:tc>
      </w:tr>
      <w:tr>
        <w:trPr>
          <w:trHeight w:val="198"/>
        </w:trPr>
        <w:tc>
          <w:tcPr>
            <w:tcW w:w="5180" w:type="dxa"/>
            <w:vAlign w:val="bottom"/>
          </w:tcPr>
          <w:p>
            <w:pPr>
              <w:ind w:left="200"/>
              <w:spacing w:after="0"/>
              <w:rPr>
                <w:sz w:val="20"/>
                <w:szCs w:val="20"/>
                <w:color w:val="auto"/>
              </w:rPr>
            </w:pPr>
            <w:r>
              <w:rPr>
                <w:rFonts w:ascii="Arial" w:cs="Arial" w:eastAsia="Arial" w:hAnsi="Arial"/>
                <w:sz w:val="16"/>
                <w:szCs w:val="16"/>
                <w:color w:val="auto"/>
              </w:rPr>
              <w:t>Accumulated Amortization</w:t>
            </w:r>
          </w:p>
        </w:tc>
        <w:tc>
          <w:tcPr>
            <w:tcW w:w="140" w:type="dxa"/>
            <w:vAlign w:val="bottom"/>
          </w:tcPr>
          <w:p>
            <w:pPr>
              <w:spacing w:after="0"/>
              <w:rPr>
                <w:sz w:val="17"/>
                <w:szCs w:val="17"/>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(8,553)</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(4,259)</w:t>
            </w:r>
          </w:p>
        </w:tc>
        <w:tc>
          <w:tcPr>
            <w:tcW w:w="20" w:type="dxa"/>
            <w:vAlign w:val="bottom"/>
          </w:tcPr>
          <w:p>
            <w:pPr>
              <w:spacing w:after="0"/>
              <w:rPr>
                <w:sz w:val="17"/>
                <w:szCs w:val="17"/>
                <w:color w:val="auto"/>
              </w:rPr>
            </w:pPr>
          </w:p>
        </w:tc>
      </w:tr>
      <w:tr>
        <w:trPr>
          <w:trHeight w:val="190"/>
        </w:trPr>
        <w:tc>
          <w:tcPr>
            <w:tcW w:w="5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Intangible Lease Assets—Net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52,685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36,881</w:t>
            </w:r>
          </w:p>
        </w:tc>
        <w:tc>
          <w:tcPr>
            <w:tcW w:w="20" w:type="dxa"/>
            <w:vAlign w:val="bottom"/>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Intangible Lease Liabilities:</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5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Value of Below Market In-Place Leases</w:t>
            </w: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(5,736)</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20" w:type="dxa"/>
            <w:vAlign w:val="bottom"/>
          </w:tcPr>
          <w:p>
            <w:pPr>
              <w:spacing w:after="0"/>
              <w:rPr>
                <w:sz w:val="17"/>
                <w:szCs w:val="17"/>
                <w:color w:val="auto"/>
              </w:rPr>
            </w:pPr>
          </w:p>
        </w:tc>
      </w:tr>
      <w:tr>
        <w:trPr>
          <w:trHeight w:val="190"/>
        </w:trPr>
        <w:tc>
          <w:tcPr>
            <w:tcW w:w="5180" w:type="dxa"/>
            <w:vAlign w:val="bottom"/>
          </w:tcPr>
          <w:p>
            <w:pPr>
              <w:ind w:left="200"/>
              <w:spacing w:after="0"/>
              <w:rPr>
                <w:sz w:val="20"/>
                <w:szCs w:val="20"/>
                <w:color w:val="auto"/>
              </w:rPr>
            </w:pPr>
            <w:r>
              <w:rPr>
                <w:rFonts w:ascii="Arial" w:cs="Arial" w:eastAsia="Arial" w:hAnsi="Arial"/>
                <w:sz w:val="16"/>
                <w:szCs w:val="16"/>
                <w:color w:val="auto"/>
              </w:rPr>
              <w:t>Sub-total Intangible Lease Liabilities</w:t>
            </w: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(5,736)</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w:t>
            </w:r>
          </w:p>
        </w:tc>
        <w:tc>
          <w:tcPr>
            <w:tcW w:w="20" w:type="dxa"/>
            <w:vAlign w:val="bottom"/>
          </w:tcPr>
          <w:p>
            <w:pPr>
              <w:spacing w:after="0"/>
              <w:rPr>
                <w:sz w:val="16"/>
                <w:szCs w:val="16"/>
                <w:color w:val="auto"/>
              </w:rPr>
            </w:pPr>
          </w:p>
        </w:tc>
      </w:tr>
      <w:tr>
        <w:trPr>
          <w:trHeight w:val="198"/>
        </w:trPr>
        <w:tc>
          <w:tcPr>
            <w:tcW w:w="51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7"/>
                <w:szCs w:val="17"/>
                <w:color w:val="auto"/>
              </w:rPr>
            </w:pPr>
          </w:p>
        </w:tc>
      </w:tr>
      <w:tr>
        <w:trPr>
          <w:trHeight w:val="190"/>
        </w:trPr>
        <w:tc>
          <w:tcPr>
            <w:tcW w:w="51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Sub-total Intangible Lease Liabilities—Net</w:t>
            </w: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(4,998)</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w:t>
            </w:r>
          </w:p>
        </w:tc>
        <w:tc>
          <w:tcPr>
            <w:tcW w:w="20" w:type="dxa"/>
            <w:vAlign w:val="bottom"/>
          </w:tcPr>
          <w:p>
            <w:pPr>
              <w:spacing w:after="0"/>
              <w:rPr>
                <w:sz w:val="16"/>
                <w:szCs w:val="16"/>
                <w:color w:val="auto"/>
              </w:rPr>
            </w:pPr>
          </w:p>
        </w:tc>
      </w:tr>
      <w:tr>
        <w:trPr>
          <w:trHeight w:val="19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Intangible Assets and Liabilities—Net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47,687</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33,582</w:t>
            </w:r>
          </w:p>
        </w:tc>
        <w:tc>
          <w:tcPr>
            <w:tcW w:w="2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the net amortization of intangible assets and liabilities during the three and nine months ended</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September 30, 2021 and 2020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3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right"/>
              <w:ind w:right="24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22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5"/>
                <w:szCs w:val="15"/>
                <w:color w:val="auto"/>
              </w:rPr>
            </w:pPr>
          </w:p>
        </w:tc>
      </w:tr>
      <w:tr>
        <w:trPr>
          <w:trHeight w:val="214"/>
        </w:trPr>
        <w:tc>
          <w:tcPr>
            <w:tcW w:w="3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191"/>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20" w:type="dxa"/>
            <w:vAlign w:val="bottom"/>
          </w:tcPr>
          <w:p>
            <w:pPr>
              <w:spacing w:after="0"/>
              <w:rPr>
                <w:sz w:val="16"/>
                <w:szCs w:val="16"/>
                <w:color w:val="auto"/>
              </w:rPr>
            </w:pPr>
          </w:p>
        </w:tc>
      </w:tr>
      <w:tr>
        <w:trPr>
          <w:trHeight w:val="198"/>
        </w:trPr>
        <w:tc>
          <w:tcPr>
            <w:tcW w:w="3660" w:type="dxa"/>
            <w:vAlign w:val="bottom"/>
          </w:tcPr>
          <w:p>
            <w:pPr>
              <w:spacing w:after="0"/>
              <w:rPr>
                <w:sz w:val="20"/>
                <w:szCs w:val="20"/>
                <w:color w:val="auto"/>
              </w:rPr>
            </w:pPr>
            <w:r>
              <w:rPr>
                <w:rFonts w:ascii="Arial" w:cs="Arial" w:eastAsia="Arial" w:hAnsi="Arial"/>
                <w:sz w:val="16"/>
                <w:szCs w:val="16"/>
                <w:color w:val="auto"/>
              </w:rPr>
              <w:t>Increase to Income Properties Revenue</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r>
      <w:tr>
        <w:trPr>
          <w:trHeight w:val="19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Amortization of Intangible Assets and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20" w:type="dxa"/>
            <w:vAlign w:val="bottom"/>
          </w:tcPr>
          <w:p>
            <w:pPr>
              <w:spacing w:after="0"/>
              <w:rPr>
                <w:sz w:val="16"/>
                <w:szCs w:val="16"/>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estimated future amortization expense (income) related to net intangible assets and liabilities is as follows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Future Accretion to</w:t>
            </w: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Net Future Amortization</w:t>
            </w:r>
          </w:p>
        </w:tc>
      </w:tr>
      <w:tr>
        <w:trPr>
          <w:trHeight w:val="198"/>
        </w:trPr>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Future Amortization</w:t>
            </w:r>
          </w:p>
        </w:tc>
        <w:tc>
          <w:tcPr>
            <w:tcW w:w="14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Income Property</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of Intangible Assets and</w:t>
            </w:r>
          </w:p>
        </w:tc>
      </w:tr>
      <w:tr>
        <w:trPr>
          <w:trHeight w:val="214"/>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Expense</w:t>
            </w:r>
          </w:p>
        </w:tc>
        <w:tc>
          <w:tcPr>
            <w:tcW w:w="14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Revenue</w:t>
            </w:r>
          </w:p>
        </w:tc>
        <w:tc>
          <w:tcPr>
            <w:tcW w:w="320" w:type="dxa"/>
            <w:vAlign w:val="bottom"/>
          </w:tcPr>
          <w:p>
            <w:pPr>
              <w:spacing w:after="0"/>
              <w:rPr>
                <w:sz w:val="18"/>
                <w:szCs w:val="18"/>
                <w:color w:val="auto"/>
              </w:rPr>
            </w:pPr>
          </w:p>
        </w:tc>
        <w:tc>
          <w:tcPr>
            <w:tcW w:w="1460" w:type="dxa"/>
            <w:vAlign w:val="bottom"/>
          </w:tcPr>
          <w:p>
            <w:pPr>
              <w:jc w:val="right"/>
              <w:ind w:right="458"/>
              <w:spacing w:after="0"/>
              <w:rPr>
                <w:sz w:val="20"/>
                <w:szCs w:val="20"/>
                <w:color w:val="auto"/>
              </w:rPr>
            </w:pPr>
            <w:r>
              <w:rPr>
                <w:rFonts w:ascii="Arial" w:cs="Arial" w:eastAsia="Arial" w:hAnsi="Arial"/>
                <w:sz w:val="16"/>
                <w:szCs w:val="16"/>
                <w:b w:val="1"/>
                <w:bCs w:val="1"/>
                <w:color w:val="auto"/>
              </w:rPr>
              <w:t>Liabilities</w:t>
            </w:r>
          </w:p>
        </w:tc>
      </w:tr>
      <w:tr>
        <w:trPr>
          <w:trHeight w:val="191"/>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(297)</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6,979</w:t>
            </w:r>
          </w:p>
        </w:tc>
      </w:tr>
      <w:tr>
        <w:trPr>
          <w:trHeight w:val="19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w:t>
            </w: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(285)</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6,759</w:t>
            </w:r>
          </w:p>
        </w:tc>
      </w:tr>
      <w:tr>
        <w:trPr>
          <w:trHeight w:val="19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w:t>
            </w:r>
          </w:p>
        </w:tc>
      </w:tr>
      <w:tr>
        <w:trPr>
          <w:trHeight w:val="198"/>
        </w:trPr>
        <w:tc>
          <w:tcPr>
            <w:tcW w:w="3240" w:type="dxa"/>
            <w:vAlign w:val="bottom"/>
            <w:gridSpan w:val="2"/>
          </w:tcPr>
          <w:p>
            <w:pPr>
              <w:spacing w:after="0"/>
              <w:rPr>
                <w:sz w:val="20"/>
                <w:szCs w:val="20"/>
                <w:color w:val="auto"/>
              </w:rPr>
            </w:pPr>
            <w:r>
              <w:rPr>
                <w:rFonts w:ascii="Arial" w:cs="Arial" w:eastAsia="Arial" w:hAnsi="Arial"/>
                <w:sz w:val="16"/>
                <w:szCs w:val="16"/>
                <w:color w:val="auto"/>
              </w:rPr>
              <w:t>2026 and thereafter</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20,063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(1,093)</w:t>
            </w: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18,970</w:t>
            </w:r>
          </w:p>
        </w:tc>
      </w:tr>
      <w:tr>
        <w:trPr>
          <w:trHeight w:val="190"/>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49,972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47,687</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As of September 30, 2021, the weighted average amortization period of both the total intangible assets and liabilities was 8.9 years.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260" w:type="dxa"/>
            <w:vAlign w:val="bottom"/>
            <w:gridSpan w:val="3"/>
          </w:tcPr>
          <w:p>
            <w:pPr>
              <w:spacing w:after="0"/>
              <w:rPr>
                <w:sz w:val="20"/>
                <w:szCs w:val="20"/>
                <w:color w:val="auto"/>
              </w:rPr>
            </w:pPr>
            <w:r>
              <w:rPr>
                <w:rFonts w:ascii="Arial" w:cs="Arial" w:eastAsia="Arial" w:hAnsi="Arial"/>
                <w:sz w:val="16"/>
                <w:szCs w:val="16"/>
                <w:b w:val="1"/>
                <w:bCs w:val="1"/>
                <w:color w:val="auto"/>
              </w:rPr>
              <w:t>NOTE 6. OTHER ASSETS</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6260" w:type="dxa"/>
            <w:vAlign w:val="bottom"/>
            <w:gridSpan w:val="3"/>
          </w:tcPr>
          <w:p>
            <w:pPr>
              <w:ind w:left="300"/>
              <w:spacing w:after="0"/>
              <w:rPr>
                <w:sz w:val="20"/>
                <w:szCs w:val="20"/>
                <w:color w:val="auto"/>
              </w:rPr>
            </w:pPr>
            <w:r>
              <w:rPr>
                <w:rFonts w:ascii="Arial" w:cs="Arial" w:eastAsia="Arial" w:hAnsi="Arial"/>
                <w:sz w:val="16"/>
                <w:szCs w:val="16"/>
                <w:color w:val="auto"/>
              </w:rPr>
              <w:t>Other assets consisted of the following (in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9"/>
        </w:trPr>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24"/>
                <w:szCs w:val="24"/>
                <w:color w:val="auto"/>
              </w:rPr>
            </w:pPr>
          </w:p>
        </w:tc>
      </w:tr>
      <w:tr>
        <w:trPr>
          <w:trHeight w:val="175"/>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98"/>
              <w:spacing w:after="0" w:line="175" w:lineRule="exact"/>
              <w:rPr>
                <w:sz w:val="20"/>
                <w:szCs w:val="20"/>
                <w:color w:val="auto"/>
              </w:rPr>
            </w:pPr>
            <w:r>
              <w:rPr>
                <w:rFonts w:ascii="Arial" w:cs="Arial" w:eastAsia="Arial" w:hAnsi="Arial"/>
                <w:sz w:val="16"/>
                <w:szCs w:val="16"/>
                <w:b w:val="1"/>
                <w:bCs w:val="1"/>
                <w:color w:val="auto"/>
                <w:w w:val="90"/>
              </w:rPr>
              <w:t>December 31,</w:t>
            </w:r>
          </w:p>
        </w:tc>
      </w:tr>
      <w:tr>
        <w:trPr>
          <w:trHeight w:val="214"/>
        </w:trPr>
        <w:tc>
          <w:tcPr>
            <w:tcW w:w="19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r>
      <w:tr>
        <w:trPr>
          <w:trHeight w:val="191"/>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Tenant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198"/>
        </w:trPr>
        <w:tc>
          <w:tcPr>
            <w:tcW w:w="6260" w:type="dxa"/>
            <w:vAlign w:val="bottom"/>
            <w:gridSpan w:val="3"/>
          </w:tcPr>
          <w:p>
            <w:pPr>
              <w:spacing w:after="0" w:line="198" w:lineRule="exact"/>
              <w:rPr>
                <w:sz w:val="20"/>
                <w:szCs w:val="20"/>
                <w:color w:val="auto"/>
              </w:rPr>
            </w:pPr>
            <w:r>
              <w:rPr>
                <w:rFonts w:ascii="Arial" w:cs="Arial" w:eastAsia="Arial" w:hAnsi="Arial"/>
                <w:sz w:val="15"/>
                <w:szCs w:val="15"/>
                <w:color w:val="auto"/>
              </w:rPr>
              <w:t xml:space="preserve">Accrued Unbilled Tenant Receivables—Net of Allowance for Doubtful Accounts </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198"/>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Insurance</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198"/>
        </w:trPr>
        <w:tc>
          <w:tcPr>
            <w:tcW w:w="6260" w:type="dxa"/>
            <w:vAlign w:val="bottom"/>
            <w:gridSpan w:val="3"/>
          </w:tcPr>
          <w:p>
            <w:pPr>
              <w:spacing w:after="0"/>
              <w:rPr>
                <w:sz w:val="20"/>
                <w:szCs w:val="20"/>
                <w:color w:val="auto"/>
              </w:rPr>
            </w:pPr>
            <w:r>
              <w:rPr>
                <w:rFonts w:ascii="Arial" w:cs="Arial" w:eastAsia="Arial" w:hAnsi="Arial"/>
                <w:sz w:val="16"/>
                <w:szCs w:val="16"/>
                <w:color w:val="auto"/>
              </w:rPr>
              <w:t>Deposits on Acquisitions</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8"/>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Prepaid and Deposits—Other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198"/>
        </w:trPr>
        <w:tc>
          <w:tcPr>
            <w:tcW w:w="6260" w:type="dxa"/>
            <w:vAlign w:val="bottom"/>
            <w:gridSpan w:val="3"/>
          </w:tcPr>
          <w:p>
            <w:pPr>
              <w:spacing w:after="0"/>
              <w:rPr>
                <w:sz w:val="20"/>
                <w:szCs w:val="20"/>
                <w:color w:val="auto"/>
              </w:rPr>
            </w:pPr>
            <w:r>
              <w:rPr>
                <w:rFonts w:ascii="Arial" w:cs="Arial" w:eastAsia="Arial" w:hAnsi="Arial"/>
                <w:sz w:val="16"/>
                <w:szCs w:val="16"/>
                <w:color w:val="auto"/>
              </w:rPr>
              <w:t>Deferred Financing Costs—Net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198"/>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6260" w:type="dxa"/>
            <w:vAlign w:val="bottom"/>
            <w:gridSpan w:val="3"/>
          </w:tcPr>
          <w:p>
            <w:pPr>
              <w:spacing w:after="0"/>
              <w:rPr>
                <w:sz w:val="20"/>
                <w:szCs w:val="20"/>
                <w:color w:val="auto"/>
              </w:rPr>
            </w:pPr>
            <w:r>
              <w:rPr>
                <w:rFonts w:ascii="Arial" w:cs="Arial" w:eastAsia="Arial" w:hAnsi="Arial"/>
                <w:sz w:val="16"/>
                <w:szCs w:val="16"/>
                <w:color w:val="auto"/>
              </w:rPr>
              <w:t>Total Other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w:t>
            </w:r>
          </w:p>
        </w:tc>
      </w:tr>
      <w:tr>
        <w:trPr>
          <w:trHeight w:val="20"/>
        </w:trPr>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6"/>
        </w:trPr>
        <w:tc>
          <w:tcPr>
            <w:tcW w:w="1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spacing w:after="0" w:line="58" w:lineRule="exact"/>
        <w:rPr>
          <w:sz w:val="20"/>
          <w:szCs w:val="20"/>
          <w:color w:val="auto"/>
        </w:rPr>
      </w:pPr>
    </w:p>
    <w:p>
      <w:pPr>
        <w:ind w:left="340" w:hanging="297"/>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3"/>
          <w:szCs w:val="13"/>
          <w:color w:val="auto"/>
        </w:rPr>
        <w:t>As of September 30, 2021 and December 31, 2020, includes $0.1 million allowance for doubtful accounts.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7. ACCOUNTS PAYABLE, ACCRUED EXPENSES, AND OTHER LIABILITIES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payable, accrued expenses and other liabilities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6"/>
                <w:szCs w:val="16"/>
                <w:color w:val="auto"/>
              </w:rPr>
            </w:pPr>
          </w:p>
        </w:tc>
        <w:tc>
          <w:tcPr>
            <w:tcW w:w="1620" w:type="dxa"/>
            <w:vAlign w:val="bottom"/>
          </w:tcPr>
          <w:p>
            <w:pPr>
              <w:jc w:val="right"/>
              <w:ind w:right="138"/>
              <w:spacing w:after="0"/>
              <w:rPr>
                <w:sz w:val="20"/>
                <w:szCs w:val="20"/>
                <w:color w:val="auto"/>
              </w:rPr>
            </w:pPr>
            <w:r>
              <w:rPr>
                <w:rFonts w:ascii="Arial" w:cs="Arial" w:eastAsia="Arial" w:hAnsi="Arial"/>
                <w:sz w:val="16"/>
                <w:szCs w:val="16"/>
                <w:b w:val="1"/>
                <w:bCs w:val="1"/>
                <w:color w:val="auto"/>
                <w:w w:val="95"/>
              </w:rPr>
              <w:t>December 31, 2020</w:t>
            </w:r>
          </w:p>
        </w:tc>
      </w:tr>
      <w:tr>
        <w:trPr>
          <w:trHeight w:val="19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198"/>
        </w:trPr>
        <w:tc>
          <w:tcPr>
            <w:tcW w:w="5200" w:type="dxa"/>
            <w:vAlign w:val="bottom"/>
          </w:tcPr>
          <w:p>
            <w:pPr>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198"/>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Due to CTO</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198"/>
        </w:trPr>
        <w:tc>
          <w:tcPr>
            <w:tcW w:w="5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Rate Swap</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r>
      <w:tr>
        <w:trPr>
          <w:trHeight w:val="19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Accounts Payable, Accrued Expenses, and Other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8. LONG-TERM DEBT</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2021, the Company’s outstanding indebtedness, at face value, was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2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Face Value Debt</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3"/>
              </w:rPr>
              <w:t>Stated Interest Rate</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179"/>
        </w:trPr>
        <w:tc>
          <w:tcPr>
            <w:tcW w:w="224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8"/>
              </w:rPr>
              <w:t>30-Day LIBOR +</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Facility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[1.35% - 1.95%]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November 2023</w:t>
            </w:r>
          </w:p>
        </w:tc>
        <w:tc>
          <w:tcPr>
            <w:tcW w:w="0" w:type="dxa"/>
            <w:vAlign w:val="bottom"/>
          </w:tcPr>
          <w:p>
            <w:pPr>
              <w:spacing w:after="0"/>
              <w:rPr>
                <w:sz w:val="1"/>
                <w:szCs w:val="1"/>
                <w:color w:val="auto"/>
              </w:rPr>
            </w:pPr>
          </w:p>
        </w:tc>
      </w:tr>
      <w:tr>
        <w:trPr>
          <w:trHeight w:val="186"/>
        </w:trPr>
        <w:tc>
          <w:tcPr>
            <w:tcW w:w="368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2026 Term Loan </w:t>
            </w:r>
            <w:r>
              <w:rPr>
                <w:rFonts w:ascii="Arial" w:cs="Arial" w:eastAsia="Arial" w:hAnsi="Arial"/>
                <w:sz w:val="24"/>
                <w:szCs w:val="24"/>
                <w:color w:val="auto"/>
                <w:vertAlign w:val="superscript"/>
              </w:rPr>
              <w:t>(1)</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98"/>
              </w:rPr>
              <w:t>30-Day LIBOR +</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60,000</w:t>
            </w:r>
          </w:p>
        </w:tc>
        <w:tc>
          <w:tcPr>
            <w:tcW w:w="1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[1.35% - 1.95%]</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May 2026</w:t>
            </w:r>
          </w:p>
        </w:tc>
        <w:tc>
          <w:tcPr>
            <w:tcW w:w="0" w:type="dxa"/>
            <w:vAlign w:val="bottom"/>
          </w:tcPr>
          <w:p>
            <w:pPr>
              <w:spacing w:after="0"/>
              <w:rPr>
                <w:sz w:val="1"/>
                <w:szCs w:val="1"/>
                <w:color w:val="auto"/>
              </w:rPr>
            </w:pPr>
          </w:p>
        </w:tc>
      </w:tr>
      <w:tr>
        <w:trPr>
          <w:trHeight w:val="186"/>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 xml:space="preserve">2027 Term Loan </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30-Day LIBOR +</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[1.25% - 1.90%]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January 2027</w:t>
            </w:r>
          </w:p>
        </w:tc>
        <w:tc>
          <w:tcPr>
            <w:tcW w:w="0" w:type="dxa"/>
            <w:vAlign w:val="bottom"/>
          </w:tcPr>
          <w:p>
            <w:pPr>
              <w:spacing w:after="0"/>
              <w:rPr>
                <w:sz w:val="1"/>
                <w:szCs w:val="1"/>
                <w:color w:val="auto"/>
              </w:rPr>
            </w:pPr>
          </w:p>
        </w:tc>
      </w:tr>
      <w:tr>
        <w:trPr>
          <w:trHeight w:val="198"/>
        </w:trPr>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Mortgage Note Payable – CMBS Portfolio</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4.33%</w:t>
            </w: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October 2034</w:t>
            </w:r>
          </w:p>
        </w:tc>
        <w:tc>
          <w:tcPr>
            <w:tcW w:w="0" w:type="dxa"/>
            <w:vAlign w:val="bottom"/>
          </w:tcPr>
          <w:p>
            <w:pPr>
              <w:spacing w:after="0"/>
              <w:rPr>
                <w:sz w:val="1"/>
                <w:szCs w:val="1"/>
                <w:color w:val="auto"/>
              </w:rPr>
            </w:pPr>
          </w:p>
        </w:tc>
      </w:tr>
      <w:tr>
        <w:trPr>
          <w:trHeight w:val="190"/>
        </w:trPr>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Debt/Weighted – Average Rate</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191,500</w:t>
            </w:r>
          </w:p>
        </w:tc>
        <w:tc>
          <w:tcPr>
            <w:tcW w:w="18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2.30%</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24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79" w:hanging="297"/>
        <w:spacing w:after="0" w:line="226" w:lineRule="auto"/>
        <w:tabs>
          <w:tab w:leader="none" w:pos="340" w:val="left"/>
        </w:tabs>
        <w:numPr>
          <w:ilvl w:val="0"/>
          <w:numId w:val="8"/>
        </w:numPr>
        <w:rPr>
          <w:rFonts w:ascii="Arial" w:cs="Arial" w:eastAsia="Arial" w:hAnsi="Arial"/>
          <w:sz w:val="10"/>
          <w:szCs w:val="10"/>
          <w:color w:val="auto"/>
        </w:rPr>
      </w:pPr>
      <w:r>
        <w:rPr>
          <w:rFonts w:ascii="Arial" w:cs="Arial" w:eastAsia="Arial" w:hAnsi="Arial"/>
          <w:sz w:val="13"/>
          <w:szCs w:val="13"/>
          <w:color w:val="auto"/>
        </w:rPr>
        <w:t>Effective May 21, 2021, the Company utilized interest rate swaps to fix LIBOR and achieve a weighted average fixed interest rate of 0.81% plus the applicable spread on the $60.0 million 2026 Term Loan (hereinafter defined) balance.</w:t>
      </w:r>
    </w:p>
    <w:p>
      <w:pPr>
        <w:jc w:val="both"/>
        <w:ind w:left="340" w:right="59" w:hanging="297"/>
        <w:spacing w:after="0" w:line="285" w:lineRule="auto"/>
        <w:tabs>
          <w:tab w:leader="none" w:pos="340" w:val="left"/>
        </w:tabs>
        <w:numPr>
          <w:ilvl w:val="0"/>
          <w:numId w:val="8"/>
        </w:numPr>
        <w:rPr>
          <w:rFonts w:ascii="Arial" w:cs="Arial" w:eastAsia="Arial" w:hAnsi="Arial"/>
          <w:sz w:val="8"/>
          <w:szCs w:val="8"/>
          <w:color w:val="auto"/>
        </w:rPr>
      </w:pPr>
      <w:r>
        <w:rPr>
          <w:rFonts w:ascii="Arial" w:cs="Arial" w:eastAsia="Arial" w:hAnsi="Arial"/>
          <w:sz w:val="11"/>
          <w:szCs w:val="11"/>
          <w:color w:val="auto"/>
        </w:rPr>
        <w:t>Effective September 30, 2021, the Company utilized interest rate swaps, inclusive of the existing $50.0 million interest rate swap entered into as of April 30, 2020, to fix LIBOR and achieve a weighted average fixed interest rate of 0.53% plus the applicable spread on the $80.0 million 2027 Term Loan (hereinafter defined) balance. On September 30, 2021, the Company entered into an additional interest rate swap to extend the fixed interest rate through maturity on January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9" w:name="page20"/>
    <w:bookmarkEnd w:id="1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firstLine="297"/>
        <w:spacing w:after="0" w:line="263"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On November 26, 2019, the Company and the Operating Partnership entered into a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Credit Agreement”) with a group of lenders for a senior unsecured revolving credit facility (the “Credit Facility”) in the maximum aggregate initial original principal amount of up to $100.0 million. The Credit Facility includes an accordion feature that may allow the Operating Partnership to increase the availability under the Credit Facility by an additional $50.0 million, subject to meeting specified requirements and obtaining additional commitments from lenders. BMO Capital Markets Corp. and Raymond James Bank, N.A. are joint lead arrangers and joint bookrunners, with Bank of Montreal (“BMO”) as administrative agent. The Credit Facility has a base term of four years, with the ability to extend the base term for one year.</w:t>
      </w:r>
    </w:p>
    <w:p>
      <w:pPr>
        <w:spacing w:after="0" w:line="173"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On June 30, 2020, the Company and the Operating Partnership executed the first amendment to the Credit Facility Credit Agreement whereby the tangible net worth covenant was adjusted to be more reflective of market terms.</w:t>
      </w:r>
    </w:p>
    <w:p>
      <w:pPr>
        <w:spacing w:after="0" w:line="149"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On October 16, 2020, the Company and the Operating Partnership executed the second amendment to the Credit Facility (the “Second Amendment”), with the addition of two lenders, Huntington National Bank and Truist Bank. As a result of the Second Amendment, the Credit Facility has a total borrowing capacity of $150.0 million with the ability to increase that capacity up to $200.0 million during the term, utilizing an accordion feature, subject to lender approval.</w:t>
      </w:r>
    </w:p>
    <w:p>
      <w:pPr>
        <w:spacing w:after="0" w:line="165" w:lineRule="exact"/>
        <w:rPr>
          <w:sz w:val="20"/>
          <w:szCs w:val="20"/>
          <w:color w:val="auto"/>
        </w:rPr>
      </w:pPr>
    </w:p>
    <w:p>
      <w:pPr>
        <w:jc w:val="both"/>
        <w:ind w:left="40" w:right="59" w:firstLine="297"/>
        <w:spacing w:after="0" w:line="285" w:lineRule="auto"/>
        <w:rPr>
          <w:sz w:val="20"/>
          <w:szCs w:val="20"/>
          <w:color w:val="auto"/>
        </w:rPr>
      </w:pPr>
      <w:r>
        <w:rPr>
          <w:rFonts w:ascii="Arial" w:cs="Arial" w:eastAsia="Arial" w:hAnsi="Arial"/>
          <w:sz w:val="15"/>
          <w:szCs w:val="15"/>
          <w:color w:val="auto"/>
        </w:rPr>
        <w:t>On May 19, 2021, the Company and the Operating Partnership executed the third amendment to the Credit Facility (the “Third Amendment”). Among other things, the Third Amendment revised the Credit Facility Credit Agreement to provide that as of the last day of each fiscal quarter, the Operating Partnership shall not permit the ratio of Unsecured Indebtedness to Borrowing Base Value (as defined in the Credit Facility Credit Agreement) to be greater than 0.60 to 1:00. Prior to the Third Amendment, the Credit Facility Credit Agreement provided that as of the last day of each fiscal quarter, the Operating Partnership could not permit the ratio of Unsecured Indebtedness to Total Asset Value (as defined in the Credit Facility Credit Agreement) to be greater than 0.60 to 1:00.</w:t>
      </w:r>
    </w:p>
    <w:p>
      <w:pPr>
        <w:spacing w:after="0" w:line="157"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Pursuant to the Credit Facility Credit Agreement, the indebtedness outstanding under the Credit Facility accrues at a rate ranging from the 30-day LIBOR plus 135 basis points to the 30-day LIBOR plus 195 basis points, based on the total balance outstanding under the Credit Facility as a percentage of the total asset value of the Operating Partnership, as defined in the Credit Facility Credit Agreement. The Credit Facility also accrues a fee of 15 to 25 basis points for any unused portion of the borrowing capacity based on whether the unused portion is greater or less than 50% of the total borrowing capacity.</w:t>
      </w:r>
    </w:p>
    <w:p>
      <w:pPr>
        <w:spacing w:after="0" w:line="169" w:lineRule="exact"/>
        <w:rPr>
          <w:sz w:val="20"/>
          <w:szCs w:val="20"/>
          <w:color w:val="auto"/>
        </w:rPr>
      </w:pPr>
    </w:p>
    <w:p>
      <w:pPr>
        <w:jc w:val="both"/>
        <w:ind w:left="40" w:right="59" w:firstLine="351"/>
        <w:spacing w:after="0" w:line="285" w:lineRule="auto"/>
        <w:rPr>
          <w:sz w:val="20"/>
          <w:szCs w:val="20"/>
          <w:color w:val="auto"/>
        </w:rPr>
      </w:pPr>
      <w:r>
        <w:rPr>
          <w:rFonts w:ascii="Arial" w:cs="Arial" w:eastAsia="Arial" w:hAnsi="Arial"/>
          <w:sz w:val="15"/>
          <w:szCs w:val="15"/>
          <w:color w:val="auto"/>
        </w:rPr>
        <w:t>The Operating Partnership is subject to customary restrictive covenants under the Credit Facility Credit Agreement, the 2026 Term Loan Credit Agreement (hereinafter defined), and the 2027 Term Loan Credit Agreement (hereinafter defined), collectively referred to herein as the “Credit Agreements”, including, but not limited to, limitations on the Operating Partnership’s ability to: (a) incur indebtedness; (b) make certain investments; (c) incur certain liens; (d) engage in certain affiliate transactions; and (e) engage in certain major transactions such as mergers. The Credit Agreements also contain financial covenants covering the Operating Partnership, including but not limited to, tangible net worth and fixed charge coverage ratios.</w:t>
      </w:r>
    </w:p>
    <w:p>
      <w:pPr>
        <w:spacing w:after="0" w:line="157"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At September 30, 2021, the current commitment level under the Credit Facility was $150.0 million and the Company had an outstanding balance of $21.5 million.</w:t>
      </w:r>
    </w:p>
    <w:p>
      <w:pPr>
        <w:spacing w:after="0" w:line="149" w:lineRule="exact"/>
        <w:rPr>
          <w:sz w:val="20"/>
          <w:szCs w:val="20"/>
          <w:color w:val="auto"/>
        </w:rPr>
      </w:pPr>
    </w:p>
    <w:p>
      <w:pPr>
        <w:jc w:val="both"/>
        <w:ind w:left="40" w:right="59" w:firstLine="297"/>
        <w:spacing w:after="0" w:line="264" w:lineRule="auto"/>
        <w:rPr>
          <w:sz w:val="20"/>
          <w:szCs w:val="20"/>
          <w:color w:val="auto"/>
        </w:rPr>
      </w:pPr>
      <w:r>
        <w:rPr>
          <w:rFonts w:ascii="Arial" w:cs="Arial" w:eastAsia="Arial" w:hAnsi="Arial"/>
          <w:sz w:val="16"/>
          <w:szCs w:val="16"/>
          <w:i w:val="1"/>
          <w:iCs w:val="1"/>
          <w:color w:val="auto"/>
        </w:rPr>
        <w:t xml:space="preserve">2026 Term Loan. </w:t>
      </w:r>
      <w:r>
        <w:rPr>
          <w:rFonts w:ascii="Arial" w:cs="Arial" w:eastAsia="Arial" w:hAnsi="Arial"/>
          <w:sz w:val="16"/>
          <w:szCs w:val="16"/>
          <w:color w:val="auto"/>
        </w:rPr>
        <w:t>On May 21, 2021, the Operating Partnership, the Company and certain subsidiaries of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term loan credit agreement (the “2026 Term Loan Credit Agreement”) for a term loan (the “2026 Term Loan”) in an aggregate principal amount of $60.0 million with a maturity of five years. Truist Securities, Inc. is acting as sole lead arranger and sole book runner, with Truist Bank, N.A. as administrative agent. Truist Bank, N.A., Bank of Montreal, Raymond James Bank, N.A. and Stifel Bank are lenders under the 2026 Term Loan. In addition, the Operating Partnership may request up to three incremental term loan commitments in an aggregate amount not to exceed $100.0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0" w:name="page21"/>
    <w:bookmarkEnd w:id="2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firstLine="297"/>
        <w:spacing w:after="0" w:line="282" w:lineRule="auto"/>
        <w:rPr>
          <w:sz w:val="20"/>
          <w:szCs w:val="20"/>
          <w:color w:val="auto"/>
        </w:rPr>
      </w:pPr>
      <w:r>
        <w:rPr>
          <w:rFonts w:ascii="Arial" w:cs="Arial" w:eastAsia="Arial" w:hAnsi="Arial"/>
          <w:sz w:val="15"/>
          <w:szCs w:val="15"/>
          <w:i w:val="1"/>
          <w:iCs w:val="1"/>
          <w:color w:val="auto"/>
        </w:rPr>
        <w:t xml:space="preserve">2027 Term Loan. </w:t>
      </w:r>
      <w:r>
        <w:rPr>
          <w:rFonts w:ascii="Arial" w:cs="Arial" w:eastAsia="Arial" w:hAnsi="Arial"/>
          <w:sz w:val="15"/>
          <w:szCs w:val="15"/>
          <w:color w:val="auto"/>
        </w:rPr>
        <w:t>On September 30, 2021, the Operating Partnership, the Company and certain subsidiaries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entered into a term loan credit agreement (the “2027 Term Loan Credit Agreement”) for a term loan (the “2027 Term Loan”) in an aggregate principal amount of $80.0 million (the “Term Commitment”) maturing in January 2027. KeyBanc Capital Markets Inc., Regions Capital Markets, and U.S. Bank National Association are acting as joint lead arrangers, with KeyBanc Capital Markets Inc. as sole book runner, and KeyBank National Association as administrative agent. KeyBank National Association, Regions Bank, U.S. Bank National Association, Bank of Montreal, Raymond James Bank, and The Huntington National Bank are lenders under the 2027 Term Loan. In addition, the Operating Partnership may request up to three incremental term loan commitments in an aggregate amount, together with the Term Commitment, not to exceed $200.0 million.</w:t>
      </w:r>
    </w:p>
    <w:p>
      <w:pPr>
        <w:spacing w:after="0" w:line="161"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i w:val="1"/>
          <w:iCs w:val="1"/>
          <w:color w:val="auto"/>
        </w:rPr>
        <w:t xml:space="preserve">Mortgage Notes Payable. </w:t>
      </w:r>
      <w:r>
        <w:rPr>
          <w:rFonts w:ascii="Arial" w:cs="Arial" w:eastAsia="Arial" w:hAnsi="Arial"/>
          <w:sz w:val="16"/>
          <w:szCs w:val="16"/>
          <w:color w:val="auto"/>
        </w:rPr>
        <w:t>On June 30, 2021, in connection with the acquisition of the CMBS Portfolio from CTO,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an existing $30.0 million secured mortgage, which bears a fixed interest rate of 4.33%. The mortgage note matures in October 2034 and is prepayable without penalty beginning in October 2024. Additionally, on June 30, 2021, in connection with the acquisition of two net lease properties from an unrelated third party, the Company assumed mortgage notes totaling an aggregate of $1.6 million, which balance was repaid on July 1, 2021.</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Long-term debt as of September 30, 2021 and December 31, 2020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2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2040" w:type="dxa"/>
            <w:vAlign w:val="bottom"/>
            <w:gridSpan w:val="4"/>
          </w:tcPr>
          <w:p>
            <w:pPr>
              <w:ind w:left="240"/>
              <w:spacing w:after="0"/>
              <w:rPr>
                <w:sz w:val="20"/>
                <w:szCs w:val="20"/>
                <w:color w:val="auto"/>
              </w:rPr>
            </w:pPr>
            <w:r>
              <w:rPr>
                <w:rFonts w:ascii="Arial" w:cs="Arial" w:eastAsia="Arial" w:hAnsi="Arial"/>
                <w:sz w:val="16"/>
                <w:szCs w:val="16"/>
                <w:b w:val="1"/>
                <w:bCs w:val="1"/>
                <w:color w:val="auto"/>
              </w:rPr>
              <w:t>December 31, 2020</w:t>
            </w:r>
          </w:p>
        </w:tc>
      </w:tr>
      <w:tr>
        <w:trPr>
          <w:trHeight w:val="175"/>
        </w:trPr>
        <w:tc>
          <w:tcPr>
            <w:tcW w:w="4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Due Within</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Due Within</w:t>
            </w:r>
          </w:p>
        </w:tc>
      </w:tr>
      <w:tr>
        <w:trPr>
          <w:trHeight w:val="214"/>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One Year</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One Year</w:t>
            </w:r>
          </w:p>
        </w:tc>
      </w:tr>
      <w:tr>
        <w:trPr>
          <w:trHeight w:val="191"/>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Credit Facility</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106,809</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8"/>
        </w:trPr>
        <w:tc>
          <w:tcPr>
            <w:tcW w:w="4300" w:type="dxa"/>
            <w:vAlign w:val="bottom"/>
          </w:tcPr>
          <w:p>
            <w:pPr>
              <w:spacing w:after="0"/>
              <w:rPr>
                <w:sz w:val="20"/>
                <w:szCs w:val="20"/>
                <w:color w:val="auto"/>
              </w:rPr>
            </w:pPr>
            <w:r>
              <w:rPr>
                <w:rFonts w:ascii="Arial" w:cs="Arial" w:eastAsia="Arial" w:hAnsi="Arial"/>
                <w:sz w:val="16"/>
                <w:szCs w:val="16"/>
                <w:color w:val="auto"/>
              </w:rPr>
              <w:t>2026 Term Loan</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198"/>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2027 Term Loan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8"/>
        </w:trPr>
        <w:tc>
          <w:tcPr>
            <w:tcW w:w="4300" w:type="dxa"/>
            <w:vAlign w:val="bottom"/>
          </w:tcPr>
          <w:p>
            <w:pPr>
              <w:spacing w:after="0"/>
              <w:rPr>
                <w:sz w:val="20"/>
                <w:szCs w:val="20"/>
                <w:color w:val="auto"/>
              </w:rPr>
            </w:pPr>
            <w:r>
              <w:rPr>
                <w:rFonts w:ascii="Arial" w:cs="Arial" w:eastAsia="Arial" w:hAnsi="Arial"/>
                <w:sz w:val="16"/>
                <w:szCs w:val="16"/>
                <w:color w:val="auto"/>
              </w:rPr>
              <w:t>Mortgage Note Payable – CMBS Portfolio</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198"/>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Financing Costs, net of accumulated amortization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Total Long-Term Debt</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190,195</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106,809</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Payments applicable to reduction of principal amounts as of September 30, 2021 will be required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340" w:type="dxa"/>
            <w:vAlign w:val="bottom"/>
          </w:tcPr>
          <w:p>
            <w:pPr>
              <w:spacing w:after="0"/>
              <w:rPr>
                <w:sz w:val="18"/>
                <w:szCs w:val="18"/>
                <w:color w:val="auto"/>
              </w:rPr>
            </w:pPr>
          </w:p>
        </w:tc>
        <w:tc>
          <w:tcPr>
            <w:tcW w:w="1440" w:type="dxa"/>
            <w:vAlign w:val="bottom"/>
          </w:tcPr>
          <w:p>
            <w:pPr>
              <w:jc w:val="right"/>
              <w:ind w:right="518"/>
              <w:spacing w:after="0"/>
              <w:rPr>
                <w:sz w:val="20"/>
                <w:szCs w:val="20"/>
                <w:color w:val="auto"/>
              </w:rPr>
            </w:pPr>
            <w:r>
              <w:rPr>
                <w:rFonts w:ascii="Arial" w:cs="Arial" w:eastAsia="Arial" w:hAnsi="Arial"/>
                <w:sz w:val="16"/>
                <w:szCs w:val="16"/>
                <w:b w:val="1"/>
                <w:bCs w:val="1"/>
                <w:color w:val="auto"/>
              </w:rPr>
              <w:t>Amount</w:t>
            </w:r>
          </w:p>
        </w:tc>
      </w:tr>
      <w:tr>
        <w:trPr>
          <w:trHeight w:val="191"/>
        </w:trPr>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6920" w:type="dxa"/>
            <w:vAlign w:val="bottom"/>
          </w:tcPr>
          <w:p>
            <w:pPr>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r>
      <w:tr>
        <w:trPr>
          <w:trHeight w:val="198"/>
        </w:trPr>
        <w:tc>
          <w:tcPr>
            <w:tcW w:w="6920" w:type="dxa"/>
            <w:vAlign w:val="bottom"/>
          </w:tcPr>
          <w:p>
            <w:pPr>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2026 and thereafter</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170,000</w:t>
            </w:r>
          </w:p>
        </w:tc>
      </w:tr>
      <w:tr>
        <w:trPr>
          <w:trHeight w:val="190"/>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Long-Term Debt - Face Value</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191,500</w:t>
            </w: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of long-term debt as of September 30, 2021 consisted of the following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7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Total</w:t>
            </w:r>
          </w:p>
        </w:tc>
      </w:tr>
      <w:tr>
        <w:trPr>
          <w:trHeight w:val="191"/>
        </w:trPr>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Current Face Amount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191,500</w:t>
            </w:r>
          </w:p>
        </w:tc>
      </w:tr>
      <w:tr>
        <w:trPr>
          <w:trHeight w:val="198"/>
        </w:trPr>
        <w:tc>
          <w:tcPr>
            <w:tcW w:w="7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Financing Costs, net of accumulated amortization</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r>
      <w:tr>
        <w:trPr>
          <w:trHeight w:val="190"/>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Debt</w:t>
            </w: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190,195</w:t>
            </w:r>
          </w:p>
        </w:tc>
      </w:tr>
      <w:tr>
        <w:trPr>
          <w:trHeight w:val="20"/>
        </w:trPr>
        <w:tc>
          <w:tcPr>
            <w:tcW w:w="7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40" w:right="59" w:firstLine="297"/>
        <w:spacing w:after="0" w:line="258" w:lineRule="auto"/>
        <w:rPr>
          <w:sz w:val="20"/>
          <w:szCs w:val="20"/>
          <w:color w:val="auto"/>
        </w:rPr>
      </w:pPr>
      <w:r>
        <w:rPr>
          <w:rFonts w:ascii="Arial" w:cs="Arial" w:eastAsia="Arial" w:hAnsi="Arial"/>
          <w:sz w:val="15"/>
          <w:szCs w:val="15"/>
          <w:color w:val="auto"/>
        </w:rPr>
        <w:t>In addition to the $1.3 million of financing costs, net of accumulated amortization included in the table above, as of September 30, 2021,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1" w:name="page22"/>
    <w:bookmarkEnd w:id="2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0" w:right="59" w:firstLine="297"/>
        <w:spacing w:after="0" w:line="258" w:lineRule="auto"/>
        <w:rPr>
          <w:sz w:val="20"/>
          <w:szCs w:val="20"/>
          <w:color w:val="auto"/>
        </w:rPr>
      </w:pPr>
      <w:r>
        <w:rPr>
          <w:rFonts w:ascii="Arial" w:cs="Arial" w:eastAsia="Arial" w:hAnsi="Arial"/>
          <w:sz w:val="16"/>
          <w:szCs w:val="16"/>
          <w:color w:val="auto"/>
        </w:rPr>
        <w:t>The following table reflects a summary of interest expense incurred and paid during the three and nine months ended September 30, 2021 and 2020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6"/>
                <w:szCs w:val="16"/>
                <w:color w:val="auto"/>
              </w:rPr>
            </w:pPr>
          </w:p>
        </w:tc>
        <w:tc>
          <w:tcPr>
            <w:tcW w:w="2200" w:type="dxa"/>
            <w:vAlign w:val="bottom"/>
            <w:gridSpan w:val="4"/>
          </w:tcPr>
          <w:p>
            <w:pPr>
              <w:jc w:val="right"/>
              <w:ind w:right="426"/>
              <w:spacing w:after="0"/>
              <w:rPr>
                <w:sz w:val="20"/>
                <w:szCs w:val="20"/>
                <w:color w:val="auto"/>
              </w:rPr>
            </w:pPr>
            <w:r>
              <w:rPr>
                <w:rFonts w:ascii="Arial" w:cs="Arial" w:eastAsia="Arial" w:hAnsi="Arial"/>
                <w:sz w:val="15"/>
                <w:szCs w:val="15"/>
                <w:b w:val="1"/>
                <w:bCs w:val="1"/>
                <w:color w:val="auto"/>
              </w:rPr>
              <w:t>Nine Months Ended</w:t>
            </w:r>
          </w:p>
        </w:tc>
      </w:tr>
      <w:tr>
        <w:trPr>
          <w:trHeight w:val="169"/>
        </w:trPr>
        <w:tc>
          <w:tcPr>
            <w:tcW w:w="4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6"/>
              <w:spacing w:after="0" w:line="169" w:lineRule="exact"/>
              <w:rPr>
                <w:sz w:val="20"/>
                <w:szCs w:val="20"/>
                <w:color w:val="auto"/>
              </w:rPr>
            </w:pPr>
            <w:r>
              <w:rPr>
                <w:rFonts w:ascii="Arial" w:cs="Arial" w:eastAsia="Arial" w:hAnsi="Arial"/>
                <w:sz w:val="15"/>
                <w:szCs w:val="15"/>
                <w:b w:val="1"/>
                <w:bCs w:val="1"/>
                <w:color w:val="auto"/>
                <w:w w:val="85"/>
              </w:rPr>
              <w:t>September 30,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6"/>
              <w:spacing w:after="0" w:line="169" w:lineRule="exact"/>
              <w:rPr>
                <w:sz w:val="20"/>
                <w:szCs w:val="20"/>
                <w:color w:val="auto"/>
              </w:rPr>
            </w:pPr>
            <w:r>
              <w:rPr>
                <w:rFonts w:ascii="Arial" w:cs="Arial" w:eastAsia="Arial" w:hAnsi="Arial"/>
                <w:sz w:val="15"/>
                <w:szCs w:val="15"/>
                <w:b w:val="1"/>
                <w:bCs w:val="1"/>
                <w:color w:val="auto"/>
                <w:w w:val="87"/>
              </w:rPr>
              <w:t>September 30,</w:t>
            </w:r>
          </w:p>
        </w:tc>
      </w:tr>
      <w:tr>
        <w:trPr>
          <w:trHeight w:val="195"/>
        </w:trPr>
        <w:tc>
          <w:tcPr>
            <w:tcW w:w="42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2020</w:t>
            </w:r>
          </w:p>
        </w:tc>
      </w:tr>
      <w:tr>
        <w:trPr>
          <w:trHeight w:val="181"/>
        </w:trPr>
        <w:tc>
          <w:tcPr>
            <w:tcW w:w="42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Interest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w:t>
            </w:r>
          </w:p>
        </w:tc>
      </w:tr>
      <w:tr>
        <w:trPr>
          <w:trHeight w:val="186"/>
        </w:trPr>
        <w:tc>
          <w:tcPr>
            <w:tcW w:w="42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Amortization of Deferred Financing Costs to Interest Expense</w:t>
            </w: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w:t>
            </w:r>
          </w:p>
        </w:tc>
      </w:tr>
      <w:tr>
        <w:trPr>
          <w:trHeight w:val="178"/>
        </w:trPr>
        <w:tc>
          <w:tcPr>
            <w:tcW w:w="42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Total Interest Expense</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w:t>
            </w:r>
          </w:p>
        </w:tc>
      </w:tr>
      <w:tr>
        <w:trPr>
          <w:trHeight w:val="20"/>
        </w:trPr>
        <w:tc>
          <w:tcPr>
            <w:tcW w:w="4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Interest Paid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w:t>
            </w:r>
          </w:p>
        </w:tc>
      </w:tr>
      <w:tr>
        <w:trPr>
          <w:trHeight w:val="20"/>
        </w:trPr>
        <w:tc>
          <w:tcPr>
            <w:tcW w:w="4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in compliance with all of its debt covenants as of September 30, 2021.</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9. INTEREST RATE SWAPS</w:t>
      </w:r>
    </w:p>
    <w:p>
      <w:pPr>
        <w:spacing w:after="0" w:line="253" w:lineRule="exact"/>
        <w:rPr>
          <w:sz w:val="20"/>
          <w:szCs w:val="20"/>
          <w:color w:val="auto"/>
        </w:rPr>
      </w:pPr>
    </w:p>
    <w:p>
      <w:pPr>
        <w:jc w:val="both"/>
        <w:ind w:left="40" w:right="59" w:firstLine="451"/>
        <w:spacing w:after="0" w:line="264"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nine months ended September 30, 2021.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9"/>
              </w:rPr>
              <w:t>Effective</w:t>
            </w:r>
          </w:p>
        </w:tc>
        <w:tc>
          <w:tcPr>
            <w:tcW w:w="10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9"/>
              </w:rPr>
              <w:t>Maturity</w:t>
            </w: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66"/>
              <w:spacing w:after="0"/>
              <w:rPr>
                <w:sz w:val="20"/>
                <w:szCs w:val="20"/>
                <w:color w:val="auto"/>
              </w:rPr>
            </w:pPr>
            <w:r>
              <w:rPr>
                <w:rFonts w:ascii="Arial" w:cs="Arial" w:eastAsia="Arial" w:hAnsi="Arial"/>
                <w:sz w:val="15"/>
                <w:szCs w:val="15"/>
                <w:b w:val="1"/>
                <w:bCs w:val="1"/>
                <w:color w:val="auto"/>
              </w:rPr>
              <w:t>Fair Value as of</w:t>
            </w:r>
          </w:p>
        </w:tc>
      </w:tr>
      <w:tr>
        <w:trPr>
          <w:trHeight w:val="195"/>
        </w:trPr>
        <w:tc>
          <w:tcPr>
            <w:tcW w:w="1780" w:type="dxa"/>
            <w:vAlign w:val="bottom"/>
            <w:gridSpan w:val="2"/>
          </w:tcPr>
          <w:p>
            <w:pPr>
              <w:spacing w:after="0"/>
              <w:rPr>
                <w:sz w:val="20"/>
                <w:szCs w:val="20"/>
                <w:color w:val="auto"/>
              </w:rPr>
            </w:pPr>
            <w:r>
              <w:rPr>
                <w:rFonts w:ascii="Arial" w:cs="Arial" w:eastAsia="Arial" w:hAnsi="Arial"/>
                <w:sz w:val="15"/>
                <w:szCs w:val="15"/>
                <w:b w:val="1"/>
                <w:bCs w:val="1"/>
                <w:color w:val="auto"/>
              </w:rPr>
              <w:t>Hedged Item</w:t>
            </w:r>
          </w:p>
        </w:tc>
        <w:tc>
          <w:tcPr>
            <w:tcW w:w="10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10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24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Rate</w:t>
            </w: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6"/>
                <w:szCs w:val="16"/>
                <w:color w:val="auto"/>
              </w:rPr>
            </w:pPr>
          </w:p>
        </w:tc>
        <w:tc>
          <w:tcPr>
            <w:tcW w:w="1380" w:type="dxa"/>
            <w:vAlign w:val="bottom"/>
          </w:tcPr>
          <w:p>
            <w:pPr>
              <w:jc w:val="right"/>
              <w:ind w:right="46"/>
              <w:spacing w:after="0"/>
              <w:rPr>
                <w:sz w:val="20"/>
                <w:szCs w:val="20"/>
                <w:color w:val="auto"/>
              </w:rPr>
            </w:pPr>
            <w:r>
              <w:rPr>
                <w:rFonts w:ascii="Arial" w:cs="Arial" w:eastAsia="Arial" w:hAnsi="Arial"/>
                <w:sz w:val="15"/>
                <w:szCs w:val="15"/>
                <w:b w:val="1"/>
                <w:bCs w:val="1"/>
                <w:color w:val="auto"/>
                <w:w w:val="88"/>
              </w:rPr>
              <w:t>September 30, 2021</w:t>
            </w:r>
          </w:p>
        </w:tc>
      </w:tr>
      <w:tr>
        <w:trPr>
          <w:trHeight w:val="181"/>
        </w:trPr>
        <w:tc>
          <w:tcPr>
            <w:tcW w:w="162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4"/>
                <w:szCs w:val="14"/>
                <w:color w:val="auto"/>
              </w:rPr>
              <w:t xml:space="preserve">2026 Term Loan </w:t>
            </w:r>
            <w:r>
              <w:rPr>
                <w:rFonts w:ascii="Arial" w:cs="Arial" w:eastAsia="Arial" w:hAnsi="Arial"/>
                <w:sz w:val="20"/>
                <w:szCs w:val="20"/>
                <w:color w:val="auto"/>
                <w:vertAlign w:val="superscript"/>
              </w:rPr>
              <w:t>(1)</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5/21/2021</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5/21/2026</w:t>
            </w:r>
          </w:p>
        </w:tc>
        <w:tc>
          <w:tcPr>
            <w:tcW w:w="16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0.81% + applicable spread</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r>
      <w:tr>
        <w:trPr>
          <w:trHeight w:val="186"/>
        </w:trPr>
        <w:tc>
          <w:tcPr>
            <w:tcW w:w="1780" w:type="dxa"/>
            <w:vAlign w:val="bottom"/>
            <w:gridSpan w:val="2"/>
          </w:tcPr>
          <w:p>
            <w:pPr>
              <w:spacing w:after="0" w:line="186" w:lineRule="exact"/>
              <w:rPr>
                <w:sz w:val="20"/>
                <w:szCs w:val="20"/>
                <w:color w:val="auto"/>
              </w:rPr>
            </w:pPr>
            <w:r>
              <w:rPr>
                <w:rFonts w:ascii="Arial" w:cs="Arial" w:eastAsia="Arial" w:hAnsi="Arial"/>
                <w:sz w:val="14"/>
                <w:szCs w:val="14"/>
                <w:color w:val="auto"/>
              </w:rPr>
              <w:t xml:space="preserve">2027 Term Loan </w:t>
            </w:r>
            <w:r>
              <w:rPr>
                <w:rFonts w:ascii="Arial" w:cs="Arial" w:eastAsia="Arial" w:hAnsi="Arial"/>
                <w:sz w:val="21"/>
                <w:szCs w:val="21"/>
                <w:color w:val="auto"/>
                <w:vertAlign w:val="superscript"/>
              </w:rPr>
              <w:t>(2)</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9/30/2021</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11/26/2024</w:t>
            </w:r>
          </w:p>
        </w:tc>
        <w:tc>
          <w:tcPr>
            <w:tcW w:w="160" w:type="dxa"/>
            <w:vAlign w:val="bottom"/>
          </w:tcPr>
          <w:p>
            <w:pPr>
              <w:spacing w:after="0"/>
              <w:rPr>
                <w:sz w:val="16"/>
                <w:szCs w:val="16"/>
                <w:color w:val="auto"/>
              </w:rPr>
            </w:pPr>
          </w:p>
        </w:tc>
        <w:tc>
          <w:tcPr>
            <w:tcW w:w="2440" w:type="dxa"/>
            <w:vAlign w:val="bottom"/>
            <w:gridSpan w:val="2"/>
          </w:tcPr>
          <w:p>
            <w:pPr>
              <w:jc w:val="center"/>
              <w:ind w:right="180"/>
              <w:spacing w:after="0"/>
              <w:rPr>
                <w:sz w:val="20"/>
                <w:szCs w:val="20"/>
                <w:color w:val="auto"/>
              </w:rPr>
            </w:pPr>
            <w:r>
              <w:rPr>
                <w:rFonts w:ascii="Arial" w:cs="Arial" w:eastAsia="Arial" w:hAnsi="Arial"/>
                <w:sz w:val="15"/>
                <w:szCs w:val="15"/>
                <w:color w:val="auto"/>
                <w:w w:val="89"/>
              </w:rPr>
              <w:t>0.53% + applicable spread</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80,000</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178</w:t>
            </w:r>
          </w:p>
        </w:tc>
      </w:tr>
      <w:tr>
        <w:trPr>
          <w:trHeight w:val="186"/>
        </w:trPr>
        <w:tc>
          <w:tcPr>
            <w:tcW w:w="1780" w:type="dxa"/>
            <w:vAlign w:val="bottom"/>
            <w:gridSpan w:val="2"/>
            <w:shd w:val="clear" w:color="auto" w:fill="CCEEFF"/>
          </w:tcPr>
          <w:p>
            <w:pPr>
              <w:spacing w:after="0" w:line="186" w:lineRule="exact"/>
              <w:rPr>
                <w:sz w:val="20"/>
                <w:szCs w:val="20"/>
                <w:color w:val="auto"/>
              </w:rPr>
            </w:pPr>
            <w:r>
              <w:rPr>
                <w:rFonts w:ascii="Arial" w:cs="Arial" w:eastAsia="Arial" w:hAnsi="Arial"/>
                <w:sz w:val="14"/>
                <w:szCs w:val="14"/>
                <w:color w:val="auto"/>
              </w:rPr>
              <w:t xml:space="preserve">2027 Term Loan </w:t>
            </w:r>
            <w:r>
              <w:rPr>
                <w:rFonts w:ascii="Arial" w:cs="Arial" w:eastAsia="Arial" w:hAnsi="Arial"/>
                <w:sz w:val="21"/>
                <w:szCs w:val="21"/>
                <w:color w:val="auto"/>
                <w:vertAlign w:val="superscript"/>
              </w:rPr>
              <w:t>(3)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11/26/2024</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1/31/2027</w:t>
            </w:r>
          </w:p>
        </w:tc>
        <w:tc>
          <w:tcPr>
            <w:tcW w:w="16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w w:val="89"/>
              </w:rPr>
              <w:t>1.60% + applicable spread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104"/>
        </w:trPr>
        <w:tc>
          <w:tcPr>
            <w:tcW w:w="1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r>
    </w:tbl>
    <w:p>
      <w:pPr>
        <w:spacing w:after="0" w:line="58" w:lineRule="exact"/>
        <w:rPr>
          <w:sz w:val="20"/>
          <w:szCs w:val="20"/>
          <w:color w:val="auto"/>
        </w:rPr>
      </w:pPr>
    </w:p>
    <w:p>
      <w:pPr>
        <w:ind w:left="340" w:right="279" w:hanging="297"/>
        <w:spacing w:after="0" w:line="226" w:lineRule="auto"/>
        <w:tabs>
          <w:tab w:leader="none" w:pos="340" w:val="left"/>
        </w:tabs>
        <w:numPr>
          <w:ilvl w:val="0"/>
          <w:numId w:val="9"/>
        </w:numPr>
        <w:rPr>
          <w:rFonts w:ascii="Arial" w:cs="Arial" w:eastAsia="Arial" w:hAnsi="Arial"/>
          <w:sz w:val="10"/>
          <w:szCs w:val="10"/>
          <w:color w:val="auto"/>
        </w:rPr>
      </w:pPr>
      <w:r>
        <w:rPr>
          <w:rFonts w:ascii="Arial" w:cs="Arial" w:eastAsia="Arial" w:hAnsi="Arial"/>
          <w:sz w:val="13"/>
          <w:szCs w:val="13"/>
          <w:color w:val="auto"/>
        </w:rPr>
        <w:t>Effective May 21, 2021, the Company utilized interest rate swaps to fix LIBOR and achieve a weighted average fixed interest rate of 0.81% plus the applicable spread on the $60.0 million 2026 Term Loan balance.</w:t>
      </w:r>
    </w:p>
    <w:p>
      <w:pPr>
        <w:jc w:val="both"/>
        <w:ind w:left="340" w:right="59" w:hanging="297"/>
        <w:spacing w:after="0" w:line="218" w:lineRule="auto"/>
        <w:tabs>
          <w:tab w:leader="none" w:pos="340" w:val="left"/>
        </w:tabs>
        <w:numPr>
          <w:ilvl w:val="0"/>
          <w:numId w:val="9"/>
        </w:numPr>
        <w:rPr>
          <w:rFonts w:ascii="Arial" w:cs="Arial" w:eastAsia="Arial" w:hAnsi="Arial"/>
          <w:sz w:val="10"/>
          <w:szCs w:val="10"/>
          <w:color w:val="auto"/>
        </w:rPr>
      </w:pPr>
      <w:r>
        <w:rPr>
          <w:rFonts w:ascii="Arial" w:cs="Arial" w:eastAsia="Arial" w:hAnsi="Arial"/>
          <w:sz w:val="13"/>
          <w:szCs w:val="13"/>
          <w:color w:val="auto"/>
        </w:rPr>
        <w:t>Effective September 30, 2021, the Company utilized interest rate swaps, inclusive of its redesignation of the existing $50.0 million interest rate swap entered into as of April 30, 2020, to fix LIBOR and achieve a weighted average fixed interest rate of 0.53% plus the applicable spread on the $80.0 million 2027 Term Loan balance.</w:t>
      </w:r>
    </w:p>
    <w:p>
      <w:pPr>
        <w:spacing w:after="0" w:line="1" w:lineRule="exact"/>
        <w:rPr>
          <w:rFonts w:ascii="Arial" w:cs="Arial" w:eastAsia="Arial" w:hAnsi="Arial"/>
          <w:sz w:val="10"/>
          <w:szCs w:val="10"/>
          <w:color w:val="auto"/>
        </w:rPr>
      </w:pPr>
    </w:p>
    <w:p>
      <w:pPr>
        <w:ind w:left="340" w:right="79" w:hanging="297"/>
        <w:spacing w:after="0" w:line="234"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3"/>
          <w:szCs w:val="13"/>
          <w:color w:val="auto"/>
        </w:rPr>
        <w:t>The interest rate swap agreement hedges the $80.0 million 2027 Term Loan balance under different terms and commences concurrent to the interest rate agreements maturing on November 26, 2024.</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10. EQUITY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SHELF REGISTRATION</w:t>
      </w:r>
    </w:p>
    <w:p>
      <w:pPr>
        <w:spacing w:after="0" w:line="187"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ATM PROGRAM</w:t>
      </w:r>
    </w:p>
    <w:p>
      <w:pPr>
        <w:spacing w:after="0" w:line="200" w:lineRule="exact"/>
        <w:rPr>
          <w:sz w:val="20"/>
          <w:szCs w:val="20"/>
          <w:color w:val="auto"/>
        </w:rPr>
      </w:pPr>
    </w:p>
    <w:p>
      <w:pPr>
        <w:jc w:val="both"/>
        <w:ind w:left="40" w:right="59" w:firstLine="297"/>
        <w:spacing w:after="0" w:line="288" w:lineRule="auto"/>
        <w:rPr>
          <w:sz w:val="20"/>
          <w:szCs w:val="20"/>
          <w:color w:val="auto"/>
        </w:rPr>
      </w:pPr>
      <w:r>
        <w:rPr>
          <w:rFonts w:ascii="Arial" w:cs="Arial" w:eastAsia="Arial" w:hAnsi="Arial"/>
          <w:sz w:val="15"/>
          <w:szCs w:val="15"/>
          <w:color w:val="auto"/>
        </w:rPr>
        <w:t>On December 14, 2020, the Company implemented a $100.0 million “at-the-market” equity offering program (the “2020 ATM Program”) pursuant to which the Company may sell, from time to time, shares of the Company’s common stock. During the nine months ended September 30, 2021, the Company sold 610,229 shares under the 2020 ATM Program for $11.1 million at a weighted average price of $18.19 per share, generating net proceeds of $10.9 million after deducting fees totaling $0.2 million paid on the sales. The Company was not active under the 2020 ATM Program during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2" w:name="page23"/>
    <w:bookmarkEnd w:id="2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FOLLOW-ON PUBLIC OFFERING</w:t>
      </w:r>
    </w:p>
    <w:p>
      <w:pPr>
        <w:spacing w:after="0" w:line="212" w:lineRule="exact"/>
        <w:rPr>
          <w:sz w:val="20"/>
          <w:szCs w:val="20"/>
          <w:color w:val="auto"/>
        </w:rPr>
      </w:pPr>
    </w:p>
    <w:p>
      <w:pPr>
        <w:jc w:val="both"/>
        <w:ind w:left="40" w:right="59" w:firstLine="297"/>
        <w:spacing w:after="0" w:line="300" w:lineRule="auto"/>
        <w:rPr>
          <w:sz w:val="20"/>
          <w:szCs w:val="20"/>
          <w:color w:val="auto"/>
        </w:rPr>
      </w:pPr>
      <w:r>
        <w:rPr>
          <w:rFonts w:ascii="Arial" w:cs="Arial" w:eastAsia="Arial" w:hAnsi="Arial"/>
          <w:sz w:val="15"/>
          <w:szCs w:val="15"/>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NONCONTROLLING INTEREST</w:t>
      </w:r>
    </w:p>
    <w:p>
      <w:pPr>
        <w:spacing w:after="0" w:line="212" w:lineRule="exact"/>
        <w:rPr>
          <w:sz w:val="20"/>
          <w:szCs w:val="20"/>
          <w:color w:val="auto"/>
        </w:rPr>
      </w:pPr>
    </w:p>
    <w:p>
      <w:pPr>
        <w:jc w:val="both"/>
        <w:ind w:left="40" w:right="59" w:firstLine="297"/>
        <w:spacing w:after="0" w:line="263" w:lineRule="auto"/>
        <w:rPr>
          <w:sz w:val="20"/>
          <w:szCs w:val="20"/>
          <w:color w:val="auto"/>
        </w:rPr>
      </w:pPr>
      <w:r>
        <w:rPr>
          <w:rFonts w:ascii="Arial" w:cs="Arial" w:eastAsia="Arial" w:hAnsi="Arial"/>
          <w:sz w:val="16"/>
          <w:szCs w:val="16"/>
          <w:color w:val="auto"/>
        </w:rPr>
        <w:t>As of September 30, 2021, CTO holds, directly and indirectly, a 9.4% noncontrolling ownership interest in the Operating Partnership as a result of 1,223,854 OP Units issued to CTO at the time of the Company’s Formation Transactions, as further described in Note 1, “Business and Organization.” An additional 3.7% noncontrolling ownership interest is held by an unrelated third party in connection with the issuance of 479,640 OP Units valued at $9.0 million, reflecting $18.85 per unit, based on the Company’s trailing ten day average closing share price. The issuance of 479,640 OP Units includes (i) 424,951 OP Units issued as partial consideration for the portfolio of nine net lease properties acquired on June 30, 2021 and (ii) 54,689 OP Units issued in connection with the acquisition of one net lease property on July 12,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DIVIDENDS</w:t>
      </w:r>
    </w:p>
    <w:p>
      <w:pPr>
        <w:spacing w:after="0" w:line="212" w:lineRule="exact"/>
        <w:rPr>
          <w:sz w:val="20"/>
          <w:szCs w:val="20"/>
          <w:color w:val="auto"/>
        </w:rPr>
      </w:pPr>
    </w:p>
    <w:p>
      <w:pPr>
        <w:jc w:val="both"/>
        <w:ind w:left="40" w:right="59" w:firstLine="297"/>
        <w:spacing w:after="0" w:line="282" w:lineRule="auto"/>
        <w:rPr>
          <w:sz w:val="20"/>
          <w:szCs w:val="20"/>
          <w:color w:val="auto"/>
        </w:rPr>
      </w:pPr>
      <w:r>
        <w:rPr>
          <w:rFonts w:ascii="Arial" w:cs="Arial" w:eastAsia="Arial" w:hAnsi="Arial"/>
          <w:sz w:val="15"/>
          <w:szCs w:val="15"/>
          <w:color w:val="auto"/>
        </w:rPr>
        <w:t>The Company has elected to be taxed as a REIT for U.S. federal income tax purposes under the Internal Revenue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and nine months ended September 30, 2021, the Company declared and paid cash dividends on its common stock and OP Units of $0.255 per share and $0.745 per share,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3" w:name="page24"/>
    <w:bookmarkEnd w:id="2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11. COMMON STOCK AND EARNINGS PER SHARE</w:t>
      </w:r>
    </w:p>
    <w:p>
      <w:pPr>
        <w:spacing w:after="0" w:line="216"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is a reconciliation of basic and diluted earnings per common share (in thousands, except share and per share data):</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120" w:type="dxa"/>
            <w:vAlign w:val="bottom"/>
            <w:gridSpan w:val="4"/>
          </w:tcPr>
          <w:p>
            <w:pPr>
              <w:jc w:val="right"/>
              <w:ind w:right="378"/>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4240" w:type="dxa"/>
            <w:vAlign w:val="bottom"/>
          </w:tcPr>
          <w:p>
            <w:pPr>
              <w:spacing w:after="0"/>
              <w:rPr>
                <w:sz w:val="15"/>
                <w:szCs w:val="15"/>
                <w:color w:val="auto"/>
              </w:rPr>
            </w:pPr>
          </w:p>
        </w:tc>
        <w:tc>
          <w:tcPr>
            <w:tcW w:w="118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September 30,</w:t>
            </w:r>
          </w:p>
        </w:tc>
        <w:tc>
          <w:tcPr>
            <w:tcW w:w="11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5"/>
                <w:szCs w:val="15"/>
                <w:color w:val="auto"/>
              </w:rPr>
            </w:pPr>
          </w:p>
        </w:tc>
        <w:tc>
          <w:tcPr>
            <w:tcW w:w="120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September 30,</w:t>
            </w:r>
          </w:p>
        </w:tc>
        <w:tc>
          <w:tcPr>
            <w:tcW w:w="114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r>
      <w:tr>
        <w:trPr>
          <w:trHeight w:val="214"/>
        </w:trPr>
        <w:tc>
          <w:tcPr>
            <w:tcW w:w="4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2020</w:t>
            </w:r>
          </w:p>
        </w:tc>
      </w:tr>
      <w:tr>
        <w:trPr>
          <w:trHeight w:val="191"/>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Net Income Attributable to Alpine Income Property Trust, Inc.</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5"/>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w w:val="99"/>
              </w:rPr>
              <w:t>Weighted Average Number of Common Shares Outstanding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11,299,548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7,455,281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9,253,090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7,632,660</w:t>
            </w:r>
          </w:p>
        </w:tc>
      </w:tr>
      <w:tr>
        <w:trPr>
          <w:trHeight w:val="177"/>
        </w:trPr>
        <w:tc>
          <w:tcPr>
            <w:tcW w:w="4240" w:type="dxa"/>
            <w:vAlign w:val="bottom"/>
          </w:tcPr>
          <w:p>
            <w:pPr>
              <w:spacing w:after="0" w:line="177" w:lineRule="exact"/>
              <w:rPr>
                <w:sz w:val="20"/>
                <w:szCs w:val="20"/>
                <w:color w:val="auto"/>
              </w:rPr>
            </w:pPr>
            <w:r>
              <w:rPr>
                <w:rFonts w:ascii="Arial" w:cs="Arial" w:eastAsia="Arial" w:hAnsi="Arial"/>
                <w:sz w:val="16"/>
                <w:szCs w:val="16"/>
                <w:color w:val="auto"/>
                <w:w w:val="97"/>
              </w:rPr>
              <w:t>Weighted Average Number of Common Shares Applicable to</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9"/>
        </w:trPr>
        <w:tc>
          <w:tcPr>
            <w:tcW w:w="4240" w:type="dxa"/>
            <w:vAlign w:val="bottom"/>
            <w:tcBorders>
              <w:bottom w:val="single" w:sz="8" w:color="CCEEFF"/>
            </w:tcBorders>
          </w:tcPr>
          <w:p>
            <w:pPr>
              <w:spacing w:after="0" w:line="219" w:lineRule="exact"/>
              <w:rPr>
                <w:sz w:val="20"/>
                <w:szCs w:val="20"/>
                <w:color w:val="auto"/>
              </w:rPr>
            </w:pPr>
            <w:r>
              <w:rPr>
                <w:rFonts w:ascii="Arial" w:cs="Arial" w:eastAsia="Arial" w:hAnsi="Arial"/>
                <w:sz w:val="16"/>
                <w:szCs w:val="16"/>
                <w:color w:val="auto"/>
              </w:rPr>
              <w:t xml:space="preserve">OP Units using Treasury Stock Method </w:t>
            </w:r>
            <w:r>
              <w:rPr>
                <w:rFonts w:ascii="Arial" w:cs="Arial" w:eastAsia="Arial" w:hAnsi="Arial"/>
                <w:sz w:val="24"/>
                <w:szCs w:val="24"/>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1,696,955</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1,223,854</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1,384,844</w:t>
            </w: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1,223,854</w:t>
            </w:r>
          </w:p>
        </w:tc>
      </w:tr>
      <w:tr>
        <w:trPr>
          <w:trHeight w:val="19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Shares Applicable to Diluted Earnings per Share</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12,996,503</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8,679,135</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10,637,934</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8,856,514</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5"/>
        </w:trPr>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Common Share Data:</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4240" w:type="dxa"/>
            <w:vAlign w:val="bottom"/>
          </w:tcPr>
          <w:p>
            <w:pPr>
              <w:spacing w:after="0"/>
              <w:rPr>
                <w:sz w:val="20"/>
                <w:szCs w:val="20"/>
                <w:color w:val="auto"/>
              </w:rPr>
            </w:pPr>
            <w:r>
              <w:rPr>
                <w:rFonts w:ascii="Arial" w:cs="Arial" w:eastAsia="Arial" w:hAnsi="Arial"/>
                <w:sz w:val="16"/>
                <w:szCs w:val="16"/>
                <w:color w:val="auto"/>
                <w:w w:val="97"/>
              </w:rPr>
              <w:t>Net Income Attributable to Alpine Income Property Trust, Inc.</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8"/>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09"/>
        </w:trPr>
        <w:tc>
          <w:tcPr>
            <w:tcW w:w="4240" w:type="dxa"/>
            <w:vAlign w:val="bottom"/>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6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0.06</w:t>
            </w:r>
          </w:p>
        </w:tc>
        <w:tc>
          <w:tcPr>
            <w:tcW w:w="4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0.16</w:t>
            </w:r>
          </w:p>
        </w:tc>
        <w:tc>
          <w:tcPr>
            <w:tcW w:w="6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55880</wp:posOffset>
            </wp:positionV>
            <wp:extent cx="1414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39" w:lineRule="exact"/>
        <w:rPr>
          <w:sz w:val="20"/>
          <w:szCs w:val="20"/>
          <w:color w:val="auto"/>
        </w:rPr>
      </w:pPr>
    </w:p>
    <w:p>
      <w:pPr>
        <w:jc w:val="both"/>
        <w:ind w:left="340" w:right="59" w:hanging="297"/>
        <w:spacing w:after="0" w:line="234" w:lineRule="auto"/>
        <w:tabs>
          <w:tab w:leader="none" w:pos="340" w:val="left"/>
        </w:tabs>
        <w:numPr>
          <w:ilvl w:val="0"/>
          <w:numId w:val="10"/>
        </w:numPr>
        <w:rPr>
          <w:rFonts w:ascii="Arial" w:cs="Arial" w:eastAsia="Arial" w:hAnsi="Arial"/>
          <w:sz w:val="10"/>
          <w:szCs w:val="10"/>
          <w:color w:val="auto"/>
        </w:rPr>
      </w:pPr>
      <w:r>
        <w:rPr>
          <w:rFonts w:ascii="Arial" w:cs="Arial" w:eastAsia="Arial" w:hAnsi="Arial"/>
          <w:sz w:val="13"/>
          <w:szCs w:val="13"/>
          <w:color w:val="auto"/>
        </w:rPr>
        <w:t>Represents shares underlying OP units including (i) 1,223,854 shares underlying OP Units issued to CTO in connection with our Formation Transactions and (ii) 479,640 shares underlying OP Units issued to an unrelated third party in connection with the acquisition of ten net lease properties during the nine months ended September 30, 2021 (see Note 10, “Equity”).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12. SHARE REPURCHASES</w:t>
      </w:r>
    </w:p>
    <w:p>
      <w:pPr>
        <w:spacing w:after="0" w:line="216"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In March 2020, the Board approved a $5.0 million stock repurchase program (the “$5.0 Million Repurchase Program”). During the first half of 2020, the Company repurchased 456,237 shares of its common stock on the open market for a total cost of $5.0 million, or an average price per share of $11.02 which completed the $5.0 Million Repurchase Program. There were no repurchases of the Company’s common stock during the nine months ended September 30, 2021.</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13. STOCK-BASED COMPENSATION</w:t>
      </w:r>
    </w:p>
    <w:p>
      <w:pPr>
        <w:spacing w:after="0" w:line="216" w:lineRule="exact"/>
        <w:rPr>
          <w:sz w:val="20"/>
          <w:szCs w:val="20"/>
          <w:color w:val="auto"/>
        </w:rPr>
      </w:pPr>
    </w:p>
    <w:p>
      <w:pPr>
        <w:jc w:val="both"/>
        <w:ind w:left="40" w:right="59" w:firstLine="445"/>
        <w:spacing w:after="0" w:line="266" w:lineRule="auto"/>
        <w:rPr>
          <w:sz w:val="20"/>
          <w:szCs w:val="20"/>
          <w:color w:val="auto"/>
        </w:rPr>
      </w:pPr>
      <w:r>
        <w:rPr>
          <w:rFonts w:ascii="Arial" w:cs="Arial" w:eastAsia="Arial" w:hAnsi="Arial"/>
          <w:sz w:val="16"/>
          <w:szCs w:val="16"/>
          <w:color w:val="auto"/>
        </w:rPr>
        <w:t>In connection with the closing of the IPO, 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69" w:lineRule="exact"/>
        <w:rPr>
          <w:sz w:val="20"/>
          <w:szCs w:val="20"/>
          <w:color w:val="auto"/>
        </w:rPr>
      </w:pPr>
    </w:p>
    <w:p>
      <w:pPr>
        <w:jc w:val="both"/>
        <w:ind w:left="40" w:right="59" w:firstLine="451"/>
        <w:spacing w:after="0" w:line="247" w:lineRule="auto"/>
        <w:rPr>
          <w:sz w:val="20"/>
          <w:szCs w:val="20"/>
          <w:color w:val="auto"/>
        </w:rPr>
      </w:pPr>
      <w:r>
        <w:rPr>
          <w:rFonts w:ascii="Arial" w:cs="Arial" w:eastAsia="Arial" w:hAnsi="Arial"/>
          <w:sz w:val="16"/>
          <w:szCs w:val="16"/>
          <w:color w:val="auto"/>
        </w:rPr>
        <w:t>On November 26, 2019, in connection with the closing of the IPO, the Company granted restricted shares of common stock to each of the non-employee directors under the Individual Plan. Each of the non-employee directors received an award of 2,000 restricted shares of common stock on November 26, 2019. The restricted shares will vest in substantially equal installments on each of the first, second and third anniversaries of the grant date. As of September 30, 2021, the first increment of this award had vested, leaving 5,336 shares unvested.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4" w:name="page25"/>
    <w:bookmarkEnd w:id="2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64" w:lineRule="auto"/>
        <w:rPr>
          <w:sz w:val="20"/>
          <w:szCs w:val="20"/>
          <w:color w:val="auto"/>
        </w:rPr>
      </w:pPr>
      <w:r>
        <w:rPr>
          <w:rFonts w:ascii="Arial" w:cs="Arial" w:eastAsia="Arial" w:hAnsi="Arial"/>
          <w:sz w:val="15"/>
          <w:szCs w:val="15"/>
          <w:color w:val="auto"/>
        </w:rPr>
        <w:t>transferred by the grantee. Except for the grant of these 8,000 restricted shares of Common Stock, the Company has not made any grants under the Equity Incentive Plans. Any future grants under the Equity Incentive Plans will be approved by the compensation committee of the Board. The 2019 non-employee director share awards had an aggregate grant date fair value of $0.2 million.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 During each of the three months ended September 30, 2021 and 2020, the Company recognized stock compensation expense totaling $0.01 million. During each of the nine months ended September 30, 2021 and 2020, the Company recognized stock compensation expense totaling $0.04 million.</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activity for these awards during the nine months ended September 30, 2021 is presented below:</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Non-Vested Restricted Shares</w:t>
            </w:r>
          </w:p>
        </w:tc>
        <w:tc>
          <w:tcPr>
            <w:tcW w:w="1880" w:type="dxa"/>
            <w:vAlign w:val="bottom"/>
            <w:gridSpan w:val="2"/>
          </w:tcPr>
          <w:p>
            <w:pPr>
              <w:ind w:left="6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760" w:type="dxa"/>
            <w:vAlign w:val="bottom"/>
          </w:tcPr>
          <w:p>
            <w:pPr>
              <w:jc w:val="right"/>
              <w:ind w:right="138"/>
              <w:spacing w:after="0"/>
              <w:rPr>
                <w:sz w:val="20"/>
                <w:szCs w:val="20"/>
                <w:color w:val="auto"/>
              </w:rPr>
            </w:pPr>
            <w:r>
              <w:rPr>
                <w:rFonts w:ascii="Arial" w:cs="Arial" w:eastAsia="Arial" w:hAnsi="Arial"/>
                <w:sz w:val="16"/>
                <w:szCs w:val="16"/>
                <w:b w:val="1"/>
                <w:bCs w:val="1"/>
                <w:color w:val="auto"/>
                <w:w w:val="98"/>
              </w:rPr>
              <w:t>Wtd. Avg. Fair Value</w:t>
            </w:r>
          </w:p>
        </w:tc>
      </w:tr>
      <w:tr>
        <w:trPr>
          <w:trHeight w:val="191"/>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Outstanding at January 1, 2021</w:t>
            </w:r>
          </w:p>
        </w:tc>
        <w:tc>
          <w:tcPr>
            <w:tcW w:w="3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w:t>
            </w:r>
          </w:p>
        </w:tc>
      </w:tr>
      <w:tr>
        <w:trPr>
          <w:trHeight w:val="198"/>
        </w:trPr>
        <w:tc>
          <w:tcPr>
            <w:tcW w:w="51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5140" w:type="dxa"/>
            <w:vAlign w:val="bottom"/>
            <w:gridSpan w:val="2"/>
          </w:tcPr>
          <w:p>
            <w:pPr>
              <w:spacing w:after="0"/>
              <w:rPr>
                <w:sz w:val="20"/>
                <w:szCs w:val="20"/>
                <w:color w:val="auto"/>
              </w:rPr>
            </w:pPr>
            <w:r>
              <w:rPr>
                <w:rFonts w:ascii="Arial" w:cs="Arial" w:eastAsia="Arial" w:hAnsi="Arial"/>
                <w:sz w:val="16"/>
                <w:szCs w:val="16"/>
                <w:color w:val="auto"/>
              </w:rPr>
              <w:t>Expired</w:t>
            </w: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Forfeited</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5140" w:type="dxa"/>
            <w:vAlign w:val="bottom"/>
            <w:gridSpan w:val="2"/>
          </w:tcPr>
          <w:p>
            <w:pPr>
              <w:spacing w:after="0"/>
              <w:rPr>
                <w:sz w:val="20"/>
                <w:szCs w:val="20"/>
                <w:color w:val="auto"/>
              </w:rPr>
            </w:pPr>
            <w:r>
              <w:rPr>
                <w:rFonts w:ascii="Arial" w:cs="Arial" w:eastAsia="Arial" w:hAnsi="Arial"/>
                <w:sz w:val="16"/>
                <w:szCs w:val="16"/>
                <w:color w:val="auto"/>
              </w:rPr>
              <w:t>Non-Vested at September 30, 2021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5,336</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18.80</w:t>
            </w:r>
          </w:p>
        </w:tc>
      </w:tr>
      <w:tr>
        <w:trPr>
          <w:trHeight w:val="20"/>
        </w:trPr>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As of September 30, 2021, there was $0.06 million of unrecognized compensation cost related to the three-year vest restricted shares, which will be recognized over a remaining period of 1.2 years.</w:t>
      </w:r>
    </w:p>
    <w:p>
      <w:pPr>
        <w:spacing w:after="0" w:line="149" w:lineRule="exact"/>
        <w:rPr>
          <w:sz w:val="20"/>
          <w:szCs w:val="20"/>
          <w:color w:val="auto"/>
        </w:rPr>
      </w:pPr>
    </w:p>
    <w:p>
      <w:pPr>
        <w:jc w:val="both"/>
        <w:ind w:left="40" w:right="59" w:firstLine="297"/>
        <w:spacing w:after="0" w:line="281" w:lineRule="auto"/>
        <w:rPr>
          <w:sz w:val="20"/>
          <w:szCs w:val="20"/>
          <w:color w:val="auto"/>
        </w:rPr>
      </w:pPr>
      <w:r>
        <w:rPr>
          <w:rFonts w:ascii="Arial" w:cs="Arial" w:eastAsia="Arial" w:hAnsi="Arial"/>
          <w:sz w:val="15"/>
          <w:szCs w:val="15"/>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nine months ended September 30, 2021, the expense recognized for the value of the Company’s common stock received by non-employee directors totaled $0.2 million, or 10,572 shares, of which 3,453 shares were issued on April 1, 2021, 3,525 shares were issued on July 1, 2021, and 3,594 shares were issued on October 1, 2021. During the nine months ended September 30, 2020, the expense recognized for the value of the Company’s common stock received by non-employee directors totaled $0.2 million, or 10,986 shares, of which 4,098 shares were issued on April 1, 2020, 3,414 shares were issued on July 1, 2020, and 3,474 shares were issued on October 1, 2020.</w:t>
      </w:r>
    </w:p>
    <w:p>
      <w:pPr>
        <w:spacing w:after="0" w:line="163"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Stock compensation expense for the three and nine months ended September 30, 2021 and 2020 is summarized as follows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600" w:type="dxa"/>
            <w:vAlign w:val="bottom"/>
            <w:gridSpan w:val="4"/>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2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September 30,</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8"/>
              <w:spacing w:after="0" w:line="175" w:lineRule="exact"/>
              <w:rPr>
                <w:sz w:val="20"/>
                <w:szCs w:val="20"/>
                <w:color w:val="auto"/>
              </w:rPr>
            </w:pPr>
            <w:r>
              <w:rPr>
                <w:rFonts w:ascii="Arial" w:cs="Arial" w:eastAsia="Arial" w:hAnsi="Arial"/>
                <w:sz w:val="16"/>
                <w:szCs w:val="16"/>
                <w:b w:val="1"/>
                <w:bCs w:val="1"/>
                <w:color w:val="auto"/>
                <w:w w:val="93"/>
              </w:rPr>
              <w:t>September 30,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September 30,</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78"/>
              <w:spacing w:after="0" w:line="175" w:lineRule="exact"/>
              <w:rPr>
                <w:sz w:val="20"/>
                <w:szCs w:val="20"/>
                <w:color w:val="auto"/>
              </w:rPr>
            </w:pPr>
            <w:r>
              <w:rPr>
                <w:rFonts w:ascii="Arial" w:cs="Arial" w:eastAsia="Arial" w:hAnsi="Arial"/>
                <w:sz w:val="16"/>
                <w:szCs w:val="16"/>
                <w:b w:val="1"/>
                <w:bCs w:val="1"/>
                <w:color w:val="auto"/>
                <w:w w:val="93"/>
              </w:rPr>
              <w:t>September 30,</w:t>
            </w:r>
          </w:p>
        </w:tc>
      </w:tr>
      <w:tr>
        <w:trPr>
          <w:trHeight w:val="214"/>
        </w:trPr>
        <w:tc>
          <w:tcPr>
            <w:tcW w:w="2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r>
      <w:tr>
        <w:trPr>
          <w:trHeight w:val="166"/>
        </w:trPr>
        <w:tc>
          <w:tcPr>
            <w:tcW w:w="338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Stock Compensation Expense – Director</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186"/>
        </w:trPr>
        <w:tc>
          <w:tcPr>
            <w:tcW w:w="3380" w:type="dxa"/>
            <w:vAlign w:val="bottom"/>
            <w:gridSpan w:val="2"/>
          </w:tcPr>
          <w:p>
            <w:pPr>
              <w:spacing w:after="0"/>
              <w:rPr>
                <w:sz w:val="20"/>
                <w:szCs w:val="20"/>
                <w:color w:val="auto"/>
              </w:rPr>
            </w:pPr>
            <w:r>
              <w:rPr>
                <w:rFonts w:ascii="Arial" w:cs="Arial" w:eastAsia="Arial" w:hAnsi="Arial"/>
                <w:sz w:val="16"/>
                <w:szCs w:val="16"/>
                <w:color w:val="auto"/>
              </w:rPr>
              <w:t>Stock Compensation Expense – Director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Retainers Paid in Stock</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191"/>
        </w:trPr>
        <w:tc>
          <w:tcPr>
            <w:tcW w:w="3380" w:type="dxa"/>
            <w:vAlign w:val="bottom"/>
            <w:tcBorders>
              <w:bottom w:val="single" w:sz="8" w:color="CCEEFF"/>
            </w:tcBorders>
            <w:gridSpan w:val="2"/>
            <w:shd w:val="clear" w:color="auto" w:fill="CCEEFF"/>
          </w:tcPr>
          <w:p>
            <w:pPr>
              <w:spacing w:after="0" w:line="191" w:lineRule="exact"/>
              <w:rPr>
                <w:sz w:val="20"/>
                <w:szCs w:val="20"/>
                <w:color w:val="auto"/>
              </w:rPr>
            </w:pPr>
            <w:r>
              <w:rPr>
                <w:rFonts w:ascii="Arial" w:cs="Arial" w:eastAsia="Arial" w:hAnsi="Arial"/>
                <w:sz w:val="15"/>
                <w:szCs w:val="15"/>
                <w:color w:val="auto"/>
              </w:rPr>
              <w:t xml:space="preserve">Total Stock Compensation Expense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r>
    </w:tbl>
    <w:p>
      <w:pPr>
        <w:spacing w:after="0" w:line="58" w:lineRule="exact"/>
        <w:rPr>
          <w:sz w:val="20"/>
          <w:szCs w:val="20"/>
          <w:color w:val="auto"/>
        </w:rPr>
      </w:pPr>
    </w:p>
    <w:p>
      <w:pPr>
        <w:jc w:val="both"/>
        <w:ind w:left="340" w:right="79" w:hanging="297"/>
        <w:spacing w:after="0" w:line="234" w:lineRule="auto"/>
        <w:tabs>
          <w:tab w:leader="none" w:pos="340" w:val="left"/>
        </w:tabs>
        <w:numPr>
          <w:ilvl w:val="0"/>
          <w:numId w:val="11"/>
        </w:numPr>
        <w:rPr>
          <w:rFonts w:ascii="Arial" w:cs="Arial" w:eastAsia="Arial" w:hAnsi="Arial"/>
          <w:sz w:val="10"/>
          <w:szCs w:val="10"/>
          <w:color w:val="auto"/>
        </w:rPr>
      </w:pPr>
      <w:r>
        <w:rPr>
          <w:rFonts w:ascii="Arial" w:cs="Arial" w:eastAsia="Arial" w:hAnsi="Arial"/>
          <w:sz w:val="13"/>
          <w:szCs w:val="13"/>
          <w:color w:val="auto"/>
        </w:rPr>
        <w:t>Director retainers are issued through additional paid in capital in arrears. Therefore, the change in additional paid in capital during the nine months ended September 30, 2021 reported on the consolidated statements of stockholders’ equity does not agree to the total non-cash compensation reported on the consolidated statements of cash flows.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5" w:name="page26"/>
    <w:bookmarkEnd w:id="2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14. RELATED PARTY MANAGEMENT COMPANY</w:t>
      </w:r>
    </w:p>
    <w:p>
      <w:pPr>
        <w:spacing w:after="0" w:line="191" w:lineRule="exact"/>
        <w:rPr>
          <w:sz w:val="20"/>
          <w:szCs w:val="20"/>
          <w:color w:val="auto"/>
        </w:rPr>
      </w:pPr>
    </w:p>
    <w:p>
      <w:pPr>
        <w:jc w:val="both"/>
        <w:ind w:left="40" w:right="59" w:firstLine="297"/>
        <w:spacing w:after="0" w:line="253" w:lineRule="auto"/>
        <w:rPr>
          <w:sz w:val="20"/>
          <w:szCs w:val="20"/>
          <w:color w:val="auto"/>
        </w:rPr>
      </w:pPr>
      <w:r>
        <w:rPr>
          <w:rFonts w:ascii="Arial" w:cs="Arial" w:eastAsia="Arial" w:hAnsi="Arial"/>
          <w:sz w:val="16"/>
          <w:szCs w:val="16"/>
          <w:color w:val="auto"/>
        </w:rPr>
        <w:t>We are externally managed by the Manager, a wholly owned subsidiary of CTO. In addition to the CTO Private Placement, CTO purchased from us $8.0 million in shares of our common stock, or 421,053 shares, in the IPO. Upon completion of the Formation Transactions, CTO owned 22.3% of our outstanding common stock (assuming the OP Units issued to CTO in the Formation Transactions are exchanged for shares of our common stock on a one-for-one basis).</w:t>
      </w:r>
    </w:p>
    <w:p>
      <w:pPr>
        <w:spacing w:after="0" w:line="165" w:lineRule="exact"/>
        <w:rPr>
          <w:sz w:val="20"/>
          <w:szCs w:val="20"/>
          <w:color w:val="auto"/>
        </w:rPr>
      </w:pPr>
    </w:p>
    <w:p>
      <w:pPr>
        <w:jc w:val="both"/>
        <w:ind w:left="40" w:right="59" w:firstLine="297"/>
        <w:spacing w:after="0" w:line="271" w:lineRule="auto"/>
        <w:rPr>
          <w:sz w:val="20"/>
          <w:szCs w:val="20"/>
          <w:color w:val="auto"/>
        </w:rPr>
      </w:pPr>
      <w:r>
        <w:rPr>
          <w:rFonts w:ascii="Arial" w:cs="Arial" w:eastAsia="Arial" w:hAnsi="Arial"/>
          <w:sz w:val="15"/>
          <w:szCs w:val="15"/>
          <w:color w:val="auto"/>
        </w:rPr>
        <w:t>On November 26, 2019, we entered into the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52" w:lineRule="exact"/>
        <w:rPr>
          <w:sz w:val="20"/>
          <w:szCs w:val="20"/>
          <w:color w:val="auto"/>
        </w:rPr>
      </w:pPr>
    </w:p>
    <w:p>
      <w:pPr>
        <w:jc w:val="both"/>
        <w:ind w:left="40" w:right="59" w:firstLine="297"/>
        <w:spacing w:after="0" w:line="264" w:lineRule="auto"/>
        <w:rPr>
          <w:sz w:val="20"/>
          <w:szCs w:val="20"/>
          <w:color w:val="auto"/>
        </w:rPr>
      </w:pPr>
      <w:r>
        <w:rPr>
          <w:rFonts w:ascii="Arial" w:cs="Arial" w:eastAsia="Arial" w:hAnsi="Arial"/>
          <w:sz w:val="15"/>
          <w:szCs w:val="15"/>
          <w:color w:val="auto"/>
        </w:rPr>
        <w:t>Our Manager has the ability to earn an annual incentive fee based on our total stockholder return exceeding an 8% cumulative annual hurdle rate (the “Outperformance Amount”) subject to a high-water mark price. We would pay our Manager an incentive fee to with respect to each annual measurement period in the amount of the greater of (i) $0.00 and (ii) the product of (a) 15% multiplied by</w:t>
      </w:r>
    </w:p>
    <w:p>
      <w:pPr>
        <w:spacing w:after="0" w:line="2" w:lineRule="exact"/>
        <w:rPr>
          <w:sz w:val="20"/>
          <w:szCs w:val="20"/>
          <w:color w:val="auto"/>
        </w:rPr>
      </w:pPr>
    </w:p>
    <w:p>
      <w:pPr>
        <w:ind w:left="40" w:right="59" w:firstLine="3"/>
        <w:spacing w:after="0" w:line="256" w:lineRule="auto"/>
        <w:tabs>
          <w:tab w:leader="none" w:pos="2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Outperformance Amount multiplied by (c) the weighted average shares. No incentive fee was due for the year ended December 31, 2020.</w:t>
      </w:r>
    </w:p>
    <w:p>
      <w:pPr>
        <w:spacing w:after="0" w:line="163" w:lineRule="exact"/>
        <w:rPr>
          <w:sz w:val="20"/>
          <w:szCs w:val="20"/>
          <w:color w:val="auto"/>
        </w:rPr>
      </w:pPr>
    </w:p>
    <w:p>
      <w:pPr>
        <w:jc w:val="both"/>
        <w:ind w:left="40" w:right="59" w:firstLine="297"/>
        <w:spacing w:after="0" w:line="309" w:lineRule="auto"/>
        <w:rPr>
          <w:sz w:val="20"/>
          <w:szCs w:val="20"/>
          <w:color w:val="auto"/>
        </w:rPr>
      </w:pPr>
      <w:r>
        <w:rPr>
          <w:rFonts w:ascii="Arial" w:cs="Arial" w:eastAsia="Arial" w:hAnsi="Arial"/>
          <w:sz w:val="15"/>
          <w:szCs w:val="15"/>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25" w:lineRule="exact"/>
        <w:rPr>
          <w:sz w:val="20"/>
          <w:szCs w:val="20"/>
          <w:color w:val="auto"/>
        </w:rPr>
      </w:pPr>
    </w:p>
    <w:p>
      <w:pPr>
        <w:jc w:val="both"/>
        <w:ind w:left="40" w:right="59" w:firstLine="297"/>
        <w:spacing w:after="0" w:line="265" w:lineRule="auto"/>
        <w:rPr>
          <w:sz w:val="20"/>
          <w:szCs w:val="20"/>
          <w:color w:val="auto"/>
        </w:rPr>
      </w:pPr>
      <w:r>
        <w:rPr>
          <w:rFonts w:ascii="Arial" w:cs="Arial" w:eastAsia="Arial" w:hAnsi="Arial"/>
          <w:sz w:val="15"/>
          <w:szCs w:val="15"/>
          <w:color w:val="auto"/>
        </w:rPr>
        <w:t>Our independent directors will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60" w:lineRule="exact"/>
        <w:rPr>
          <w:sz w:val="20"/>
          <w:szCs w:val="20"/>
          <w:color w:val="auto"/>
        </w:rPr>
      </w:pPr>
    </w:p>
    <w:p>
      <w:pPr>
        <w:jc w:val="both"/>
        <w:ind w:left="40" w:right="59" w:firstLine="297"/>
        <w:spacing w:after="0" w:line="253" w:lineRule="auto"/>
        <w:rPr>
          <w:sz w:val="20"/>
          <w:szCs w:val="20"/>
          <w:color w:val="auto"/>
        </w:rPr>
      </w:pPr>
      <w:r>
        <w:rPr>
          <w:rFonts w:ascii="Arial" w:cs="Arial" w:eastAsia="Arial" w:hAnsi="Arial"/>
          <w:sz w:val="16"/>
          <w:szCs w:val="16"/>
          <w:color w:val="auto"/>
        </w:rPr>
        <w:t>We will pay directly or reimburse our Manager for certain expenses, if incurred by our Manager. We will not reimburse any compensation expenses incurred by our Manager or its affiliates. Expense reimbursements to our Manager will be made in cash on a quarterly basis following the end of each quarter. In addition, we will pay all of our operating expenses, except those specifically required to be borne by our Manager pursuant to the Management Agreement.</w:t>
      </w:r>
    </w:p>
    <w:p>
      <w:pPr>
        <w:spacing w:after="0" w:line="152" w:lineRule="exact"/>
        <w:rPr>
          <w:sz w:val="20"/>
          <w:szCs w:val="20"/>
          <w:color w:val="auto"/>
        </w:rPr>
      </w:pPr>
    </w:p>
    <w:p>
      <w:pPr>
        <w:jc w:val="both"/>
        <w:ind w:left="40" w:right="59" w:firstLine="297"/>
        <w:spacing w:after="0" w:line="268" w:lineRule="auto"/>
        <w:rPr>
          <w:sz w:val="20"/>
          <w:szCs w:val="20"/>
          <w:color w:val="auto"/>
        </w:rPr>
      </w:pPr>
      <w:r>
        <w:rPr>
          <w:rFonts w:ascii="Arial" w:cs="Arial" w:eastAsia="Arial" w:hAnsi="Arial"/>
          <w:sz w:val="15"/>
          <w:szCs w:val="15"/>
          <w:color w:val="auto"/>
        </w:rPr>
        <w:t>During the three and nine months ended September 30, 2021, the Company incurred management fee expenses which totaled $0.9 million and $2.3 million, respectively. The Company also paid dividends on the common stock and OP Units owned by affiliates of the Manager in the amount of $0.5 million and $1.7 million for the three and nine months ended September 30, 2021, respectively. During the three and nine months ended September 30, 2020, the Company incurred management fee expenses which totaled $0.6 million and $1.9 million, respectively. The Company also paid dividends on the common stock and OP Units owned by affiliates of the Manager in the amount of $0.4 million and $1.2 million for the three and nine months ended September 30, 2020, respectively.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amounts due from the Company to CTO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8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8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6"/>
                <w:szCs w:val="16"/>
                <w:color w:val="auto"/>
              </w:rPr>
            </w:pPr>
          </w:p>
        </w:tc>
        <w:tc>
          <w:tcPr>
            <w:tcW w:w="1740" w:type="dxa"/>
            <w:vAlign w:val="bottom"/>
          </w:tcPr>
          <w:p>
            <w:pPr>
              <w:jc w:val="right"/>
              <w:ind w:right="218"/>
              <w:spacing w:after="0"/>
              <w:rPr>
                <w:sz w:val="20"/>
                <w:szCs w:val="20"/>
                <w:color w:val="auto"/>
              </w:rPr>
            </w:pPr>
            <w:r>
              <w:rPr>
                <w:rFonts w:ascii="Arial" w:cs="Arial" w:eastAsia="Arial" w:hAnsi="Arial"/>
                <w:sz w:val="16"/>
                <w:szCs w:val="16"/>
                <w:b w:val="1"/>
                <w:bCs w:val="1"/>
                <w:color w:val="auto"/>
                <w:w w:val="98"/>
              </w:rPr>
              <w:t>December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Management Fee due to CTO</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24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hanging="297"/>
        <w:spacing w:after="0"/>
        <w:tabs>
          <w:tab w:leader="none" w:pos="340" w:val="left"/>
        </w:tabs>
        <w:numPr>
          <w:ilvl w:val="0"/>
          <w:numId w:val="13"/>
        </w:numPr>
        <w:rPr>
          <w:rFonts w:ascii="Arial" w:cs="Arial" w:eastAsia="Arial" w:hAnsi="Arial"/>
          <w:sz w:val="10"/>
          <w:szCs w:val="10"/>
          <w:color w:val="auto"/>
        </w:rPr>
      </w:pPr>
      <w:r>
        <w:rPr>
          <w:rFonts w:ascii="Arial" w:cs="Arial" w:eastAsia="Arial" w:hAnsi="Arial"/>
          <w:sz w:val="13"/>
          <w:szCs w:val="13"/>
          <w:color w:val="auto"/>
        </w:rPr>
        <w:t>Included in Accrued Expenses, see Note 7, “Accounts Payable, Accrued Expenses, and Other Liabilities”.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6" w:name="page27"/>
    <w:bookmarkEnd w:id="2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Exclusivity and ROFO Agreement</w:t>
      </w:r>
    </w:p>
    <w:p>
      <w:pPr>
        <w:spacing w:after="0" w:line="187" w:lineRule="exact"/>
        <w:rPr>
          <w:sz w:val="20"/>
          <w:szCs w:val="20"/>
          <w:color w:val="auto"/>
        </w:rPr>
      </w:pPr>
    </w:p>
    <w:p>
      <w:pPr>
        <w:jc w:val="both"/>
        <w:ind w:left="40" w:right="59" w:firstLine="297"/>
        <w:spacing w:after="0" w:line="250" w:lineRule="auto"/>
        <w:rPr>
          <w:sz w:val="20"/>
          <w:szCs w:val="20"/>
          <w:color w:val="auto"/>
        </w:rPr>
      </w:pPr>
      <w:r>
        <w:rPr>
          <w:rFonts w:ascii="Arial" w:cs="Arial" w:eastAsia="Arial" w:hAnsi="Arial"/>
          <w:sz w:val="16"/>
          <w:szCs w:val="16"/>
          <w:color w:val="auto"/>
        </w:rPr>
        <w:t>On November 26, 2019, we also entered into an exclusivity and right of first offer (“ROFO”) agreement with CTO. During the term of the exclusivity and ROFO agreement, CTO will not, and will cause each of its affiliates (which for purposes of the exclusivity and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56" w:lineRule="exact"/>
        <w:rPr>
          <w:sz w:val="20"/>
          <w:szCs w:val="20"/>
          <w:color w:val="auto"/>
        </w:rPr>
      </w:pPr>
    </w:p>
    <w:p>
      <w:pPr>
        <w:jc w:val="both"/>
        <w:ind w:left="40" w:right="59" w:firstLine="297"/>
        <w:spacing w:after="0" w:line="309" w:lineRule="auto"/>
        <w:rPr>
          <w:sz w:val="20"/>
          <w:szCs w:val="20"/>
          <w:color w:val="auto"/>
        </w:rPr>
      </w:pPr>
      <w:r>
        <w:rPr>
          <w:rFonts w:ascii="Arial" w:cs="Arial" w:eastAsia="Arial" w:hAnsi="Arial"/>
          <w:sz w:val="15"/>
          <w:szCs w:val="15"/>
          <w:color w:val="auto"/>
        </w:rPr>
        <w:t>The terms of the exclusivity and ROFO agreement do not restrict CTO or any of its affiliates from providing financing for a third party’s acquisition of single-tenant, net leased properties or from developing and owning any single-tenant, net leased property.</w:t>
      </w:r>
    </w:p>
    <w:p>
      <w:pPr>
        <w:spacing w:after="0" w:line="113" w:lineRule="exact"/>
        <w:rPr>
          <w:sz w:val="20"/>
          <w:szCs w:val="20"/>
          <w:color w:val="auto"/>
        </w:rPr>
      </w:pPr>
    </w:p>
    <w:p>
      <w:pPr>
        <w:jc w:val="both"/>
        <w:ind w:left="40" w:right="59" w:firstLine="297"/>
        <w:spacing w:after="0" w:line="275" w:lineRule="auto"/>
        <w:rPr>
          <w:sz w:val="20"/>
          <w:szCs w:val="20"/>
          <w:color w:val="auto"/>
        </w:rPr>
      </w:pPr>
      <w:r>
        <w:rPr>
          <w:rFonts w:ascii="Arial" w:cs="Arial" w:eastAsia="Arial" w:hAnsi="Arial"/>
          <w:sz w:val="15"/>
          <w:szCs w:val="15"/>
          <w:color w:val="auto"/>
        </w:rPr>
        <w:t>Pursuant to the exclusivity and ROFO agreement, neither CTO nor any of its affiliates (which for purposes of the exclusivity and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38"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The term of the exclusivity and ROFO agreement will continue for so long as the Management Agreement with our Manager is in effect.</w:t>
      </w:r>
    </w:p>
    <w:p>
      <w:pPr>
        <w:spacing w:after="0" w:line="137" w:lineRule="exact"/>
        <w:rPr>
          <w:sz w:val="20"/>
          <w:szCs w:val="20"/>
          <w:color w:val="auto"/>
        </w:rPr>
      </w:pPr>
    </w:p>
    <w:p>
      <w:pPr>
        <w:jc w:val="both"/>
        <w:ind w:left="40" w:right="59" w:firstLine="297"/>
        <w:spacing w:after="0" w:line="258" w:lineRule="auto"/>
        <w:rPr>
          <w:sz w:val="20"/>
          <w:szCs w:val="20"/>
          <w:color w:val="auto"/>
        </w:rPr>
      </w:pPr>
      <w:r>
        <w:rPr>
          <w:rFonts w:ascii="Arial" w:cs="Arial" w:eastAsia="Arial" w:hAnsi="Arial"/>
          <w:sz w:val="16"/>
          <w:szCs w:val="16"/>
          <w:color w:val="auto"/>
        </w:rPr>
        <w:t>On April 6, 2021, the Company entered into a purchase and sale agreement with a certain subsidiary of CTO for the purchase of one net lease property (the “Single Property”) for $11.5 million. The acquisition of the Single Property was completed on April 23, 2021.</w:t>
      </w:r>
    </w:p>
    <w:p>
      <w:pPr>
        <w:spacing w:after="0" w:line="149" w:lineRule="exact"/>
        <w:rPr>
          <w:sz w:val="20"/>
          <w:szCs w:val="20"/>
          <w:color w:val="auto"/>
        </w:rPr>
      </w:pPr>
    </w:p>
    <w:p>
      <w:pPr>
        <w:jc w:val="both"/>
        <w:ind w:left="40" w:right="59" w:firstLine="297"/>
        <w:spacing w:after="0" w:line="283" w:lineRule="auto"/>
        <w:rPr>
          <w:sz w:val="20"/>
          <w:szCs w:val="20"/>
          <w:color w:val="auto"/>
        </w:rPr>
      </w:pPr>
      <w:r>
        <w:rPr>
          <w:rFonts w:ascii="Arial" w:cs="Arial" w:eastAsia="Arial" w:hAnsi="Arial"/>
          <w:sz w:val="15"/>
          <w:szCs w:val="15"/>
          <w:color w:val="auto"/>
        </w:rPr>
        <w:t>On April 2, 2021, the Company entered into a separate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3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The entry into the purchase and sale agreements, and subsequent completion of acquisitions, are a result of the Company exercising its right to purchase the Single Property and CMBS Portfolio under the ROFO agreement.</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Conflicts of Interest</w:t>
      </w:r>
    </w:p>
    <w:p>
      <w:pPr>
        <w:spacing w:after="0" w:line="187" w:lineRule="exact"/>
        <w:rPr>
          <w:sz w:val="20"/>
          <w:szCs w:val="20"/>
          <w:color w:val="auto"/>
        </w:rPr>
      </w:pPr>
    </w:p>
    <w:p>
      <w:pPr>
        <w:jc w:val="both"/>
        <w:ind w:left="40" w:right="59" w:firstLine="297"/>
        <w:spacing w:after="0" w:line="246" w:lineRule="auto"/>
        <w:rPr>
          <w:sz w:val="20"/>
          <w:szCs w:val="20"/>
          <w:color w:val="auto"/>
        </w:rPr>
      </w:pPr>
      <w:r>
        <w:rPr>
          <w:rFonts w:ascii="Arial" w:cs="Arial" w:eastAsia="Arial" w:hAnsi="Arial"/>
          <w:sz w:val="16"/>
          <w:szCs w:val="16"/>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62" w:lineRule="exact"/>
        <w:rPr>
          <w:sz w:val="20"/>
          <w:szCs w:val="20"/>
          <w:color w:val="auto"/>
        </w:rPr>
      </w:pPr>
    </w:p>
    <w:p>
      <w:pPr>
        <w:jc w:val="both"/>
        <w:ind w:left="40" w:right="59" w:firstLine="297"/>
        <w:spacing w:after="0" w:line="247"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0" w:lineRule="exact"/>
        <w:rPr>
          <w:sz w:val="20"/>
          <w:szCs w:val="20"/>
          <w:color w:val="auto"/>
        </w:rPr>
      </w:pPr>
    </w:p>
    <w:p>
      <w:pPr>
        <w:jc w:val="both"/>
        <w:ind w:left="40" w:right="59" w:firstLine="297"/>
        <w:spacing w:after="0" w:line="250" w:lineRule="auto"/>
        <w:rPr>
          <w:sz w:val="20"/>
          <w:szCs w:val="20"/>
          <w:color w:val="auto"/>
        </w:rPr>
      </w:pPr>
      <w:r>
        <w:rPr>
          <w:rFonts w:ascii="Arial" w:cs="Arial" w:eastAsia="Arial" w:hAnsi="Arial"/>
          <w:sz w:val="16"/>
          <w:szCs w:val="16"/>
          <w:color w:val="auto"/>
        </w:rPr>
        <w:t>We may acquire or sell single-tenant, net leased properties in which our Manager or its affiliates have or may have an interest. Similarly, our Manager or its affiliates may acquire or sell single-tenant, net leased properties in which we have or may have an interest. Although such acquisitions or dispositions may present conflicts of interest, we nonetheless may pursue and consummate such transactions. Additionally, we may engage in transactions directly with our Manager or its affiliates, including the purchase and sale of all or a portion of a portfolio asset. If we acquire a single-tenant, net leased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7" w:name="page28"/>
    <w:bookmarkEnd w:id="2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6"/>
          <w:szCs w:val="16"/>
          <w:color w:val="auto"/>
        </w:rPr>
        <w:t>property from CTO or one of its affiliates or sell a single-tenant,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52" w:lineRule="exact"/>
        <w:rPr>
          <w:sz w:val="20"/>
          <w:szCs w:val="20"/>
          <w:color w:val="auto"/>
        </w:rPr>
      </w:pPr>
    </w:p>
    <w:p>
      <w:pPr>
        <w:jc w:val="both"/>
        <w:ind w:left="40" w:right="59" w:firstLine="297"/>
        <w:spacing w:after="0" w:line="253" w:lineRule="auto"/>
        <w:rPr>
          <w:sz w:val="20"/>
          <w:szCs w:val="20"/>
          <w:color w:val="auto"/>
        </w:rPr>
      </w:pPr>
      <w:r>
        <w:rPr>
          <w:rFonts w:ascii="Arial" w:cs="Arial" w:eastAsia="Arial" w:hAnsi="Arial"/>
          <w:sz w:val="16"/>
          <w:szCs w:val="16"/>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52" w:lineRule="exact"/>
        <w:rPr>
          <w:sz w:val="20"/>
          <w:szCs w:val="20"/>
          <w:color w:val="auto"/>
        </w:rPr>
      </w:pPr>
    </w:p>
    <w:p>
      <w:pPr>
        <w:jc w:val="both"/>
        <w:ind w:left="40" w:right="59" w:firstLine="297"/>
        <w:spacing w:after="0" w:line="247" w:lineRule="auto"/>
        <w:rPr>
          <w:sz w:val="20"/>
          <w:szCs w:val="20"/>
          <w:color w:val="auto"/>
        </w:rPr>
      </w:pPr>
      <w:r>
        <w:rPr>
          <w:rFonts w:ascii="Arial" w:cs="Arial" w:eastAsia="Arial" w:hAnsi="Arial"/>
          <w:sz w:val="16"/>
          <w:szCs w:val="16"/>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72" w:lineRule="exact"/>
        <w:rPr>
          <w:sz w:val="20"/>
          <w:szCs w:val="20"/>
          <w:color w:val="auto"/>
        </w:rPr>
      </w:pPr>
    </w:p>
    <w:p>
      <w:pPr>
        <w:jc w:val="both"/>
        <w:ind w:left="40" w:right="59" w:firstLine="297"/>
        <w:spacing w:after="0" w:line="258" w:lineRule="auto"/>
        <w:rPr>
          <w:sz w:val="20"/>
          <w:szCs w:val="20"/>
          <w:color w:val="auto"/>
        </w:rPr>
      </w:pPr>
      <w:r>
        <w:rPr>
          <w:rFonts w:ascii="Arial" w:cs="Arial" w:eastAsia="Arial" w:hAnsi="Arial"/>
          <w:sz w:val="16"/>
          <w:szCs w:val="16"/>
          <w:color w:val="auto"/>
        </w:rPr>
        <w:t>Additionally, the exclusivity and ROFO agreement does contain exceptions to CTO’s exclusivity for opportunities that include only an incidental interest in single-tenant, net leased properties. Accordingly, the exclusivity and ROFO agreement will not prevent CTO from pursuing certain acquisition opportunities that otherwise satisfy our then-current investment criteria.</w:t>
      </w:r>
    </w:p>
    <w:p>
      <w:pPr>
        <w:spacing w:after="0" w:line="149"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5"/>
          <w:szCs w:val="15"/>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15. COMMITMENTS AND CONTINGENCIES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jc w:val="both"/>
        <w:ind w:left="40" w:right="59" w:firstLine="297"/>
        <w:spacing w:after="0" w:line="258" w:lineRule="auto"/>
        <w:rPr>
          <w:sz w:val="20"/>
          <w:szCs w:val="20"/>
          <w:color w:val="auto"/>
        </w:rPr>
      </w:pPr>
      <w:r>
        <w:rPr>
          <w:rFonts w:ascii="Arial" w:cs="Arial" w:eastAsia="Arial" w:hAnsi="Arial"/>
          <w:sz w:val="16"/>
          <w:szCs w:val="16"/>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NOTE 16. SUBSEQUENT EVENTS</w:t>
      </w:r>
    </w:p>
    <w:p>
      <w:pPr>
        <w:spacing w:after="0" w:line="228"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Company reviewed all subsequent events and transactions through October 21, 2021, the date the consolidated financial statements were issued. There were no reportable subsequent events or transactions.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8" w:name="page29"/>
    <w:bookmarkEnd w:id="2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393" w:lineRule="exact"/>
        <w:rPr>
          <w:sz w:val="20"/>
          <w:szCs w:val="20"/>
          <w:color w:val="auto"/>
        </w:rPr>
      </w:pPr>
    </w:p>
    <w:p>
      <w:pPr>
        <w:jc w:val="both"/>
        <w:ind w:left="40" w:right="59" w:firstLine="297"/>
        <w:spacing w:after="0" w:line="283" w:lineRule="auto"/>
        <w:rPr>
          <w:sz w:val="20"/>
          <w:szCs w:val="20"/>
          <w:color w:val="auto"/>
        </w:rPr>
      </w:pPr>
      <w:r>
        <w:rPr>
          <w:rFonts w:ascii="Arial" w:cs="Arial" w:eastAsia="Arial" w:hAnsi="Arial"/>
          <w:sz w:val="15"/>
          <w:szCs w:val="15"/>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2020 and of this Quarterly Report on Form 10-Q.</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16"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Certain statements contained in this report (other than statements of historical fact) are forward-looking statements.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73" w:lineRule="exact"/>
        <w:rPr>
          <w:sz w:val="20"/>
          <w:szCs w:val="20"/>
          <w:color w:val="auto"/>
        </w:rPr>
      </w:pPr>
    </w:p>
    <w:p>
      <w:pPr>
        <w:jc w:val="both"/>
        <w:ind w:left="40" w:right="59" w:firstLine="297"/>
        <w:spacing w:after="0" w:line="281" w:lineRule="auto"/>
        <w:rPr>
          <w:sz w:val="20"/>
          <w:szCs w:val="20"/>
          <w:color w:val="auto"/>
        </w:rPr>
      </w:pPr>
      <w:r>
        <w:rPr>
          <w:rFonts w:ascii="Arial" w:cs="Arial" w:eastAsia="Arial" w:hAnsi="Arial"/>
          <w:sz w:val="15"/>
          <w:szCs w:val="15"/>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and national economic conditions affecting the real estate development business and income properties; the impact of competitive real estate activity; the loss of any major income property tenants; the ultimate geographic spread, severity and duration of pandemics such as the outbreak of COVID-19 and its variants,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59"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See “Item 1A. Risk Factors” of the Company’s Annual Report on Form 10-K for the year ended December 31, 2020 and of this Quarterly Report on Form 10-Q. for further discussion of these risks. Given these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We are a real estate company that owns and operates a high-quality portfolio of commercial properties located in the United States. Our properties are generally leased on a long-term basis and located primarily in, or in close proximity to major metropolitan statistical areas, or MSAs, and in growth markets and other markets in the United States with favorable economic and demographic conditions. Our properties are primarily leased to industry leading, creditworthy tenants, many of which operate in industries we believe are resistant to the impact of e-commerce or defensive in nature against economic uncertainty or disruption. The properties in our portfolio are primarily triple-net leases which generally require the tenant to pay all of the property operating expenses such as real estate taxes, insurance, assessments and other governmental fees, utilities, repairs and maintenance and certain capital expenditures. Our portfolio consists of 89 net leased retail and office properties located in 62 markets in 28 states. Twenty of these properties, representing our initial portfolio, were acquired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29" w:name="page30"/>
    <w:bookmarkEnd w:id="2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66" w:lineRule="auto"/>
        <w:rPr>
          <w:sz w:val="20"/>
          <w:szCs w:val="20"/>
          <w:color w:val="auto"/>
        </w:rPr>
      </w:pPr>
      <w:r>
        <w:rPr>
          <w:rFonts w:ascii="Arial" w:cs="Arial" w:eastAsia="Arial" w:hAnsi="Arial"/>
          <w:sz w:val="16"/>
          <w:szCs w:val="16"/>
          <w:color w:val="auto"/>
        </w:rPr>
        <w:t>from CTO Realty Growth, Inc. (“CTO”) in the formation transactions, utilizing $125.9 million of proceeds from our initial public offering of our common stock (the “IPO”) and the issuance of 1,223,854 units of our operating partnership (the “OP Units”) that had an initial value of $23.3 million based on the IPO price of $19.00 per share (the “IPO Price”). The remaining 69 properties were acquired subsequent to the year ended December 31, 2019. Six properties in our portfolio are long-term ground leases where we are the lessor to the tenant.</w:t>
      </w:r>
    </w:p>
    <w:p>
      <w:pPr>
        <w:spacing w:after="0" w:line="169" w:lineRule="exact"/>
        <w:rPr>
          <w:sz w:val="20"/>
          <w:szCs w:val="20"/>
          <w:color w:val="auto"/>
        </w:rPr>
      </w:pPr>
    </w:p>
    <w:p>
      <w:pPr>
        <w:jc w:val="both"/>
        <w:ind w:left="40" w:right="59" w:firstLine="297"/>
        <w:spacing w:after="0" w:line="261" w:lineRule="auto"/>
        <w:rPr>
          <w:sz w:val="20"/>
          <w:szCs w:val="20"/>
          <w:color w:val="auto"/>
        </w:rPr>
      </w:pPr>
      <w:r>
        <w:rPr>
          <w:rFonts w:ascii="Arial" w:cs="Arial" w:eastAsia="Arial" w:hAnsi="Arial"/>
          <w:sz w:val="16"/>
          <w:szCs w:val="16"/>
          <w:color w:val="auto"/>
        </w:rPr>
        <w:t>We seek to acquire, own and operate primarily freestanding, commercial real estate properties primarily located in our target markets leased primarily pursuant to triple-net, long-term leases. Within our target markets, we will focus on investments primarily in retail properties. We will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We also will seek to invest in properties that are net leased to tenants that we determine have attractive credit characteristics, stable operating histories and healthy rent coverage levels, are well-located within their market and have rent levels at or below market rent levels. Furthermore, we believe that the size of our company will, for at least the near term, allow us to focus our investment activities on the acquisition of single properties or smaller portfolios of properties that represent a transaction size that most of our publicly-traded net lease REIT peers will not pursue on a consistent basis.</w:t>
      </w:r>
    </w:p>
    <w:p>
      <w:pPr>
        <w:spacing w:after="0" w:line="177"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Our objective is to maximize cash flow and value per share by generating stable and growing cash flows and attractive risk-adjusted returns through owning, operating and growing a diversified portfolio of high-quality net leased commercial properties with strong long-term real estate fundamentals. The 89 properties in our portfolio are 100% occupied and represent 2.7 million of gross rentable square feet. As of September 30, 2021, our leases have a weighted-average remaining lease term of 7.8 years based on annualized base rent.</w:t>
      </w:r>
    </w:p>
    <w:p>
      <w:pPr>
        <w:spacing w:after="0" w:line="169"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5"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COVID-19 PANDEMIC</w:t>
      </w:r>
    </w:p>
    <w:p>
      <w:pPr>
        <w:spacing w:after="0" w:line="216" w:lineRule="exact"/>
        <w:rPr>
          <w:sz w:val="20"/>
          <w:szCs w:val="20"/>
          <w:color w:val="auto"/>
        </w:rPr>
      </w:pPr>
    </w:p>
    <w:p>
      <w:pPr>
        <w:jc w:val="both"/>
        <w:ind w:left="40" w:right="59" w:firstLine="297"/>
        <w:spacing w:after="0" w:line="288" w:lineRule="auto"/>
        <w:rPr>
          <w:sz w:val="20"/>
          <w:szCs w:val="20"/>
          <w:color w:val="auto"/>
        </w:rPr>
      </w:pPr>
      <w:r>
        <w:rPr>
          <w:rFonts w:ascii="Arial" w:cs="Arial" w:eastAsia="Arial" w:hAnsi="Arial"/>
          <w:sz w:val="15"/>
          <w:szCs w:val="15"/>
          <w:color w:val="auto"/>
        </w:rPr>
        <w:t>In March 2020, the World Health Organization declared the outbreak of the novel coronavirus as a pandemic (the “COVID-19 Pandemic”), which has spread throughout the United States. The spread of the COVID-19 Pandemic and its variants have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and its variants, as well as their impact on the U.S. economy and international economies.</w:t>
      </w:r>
    </w:p>
    <w:p>
      <w:pPr>
        <w:spacing w:after="0" w:line="153" w:lineRule="exact"/>
        <w:rPr>
          <w:sz w:val="20"/>
          <w:szCs w:val="20"/>
          <w:color w:val="auto"/>
        </w:rPr>
      </w:pPr>
    </w:p>
    <w:p>
      <w:pPr>
        <w:jc w:val="both"/>
        <w:ind w:left="40" w:right="59" w:firstLine="297"/>
        <w:spacing w:after="0" w:line="292" w:lineRule="auto"/>
        <w:rPr>
          <w:sz w:val="20"/>
          <w:szCs w:val="20"/>
          <w:color w:val="auto"/>
        </w:rPr>
      </w:pPr>
      <w:r>
        <w:rPr>
          <w:rFonts w:ascii="Arial" w:cs="Arial" w:eastAsia="Arial" w:hAnsi="Arial"/>
          <w:sz w:val="15"/>
          <w:szCs w:val="15"/>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through mid-year 2022.</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0" w:name="page31"/>
    <w:bookmarkEnd w:id="3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right="59" w:firstLine="297"/>
        <w:spacing w:after="0" w:line="290" w:lineRule="auto"/>
        <w:rPr>
          <w:sz w:val="20"/>
          <w:szCs w:val="20"/>
          <w:color w:val="auto"/>
        </w:rPr>
      </w:pPr>
      <w:r>
        <w:rPr>
          <w:rFonts w:ascii="Arial" w:cs="Arial" w:eastAsia="Arial" w:hAnsi="Arial"/>
          <w:sz w:val="16"/>
          <w:szCs w:val="16"/>
          <w:color w:val="auto"/>
        </w:rPr>
        <w:t>As of September 30, 2021, the Company owned 89 income properties in 28 states. The following is a summary of the leases attributable to these properties: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Rentable Square</w:t>
            </w: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Remaining</w:t>
            </w:r>
          </w:p>
        </w:tc>
        <w:tc>
          <w:tcPr>
            <w:tcW w:w="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2"/>
                <w:szCs w:val="12"/>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b w:val="1"/>
                <w:bCs w:val="1"/>
                <w:color w:val="auto"/>
                <w:w w:val="93"/>
              </w:rPr>
              <w:t>Annualized Base</w:t>
            </w:r>
          </w:p>
        </w:tc>
      </w:tr>
      <w:tr>
        <w:trPr>
          <w:trHeight w:val="154"/>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Type</w:t>
            </w:r>
          </w:p>
        </w:tc>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c>
          <w:tcPr>
            <w:tcW w:w="1740" w:type="dxa"/>
            <w:vAlign w:val="bottom"/>
            <w:gridSpan w:val="2"/>
          </w:tcPr>
          <w:p>
            <w:pPr>
              <w:ind w:left="600"/>
              <w:spacing w:after="0"/>
              <w:rPr>
                <w:sz w:val="20"/>
                <w:szCs w:val="20"/>
                <w:color w:val="auto"/>
              </w:rPr>
            </w:pPr>
            <w:r>
              <w:rPr>
                <w:rFonts w:ascii="Arial" w:cs="Arial" w:eastAsia="Arial" w:hAnsi="Arial"/>
                <w:sz w:val="12"/>
                <w:szCs w:val="12"/>
                <w:b w:val="1"/>
                <w:bCs w:val="1"/>
                <w:color w:val="auto"/>
              </w:rPr>
              <w:t>Location</w:t>
            </w:r>
          </w:p>
        </w:tc>
        <w:tc>
          <w:tcPr>
            <w:tcW w:w="11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7"/>
              </w:rPr>
              <w:t>Feet</w:t>
            </w: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Term (Years)</w:t>
            </w:r>
          </w:p>
        </w:tc>
        <w:tc>
          <w:tcPr>
            <w:tcW w:w="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Rent Escalations</w:t>
            </w:r>
          </w:p>
        </w:tc>
        <w:tc>
          <w:tcPr>
            <w:tcW w:w="80" w:type="dxa"/>
            <w:vAlign w:val="bottom"/>
          </w:tcPr>
          <w:p>
            <w:pPr>
              <w:spacing w:after="0"/>
              <w:rPr>
                <w:sz w:val="13"/>
                <w:szCs w:val="13"/>
                <w:color w:val="auto"/>
              </w:rPr>
            </w:pPr>
          </w:p>
        </w:tc>
        <w:tc>
          <w:tcPr>
            <w:tcW w:w="1020" w:type="dxa"/>
            <w:vAlign w:val="bottom"/>
          </w:tcPr>
          <w:p>
            <w:pPr>
              <w:jc w:val="right"/>
              <w:ind w:right="78"/>
              <w:spacing w:after="0" w:line="154" w:lineRule="exact"/>
              <w:rPr>
                <w:sz w:val="20"/>
                <w:szCs w:val="20"/>
                <w:color w:val="auto"/>
              </w:rPr>
            </w:pPr>
            <w:r>
              <w:rPr>
                <w:rFonts w:ascii="Arial" w:cs="Arial" w:eastAsia="Arial" w:hAnsi="Arial"/>
                <w:sz w:val="12"/>
                <w:szCs w:val="12"/>
                <w:b w:val="1"/>
                <w:bCs w:val="1"/>
                <w:color w:val="auto"/>
                <w:w w:val="94"/>
              </w:rPr>
              <w:t xml:space="preserve">Rent ($000's) </w:t>
            </w:r>
            <w:r>
              <w:rPr>
                <w:rFonts w:ascii="Arial" w:cs="Arial" w:eastAsia="Arial" w:hAnsi="Arial"/>
                <w:sz w:val="17"/>
                <w:szCs w:val="17"/>
                <w:b w:val="1"/>
                <w:bCs w:val="1"/>
                <w:color w:val="auto"/>
                <w:w w:val="94"/>
                <w:vertAlign w:val="superscript"/>
              </w:rPr>
              <w:t>(1)</w:t>
            </w:r>
          </w:p>
        </w:tc>
      </w:tr>
      <w:tr>
        <w:trPr>
          <w:trHeight w:val="129"/>
        </w:trPr>
        <w:tc>
          <w:tcPr>
            <w:tcW w:w="7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Office</w:t>
            </w:r>
          </w:p>
        </w:tc>
        <w:tc>
          <w:tcPr>
            <w:tcW w:w="6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Wells Fargo</w:t>
            </w:r>
          </w:p>
        </w:tc>
        <w:tc>
          <w:tcPr>
            <w:tcW w:w="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Portland, OR</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212,363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4.3</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No</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3,137</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Office</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Hilton Grand Vacations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Orlando, FL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102,019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5.2</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1,825</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Walmart</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Howell, MI</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214,172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1,369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LA Fitness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Brandon, FL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45,000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10.6</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958</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Lowe's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Katy,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131,644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917</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Burlington Stores, Inc.</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North Richland Hills,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70,891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7.3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859</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Kohl's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Glendale, AZ</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87,875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844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Hobby Lobby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Tulsa, OK</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84,180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842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At Home</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Canton, OH</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89,902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801</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Harris Teeter</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Charlotte, NC</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45,089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6.6</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768</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At Home</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Raleigh, NC</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116,334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732</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Container Store</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Phoenix, AZ</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23,329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8.4</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726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Camping World</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Duluth, MN</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66,033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705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Cinemark</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Reno, NV</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52,474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3.0</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695</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Office</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Hilton Grand Vacations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Orlando, FL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31,895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At Home</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Turnersville, NJ</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89,460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8.1</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641</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Live Nation Entertainment, Inc.</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East Troy, WI</w:t>
            </w:r>
          </w:p>
        </w:tc>
        <w:tc>
          <w:tcPr>
            <w:tcW w:w="1100" w:type="dxa"/>
            <w:vAlign w:val="bottom"/>
            <w:gridSpan w:val="3"/>
            <w:shd w:val="clear" w:color="auto" w:fill="CCEEFF"/>
          </w:tcPr>
          <w:p>
            <w:pPr>
              <w:ind w:left="80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7"/>
                <w:szCs w:val="7"/>
                <w:color w:val="auto"/>
              </w:rPr>
              <w:t xml:space="preserve"> (2)</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Academy Sports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Florence, SC</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58,410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7.6</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628</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Sportsman Warehouse</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Albuquerque, NM</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48,974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573</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Hobby Lobby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Winston-Salem, NC</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55,000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8.5</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562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Rite Aid</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Renton, WA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16,280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Hobby Lobby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Arden, NC</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55,000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9.9</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546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American Multi-Cinema, Inc.</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Tyngsborough, MA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39,474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507</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Dick's Sporting Goods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McDonough, GA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46,315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2.3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473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Jo-Ann Fabric</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Saugus, MA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22,500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Conn's HomePlus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Hurst,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37,957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9.9</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452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Old Time Pottery</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Orange Park, FL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84,180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439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7-Eleven</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Austin,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6,400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13.5</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377</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Walgreens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Birmingham, AL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14,516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364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Walgreens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Alpharetta, GA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15,120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4.1</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363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Best Buy</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McDonough, GA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30,038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338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Big Lots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Germantown, MD</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25,589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334</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Big Lots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Phoenix, AZ</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34,512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329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Lehigh Gas Wholesale Services, Inc.</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Highland Heights, KY</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2,578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9.2</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329</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Walgreens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Clermont, FL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13,650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328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Verizon</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Turnersville, NJ</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6,027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5.8</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326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Office Depot</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Albuquerque, NM</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30,346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300</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7-Eleven</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Georgetown,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7,726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14.3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276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Walgreens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Tacoma, WA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14,125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Walgreens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Albany, GA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14,770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11.3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90"/>
              </w:rPr>
              <w:t>No</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258</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Walmart</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Hempstead,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52,190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253</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Hobby Lobby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Aberdeen, SD</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49,034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3.4</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221</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1"/>
                <w:szCs w:val="11"/>
                <w:color w:val="auto"/>
              </w:rPr>
              <w:t xml:space="preserve">7-Eleven </w:t>
            </w:r>
            <w:r>
              <w:rPr>
                <w:rFonts w:ascii="Arial" w:cs="Arial" w:eastAsia="Arial" w:hAnsi="Arial"/>
                <w:sz w:val="15"/>
                <w:szCs w:val="15"/>
                <w:color w:val="auto"/>
                <w:vertAlign w:val="superscript"/>
              </w:rPr>
              <w:t>(3)</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Olathe, KS</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4,146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Circle K</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Indianapolis, IN</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4,283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3.2</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210</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1"/>
                <w:szCs w:val="11"/>
                <w:color w:val="auto"/>
              </w:rPr>
              <w:t xml:space="preserve">Scrubbles Car Wash </w:t>
            </w:r>
            <w:r>
              <w:rPr>
                <w:rFonts w:ascii="Arial" w:cs="Arial" w:eastAsia="Arial" w:hAnsi="Arial"/>
                <w:sz w:val="15"/>
                <w:szCs w:val="15"/>
                <w:color w:val="auto"/>
                <w:vertAlign w:val="superscript"/>
              </w:rPr>
              <w:t>(3)</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Jacksonville, FL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4,512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1"/>
                <w:szCs w:val="11"/>
                <w:color w:val="auto"/>
              </w:rPr>
              <w:t xml:space="preserve">Cheddar's </w:t>
            </w:r>
            <w:r>
              <w:rPr>
                <w:rFonts w:ascii="Arial" w:cs="Arial" w:eastAsia="Arial" w:hAnsi="Arial"/>
                <w:sz w:val="15"/>
                <w:szCs w:val="15"/>
                <w:color w:val="auto"/>
                <w:vertAlign w:val="superscript"/>
              </w:rPr>
              <w:t>(3)</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Jacksonville, FL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8,146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6.0</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186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Family Dollar</w:t>
            </w:r>
          </w:p>
        </w:tc>
        <w:tc>
          <w:tcPr>
            <w:tcW w:w="174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rPr>
              <w:t>Lynn, MA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9,228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160</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Orscheln</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Durant, OK</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37,965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160</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Advance Auto Parts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St. Paul, MN</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7,201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7.1</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150</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Tractor Supply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Washington Court House, OH</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39,984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10.8</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149</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Advanced Auto Parts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Severn, MD</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6,876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Big Lots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Durant, OK</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36,794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5.3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142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O'Reilly Auto Parts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Angels Camp, CA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7,066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Kermit,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10,920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13.9</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126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Burger King</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Plymouth, NC</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3,142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Harbor Freight</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Midland, MI</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14,624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4.8</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124</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Chazy, NY</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9,277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Odessa,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9,127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13.8</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117</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Willis,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9,138</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Winthrop, NY</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9,167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9.9</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113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Family Dollar</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Burlington, NC</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11,394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113</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Advance Auto Parts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Ware, MA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6,889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3.3</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112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Cut and Shoot,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9,096</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112</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Milford, ME</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9,128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12.1</w:t>
            </w:r>
          </w:p>
        </w:tc>
        <w:tc>
          <w:tcPr>
            <w:tcW w:w="10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110</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Dollar Tree</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Demopolis, AL</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10,159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110</w:t>
            </w:r>
          </w:p>
        </w:tc>
      </w:tr>
      <w:tr>
        <w:trPr>
          <w:trHeight w:val="156"/>
        </w:trPr>
        <w:tc>
          <w:tcPr>
            <w:tcW w:w="800" w:type="dxa"/>
            <w:vAlign w:val="bottom"/>
            <w:gridSpan w:val="2"/>
          </w:tcPr>
          <w:p>
            <w:pPr>
              <w:spacing w:after="0"/>
              <w:rPr>
                <w:sz w:val="20"/>
                <w:szCs w:val="20"/>
                <w:color w:val="auto"/>
              </w:rPr>
            </w:pPr>
            <w:r>
              <w:rPr>
                <w:rFonts w:ascii="Arial" w:cs="Arial" w:eastAsia="Arial" w:hAnsi="Arial"/>
                <w:sz w:val="12"/>
                <w:szCs w:val="12"/>
                <w:color w:val="auto"/>
              </w:rPr>
              <w:t>Retail</w:t>
            </w:r>
          </w:p>
        </w:tc>
        <w:tc>
          <w:tcPr>
            <w:tcW w:w="2360" w:type="dxa"/>
            <w:vAlign w:val="bottom"/>
            <w:gridSpan w:val="2"/>
          </w:tcPr>
          <w:p>
            <w:pPr>
              <w:spacing w:after="0"/>
              <w:rPr>
                <w:sz w:val="20"/>
                <w:szCs w:val="20"/>
                <w:color w:val="auto"/>
              </w:rPr>
            </w:pPr>
            <w:r>
              <w:rPr>
                <w:rFonts w:ascii="Arial" w:cs="Arial" w:eastAsia="Arial" w:hAnsi="Arial"/>
                <w:sz w:val="12"/>
                <w:szCs w:val="12"/>
                <w:color w:val="auto"/>
              </w:rPr>
              <w:t>Pet Supplies Plus</w:t>
            </w:r>
          </w:p>
        </w:tc>
        <w:tc>
          <w:tcPr>
            <w:tcW w:w="1740" w:type="dxa"/>
            <w:vAlign w:val="bottom"/>
            <w:gridSpan w:val="2"/>
          </w:tcPr>
          <w:p>
            <w:pPr>
              <w:spacing w:after="0"/>
              <w:rPr>
                <w:sz w:val="20"/>
                <w:szCs w:val="20"/>
                <w:color w:val="auto"/>
              </w:rPr>
            </w:pPr>
            <w:r>
              <w:rPr>
                <w:rFonts w:ascii="Arial" w:cs="Arial" w:eastAsia="Arial" w:hAnsi="Arial"/>
                <w:sz w:val="12"/>
                <w:szCs w:val="12"/>
                <w:color w:val="auto"/>
              </w:rPr>
              <w:t>Canton, OH</w:t>
            </w:r>
          </w:p>
        </w:tc>
        <w:tc>
          <w:tcPr>
            <w:tcW w:w="960" w:type="dxa"/>
            <w:vAlign w:val="bottom"/>
          </w:tcPr>
          <w:p>
            <w:pPr>
              <w:jc w:val="right"/>
              <w:spacing w:after="0"/>
              <w:rPr>
                <w:sz w:val="20"/>
                <w:szCs w:val="20"/>
                <w:color w:val="auto"/>
              </w:rPr>
            </w:pPr>
            <w:r>
              <w:rPr>
                <w:rFonts w:ascii="Arial" w:cs="Arial" w:eastAsia="Arial" w:hAnsi="Arial"/>
                <w:sz w:val="12"/>
                <w:szCs w:val="12"/>
                <w:color w:val="auto"/>
              </w:rPr>
              <w:t>8,400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110</w:t>
            </w:r>
          </w:p>
        </w:tc>
      </w:tr>
    </w:tbl>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1" w:name="page32"/>
    <w:bookmarkEnd w:id="3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Rentable Square</w:t>
            </w: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Remaining</w:t>
            </w:r>
          </w:p>
        </w:tc>
        <w:tc>
          <w:tcPr>
            <w:tcW w:w="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2"/>
                <w:szCs w:val="12"/>
                <w:color w:val="auto"/>
              </w:rPr>
            </w:pPr>
          </w:p>
        </w:tc>
        <w:tc>
          <w:tcPr>
            <w:tcW w:w="1020" w:type="dxa"/>
            <w:vAlign w:val="bottom"/>
          </w:tcPr>
          <w:p>
            <w:pPr>
              <w:jc w:val="right"/>
              <w:ind w:right="38"/>
              <w:spacing w:after="0"/>
              <w:rPr>
                <w:sz w:val="20"/>
                <w:szCs w:val="20"/>
                <w:color w:val="auto"/>
              </w:rPr>
            </w:pPr>
            <w:r>
              <w:rPr>
                <w:rFonts w:ascii="Arial" w:cs="Arial" w:eastAsia="Arial" w:hAnsi="Arial"/>
                <w:sz w:val="12"/>
                <w:szCs w:val="12"/>
                <w:b w:val="1"/>
                <w:bCs w:val="1"/>
                <w:color w:val="auto"/>
                <w:w w:val="93"/>
              </w:rPr>
              <w:t>Annualized Base</w:t>
            </w:r>
          </w:p>
        </w:tc>
      </w:tr>
      <w:tr>
        <w:trPr>
          <w:trHeight w:val="154"/>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Type</w:t>
            </w:r>
          </w:p>
        </w:tc>
        <w:tc>
          <w:tcPr>
            <w:tcW w:w="236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c>
          <w:tcPr>
            <w:tcW w:w="1740" w:type="dxa"/>
            <w:vAlign w:val="bottom"/>
            <w:gridSpan w:val="2"/>
          </w:tcPr>
          <w:p>
            <w:pPr>
              <w:ind w:left="600"/>
              <w:spacing w:after="0"/>
              <w:rPr>
                <w:sz w:val="20"/>
                <w:szCs w:val="20"/>
                <w:color w:val="auto"/>
              </w:rPr>
            </w:pPr>
            <w:r>
              <w:rPr>
                <w:rFonts w:ascii="Arial" w:cs="Arial" w:eastAsia="Arial" w:hAnsi="Arial"/>
                <w:sz w:val="12"/>
                <w:szCs w:val="12"/>
                <w:b w:val="1"/>
                <w:bCs w:val="1"/>
                <w:color w:val="auto"/>
              </w:rPr>
              <w:t>Location</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Feet</w:t>
            </w: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Term (Years)</w:t>
            </w:r>
          </w:p>
        </w:tc>
        <w:tc>
          <w:tcPr>
            <w:tcW w:w="9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Rent Escalations</w:t>
            </w:r>
          </w:p>
        </w:tc>
        <w:tc>
          <w:tcPr>
            <w:tcW w:w="80" w:type="dxa"/>
            <w:vAlign w:val="bottom"/>
          </w:tcPr>
          <w:p>
            <w:pPr>
              <w:spacing w:after="0"/>
              <w:rPr>
                <w:sz w:val="13"/>
                <w:szCs w:val="13"/>
                <w:color w:val="auto"/>
              </w:rPr>
            </w:pPr>
          </w:p>
        </w:tc>
        <w:tc>
          <w:tcPr>
            <w:tcW w:w="1020" w:type="dxa"/>
            <w:vAlign w:val="bottom"/>
          </w:tcPr>
          <w:p>
            <w:pPr>
              <w:jc w:val="right"/>
              <w:ind w:right="78"/>
              <w:spacing w:after="0" w:line="154" w:lineRule="exact"/>
              <w:rPr>
                <w:sz w:val="20"/>
                <w:szCs w:val="20"/>
                <w:color w:val="auto"/>
              </w:rPr>
            </w:pPr>
            <w:r>
              <w:rPr>
                <w:rFonts w:ascii="Arial" w:cs="Arial" w:eastAsia="Arial" w:hAnsi="Arial"/>
                <w:sz w:val="12"/>
                <w:szCs w:val="12"/>
                <w:b w:val="1"/>
                <w:bCs w:val="1"/>
                <w:color w:val="auto"/>
                <w:w w:val="94"/>
              </w:rPr>
              <w:t xml:space="preserve">Rent ($000's) </w:t>
            </w:r>
            <w:r>
              <w:rPr>
                <w:rFonts w:ascii="Arial" w:cs="Arial" w:eastAsia="Arial" w:hAnsi="Arial"/>
                <w:sz w:val="17"/>
                <w:szCs w:val="17"/>
                <w:b w:val="1"/>
                <w:bCs w:val="1"/>
                <w:color w:val="auto"/>
                <w:w w:val="94"/>
                <w:vertAlign w:val="superscript"/>
              </w:rPr>
              <w:t>(1)</w:t>
            </w:r>
          </w:p>
        </w:tc>
      </w:tr>
      <w:tr>
        <w:trPr>
          <w:trHeight w:val="129"/>
        </w:trPr>
        <w:tc>
          <w:tcPr>
            <w:tcW w:w="7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Retail</w:t>
            </w:r>
          </w:p>
        </w:tc>
        <w:tc>
          <w:tcPr>
            <w:tcW w:w="6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Dollar General</w:t>
            </w:r>
          </w:p>
        </w:tc>
        <w:tc>
          <w:tcPr>
            <w:tcW w:w="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Salem, NY</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9,199</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11.9</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Yes</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Dollar Tree</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Stillwell, OK</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9,828</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10.5</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105</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Bingham, ME</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9,345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Harrisville, NY</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9,309</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12.3</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104</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Heuvelton, NY</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9,342</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104</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Firestone</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Pittsburgh, PA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10,629</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7.5</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103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Barker, NY</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9,275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1"/>
                <w:szCs w:val="11"/>
                <w:color w:val="auto"/>
              </w:rPr>
              <w:t xml:space="preserve">Boston Market </w:t>
            </w:r>
            <w:r>
              <w:rPr>
                <w:rFonts w:ascii="Arial" w:cs="Arial" w:eastAsia="Arial" w:hAnsi="Arial"/>
                <w:sz w:val="15"/>
                <w:szCs w:val="15"/>
                <w:color w:val="auto"/>
                <w:vertAlign w:val="superscript"/>
              </w:rPr>
              <w:t>(3)</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Turnersville, NJ</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2,627</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101</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Limestone, ME</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9,167</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100</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1"/>
                <w:szCs w:val="11"/>
                <w:color w:val="auto"/>
              </w:rPr>
              <w:t xml:space="preserve">Freddy's Frozen Custard </w:t>
            </w:r>
            <w:r>
              <w:rPr>
                <w:rFonts w:ascii="Arial" w:cs="Arial" w:eastAsia="Arial" w:hAnsi="Arial"/>
                <w:sz w:val="15"/>
                <w:szCs w:val="15"/>
                <w:color w:val="auto"/>
                <w:vertAlign w:val="superscript"/>
              </w:rPr>
              <w:t>(3)</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Orange Park, FL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3,200</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99</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Hammond, NY</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9,219</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11.3</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98</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Somerville, TX</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9,252</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13.8</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96</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Seguin,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9,155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13.4</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91</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Grease Monkey</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Stockbridge, GA</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1,846</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12.0</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90</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Schlotzsky's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Sweetwater,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2,431</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Dollar Tree</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Albuquerque, NM</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10,023</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9.4</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85</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1"/>
                <w:szCs w:val="11"/>
                <w:color w:val="auto"/>
              </w:rPr>
              <w:t xml:space="preserve">Valero </w:t>
            </w:r>
            <w:r>
              <w:rPr>
                <w:rFonts w:ascii="Arial" w:cs="Arial" w:eastAsia="Arial" w:hAnsi="Arial"/>
                <w:sz w:val="15"/>
                <w:szCs w:val="15"/>
                <w:color w:val="auto"/>
                <w:vertAlign w:val="superscript"/>
              </w:rPr>
              <w:t>(5)</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Jackson, MS</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1,920</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85</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Newtonsville, OH</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9,290</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8.7</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Dollar General</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Del Rio, TX</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9,219</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Hardee's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Boaz, AL</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3,542</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9.1</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80</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Advance Auto Parts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Athens, GA</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6,871</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79</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1"/>
                <w:szCs w:val="11"/>
                <w:color w:val="auto"/>
              </w:rPr>
              <w:t xml:space="preserve">Valero </w:t>
            </w:r>
            <w:r>
              <w:rPr>
                <w:rFonts w:ascii="Arial" w:cs="Arial" w:eastAsia="Arial" w:hAnsi="Arial"/>
                <w:sz w:val="15"/>
                <w:szCs w:val="15"/>
                <w:color w:val="auto"/>
                <w:vertAlign w:val="superscript"/>
              </w:rPr>
              <w:t>(5)</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Leland, MS</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3,375</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20.0</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78</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Salon Lofts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Canton, OH</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4,000</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72</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O'Reilly Auto Parts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Duluth, MN</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11,182</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6.4</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72</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Advance Auto Parts</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Ludington, MI</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6,604</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10.3</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r>
      <w:tr>
        <w:trPr>
          <w:trHeight w:val="136"/>
        </w:trPr>
        <w:tc>
          <w:tcPr>
            <w:tcW w:w="800" w:type="dxa"/>
            <w:vAlign w:val="bottom"/>
            <w:gridSpan w:val="2"/>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tcPr>
          <w:p>
            <w:pPr>
              <w:spacing w:after="0" w:line="136" w:lineRule="exact"/>
              <w:rPr>
                <w:sz w:val="20"/>
                <w:szCs w:val="20"/>
                <w:color w:val="auto"/>
              </w:rPr>
            </w:pPr>
            <w:r>
              <w:rPr>
                <w:rFonts w:ascii="Arial" w:cs="Arial" w:eastAsia="Arial" w:hAnsi="Arial"/>
                <w:sz w:val="12"/>
                <w:szCs w:val="12"/>
                <w:color w:val="auto"/>
              </w:rPr>
              <w:t>Advance Auto Parts</w:t>
            </w:r>
          </w:p>
        </w:tc>
        <w:tc>
          <w:tcPr>
            <w:tcW w:w="1740" w:type="dxa"/>
            <w:vAlign w:val="bottom"/>
            <w:gridSpan w:val="2"/>
          </w:tcPr>
          <w:p>
            <w:pPr>
              <w:spacing w:after="0" w:line="136" w:lineRule="exact"/>
              <w:rPr>
                <w:sz w:val="20"/>
                <w:szCs w:val="20"/>
                <w:color w:val="auto"/>
              </w:rPr>
            </w:pPr>
            <w:r>
              <w:rPr>
                <w:rFonts w:ascii="Arial" w:cs="Arial" w:eastAsia="Arial" w:hAnsi="Arial"/>
                <w:sz w:val="12"/>
                <w:szCs w:val="12"/>
                <w:color w:val="auto"/>
              </w:rPr>
              <w:t>New Baltimore, MI</w:t>
            </w: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6,784</w:t>
            </w:r>
          </w:p>
        </w:tc>
        <w:tc>
          <w:tcPr>
            <w:tcW w:w="10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color w:val="auto"/>
              </w:rPr>
              <w:t>10.3</w:t>
            </w:r>
          </w:p>
        </w:tc>
        <w:tc>
          <w:tcPr>
            <w:tcW w:w="120" w:type="dxa"/>
            <w:vAlign w:val="bottom"/>
          </w:tcPr>
          <w:p>
            <w:pPr>
              <w:spacing w:after="0"/>
              <w:rPr>
                <w:sz w:val="11"/>
                <w:szCs w:val="11"/>
                <w:color w:val="auto"/>
              </w:rPr>
            </w:pPr>
          </w:p>
        </w:tc>
        <w:tc>
          <w:tcPr>
            <w:tcW w:w="94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w w:val="86"/>
              </w:rPr>
              <w:t>Yes</w:t>
            </w:r>
          </w:p>
        </w:tc>
        <w:tc>
          <w:tcPr>
            <w:tcW w:w="8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Arial" w:cs="Arial" w:eastAsia="Arial" w:hAnsi="Arial"/>
                <w:sz w:val="12"/>
                <w:szCs w:val="12"/>
                <w:color w:val="auto"/>
              </w:rPr>
              <w:t>63</w:t>
            </w:r>
          </w:p>
        </w:tc>
      </w:tr>
      <w:tr>
        <w:trPr>
          <w:trHeight w:val="136"/>
        </w:trPr>
        <w:tc>
          <w:tcPr>
            <w:tcW w:w="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Retail</w:t>
            </w:r>
          </w:p>
        </w:tc>
        <w:tc>
          <w:tcPr>
            <w:tcW w:w="2360" w:type="dxa"/>
            <w:vAlign w:val="bottom"/>
            <w:gridSpan w:val="3"/>
            <w:shd w:val="clear" w:color="auto" w:fill="CCEEFF"/>
          </w:tcPr>
          <w:p>
            <w:pPr>
              <w:spacing w:after="0" w:line="136" w:lineRule="exact"/>
              <w:rPr>
                <w:sz w:val="20"/>
                <w:szCs w:val="20"/>
                <w:color w:val="auto"/>
              </w:rPr>
            </w:pPr>
            <w:r>
              <w:rPr>
                <w:rFonts w:ascii="Arial" w:cs="Arial" w:eastAsia="Arial" w:hAnsi="Arial"/>
                <w:sz w:val="11"/>
                <w:szCs w:val="11"/>
                <w:color w:val="auto"/>
              </w:rPr>
              <w:t xml:space="preserve">Long John Silver's </w:t>
            </w:r>
            <w:r>
              <w:rPr>
                <w:rFonts w:ascii="Arial" w:cs="Arial" w:eastAsia="Arial" w:hAnsi="Arial"/>
                <w:sz w:val="15"/>
                <w:szCs w:val="15"/>
                <w:color w:val="auto"/>
                <w:vertAlign w:val="superscript"/>
              </w:rPr>
              <w:t>(3)</w:t>
            </w:r>
          </w:p>
        </w:tc>
        <w:tc>
          <w:tcPr>
            <w:tcW w:w="1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Tulsa, OK</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2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7"/>
                <w:szCs w:val="7"/>
                <w:color w:val="auto"/>
              </w:rPr>
              <w:t xml:space="preserve"> (4)</w:t>
            </w:r>
          </w:p>
        </w:tc>
        <w:tc>
          <w:tcPr>
            <w:tcW w:w="940" w:type="dxa"/>
            <w:vAlign w:val="bottom"/>
            <w:gridSpan w:val="2"/>
            <w:shd w:val="clear" w:color="auto" w:fill="CCEEFF"/>
          </w:tcPr>
          <w:p>
            <w:pPr>
              <w:ind w:left="380"/>
              <w:spacing w:after="0" w:line="136" w:lineRule="exact"/>
              <w:rPr>
                <w:sz w:val="20"/>
                <w:szCs w:val="20"/>
                <w:color w:val="auto"/>
              </w:rPr>
            </w:pPr>
            <w:r>
              <w:rPr>
                <w:rFonts w:ascii="Arial" w:cs="Arial" w:eastAsia="Arial" w:hAnsi="Arial"/>
                <w:sz w:val="12"/>
                <w:szCs w:val="12"/>
                <w:color w:val="auto"/>
              </w:rPr>
              <w:t>No</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w:t>
            </w:r>
          </w:p>
        </w:tc>
      </w:tr>
      <w:tr>
        <w:trPr>
          <w:trHeight w:val="129"/>
        </w:trPr>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2,719,667</w:t>
            </w:r>
          </w:p>
        </w:tc>
        <w:tc>
          <w:tcPr>
            <w:tcW w:w="1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7.8</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32,699</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6"/>
        </w:trPr>
        <w:tc>
          <w:tcPr>
            <w:tcW w:w="7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r>
    </w:tbl>
    <w:p>
      <w:pPr>
        <w:spacing w:after="0" w:line="55" w:lineRule="exact"/>
        <w:rPr>
          <w:sz w:val="20"/>
          <w:szCs w:val="20"/>
          <w:color w:val="auto"/>
        </w:rPr>
      </w:pPr>
    </w:p>
    <w:p>
      <w:pPr>
        <w:ind w:left="340" w:hanging="297"/>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3"/>
          <w:szCs w:val="13"/>
          <w:color w:val="auto"/>
        </w:rPr>
        <w:t>Annualized straight-line base rental income in place as of September 30, 2021.</w:t>
      </w:r>
    </w:p>
    <w:p>
      <w:pPr>
        <w:ind w:left="340" w:right="79" w:hanging="297"/>
        <w:spacing w:after="0" w:line="218" w:lineRule="auto"/>
        <w:tabs>
          <w:tab w:leader="none" w:pos="340" w:val="left"/>
        </w:tabs>
        <w:numPr>
          <w:ilvl w:val="0"/>
          <w:numId w:val="14"/>
        </w:numPr>
        <w:rPr>
          <w:rFonts w:ascii="Arial" w:cs="Arial" w:eastAsia="Arial" w:hAnsi="Arial"/>
          <w:sz w:val="10"/>
          <w:szCs w:val="10"/>
          <w:color w:val="auto"/>
        </w:rPr>
      </w:pPr>
      <w:r>
        <w:rPr>
          <w:rFonts w:ascii="Arial" w:cs="Arial" w:eastAsia="Arial" w:hAnsi="Arial"/>
          <w:sz w:val="13"/>
          <w:szCs w:val="13"/>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40" w:hanging="297"/>
        <w:spacing w:after="0" w:line="236" w:lineRule="auto"/>
        <w:tabs>
          <w:tab w:leader="none" w:pos="340" w:val="left"/>
        </w:tabs>
        <w:numPr>
          <w:ilvl w:val="0"/>
          <w:numId w:val="14"/>
        </w:numPr>
        <w:rPr>
          <w:rFonts w:ascii="Arial" w:cs="Arial" w:eastAsia="Arial" w:hAnsi="Arial"/>
          <w:sz w:val="9"/>
          <w:szCs w:val="9"/>
          <w:color w:val="auto"/>
        </w:rPr>
      </w:pPr>
      <w:r>
        <w:rPr>
          <w:rFonts w:ascii="Arial" w:cs="Arial" w:eastAsia="Arial" w:hAnsi="Arial"/>
          <w:sz w:val="12"/>
          <w:szCs w:val="12"/>
          <w:color w:val="auto"/>
        </w:rPr>
        <w:t>We are the lessor in a ground lease with the tenant. Rentable square feet represents improvements on the property that revert to us at the expiration of the lease.</w:t>
      </w:r>
    </w:p>
    <w:p>
      <w:pPr>
        <w:ind w:left="340" w:hanging="297"/>
        <w:spacing w:after="0" w:line="218" w:lineRule="auto"/>
        <w:tabs>
          <w:tab w:leader="none" w:pos="340" w:val="left"/>
        </w:tabs>
        <w:numPr>
          <w:ilvl w:val="0"/>
          <w:numId w:val="14"/>
        </w:numPr>
        <w:rPr>
          <w:rFonts w:ascii="Arial" w:cs="Arial" w:eastAsia="Arial" w:hAnsi="Arial"/>
          <w:sz w:val="10"/>
          <w:szCs w:val="10"/>
          <w:color w:val="auto"/>
        </w:rPr>
      </w:pPr>
      <w:r>
        <w:rPr>
          <w:rFonts w:ascii="Arial" w:cs="Arial" w:eastAsia="Arial" w:hAnsi="Arial"/>
          <w:sz w:val="13"/>
          <w:szCs w:val="13"/>
          <w:color w:val="auto"/>
        </w:rPr>
        <w:t>Current lease agreement is month-to-month (“MTM”).</w:t>
      </w:r>
    </w:p>
    <w:p>
      <w:pPr>
        <w:ind w:left="340" w:hanging="297"/>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3"/>
          <w:szCs w:val="13"/>
          <w:color w:val="auto"/>
        </w:rPr>
        <w:t>Subject to a master lease agreement.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2" w:name="page33"/>
    <w:bookmarkEnd w:id="3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COMPARISON OF THE THREE MONTHS ENDED SEPTEMBER 30, 2021 AND 2020</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presents the Company’s results of operations for the three months ended September 30, 2021, as compared to the three months ended September 30, 2020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4300" w:type="dxa"/>
            <w:vAlign w:val="bottom"/>
          </w:tcPr>
          <w:p>
            <w:pPr>
              <w:spacing w:after="0"/>
              <w:rPr>
                <w:sz w:val="15"/>
                <w:szCs w:val="15"/>
                <w:color w:val="auto"/>
              </w:rPr>
            </w:pPr>
          </w:p>
        </w:tc>
        <w:tc>
          <w:tcPr>
            <w:tcW w:w="122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September 30,</w:t>
            </w:r>
          </w:p>
        </w:tc>
        <w:tc>
          <w:tcPr>
            <w:tcW w:w="11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 Variance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r>
      <w:tr>
        <w:trPr>
          <w:trHeight w:val="191"/>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8"/>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Income</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190"/>
        </w:trPr>
        <w:tc>
          <w:tcPr>
            <w:tcW w:w="4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9"/>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198"/>
        </w:trPr>
        <w:tc>
          <w:tcPr>
            <w:tcW w:w="4300" w:type="dxa"/>
            <w:vAlign w:val="bottom"/>
          </w:tcPr>
          <w:p>
            <w:pPr>
              <w:ind w:left="10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198"/>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190"/>
        </w:trPr>
        <w:tc>
          <w:tcPr>
            <w:tcW w:w="430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198"/>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Disposition of Assets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Net Income from Operations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198"/>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198"/>
        </w:trPr>
        <w:tc>
          <w:tcPr>
            <w:tcW w:w="4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Net Income Attributable to Noncontrolling Interest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w w:val="99"/>
              </w:rPr>
              <w:t>Net Income Attributable to Alpine Income Property Trust, Inc.</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 and Direct Cost of Revenues</w:t>
      </w:r>
    </w:p>
    <w:p>
      <w:pPr>
        <w:spacing w:after="0" w:line="216"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Revenue from our income property operations during the three months ended September 30, 2021 and 2020, totaled $8.2 million and $5.1 million, respectively. The $3.1 million increase in revenues is reflective of the Company’s volume of acquisitions. The direct costs of revenues for our income property operations totaled $0.9 million and $0.5 million for the three months ended September 30, 2021 and 2020, respectively. The $0.4 million increase in the direct cost of revenues is also attributable to the Company’s expanded income property portfolio.</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 and Administrative Expenses</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table represents the Company’s general and administrative expenses for the three months ended September 30, 2021, as compared to the three months ended September 30, 2020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4280" w:type="dxa"/>
            <w:vAlign w:val="bottom"/>
          </w:tcPr>
          <w:p>
            <w:pPr>
              <w:spacing w:after="0"/>
              <w:rPr>
                <w:sz w:val="15"/>
                <w:szCs w:val="15"/>
                <w:color w:val="auto"/>
              </w:rPr>
            </w:pPr>
          </w:p>
        </w:tc>
        <w:tc>
          <w:tcPr>
            <w:tcW w:w="1220" w:type="dxa"/>
            <w:vAlign w:val="bottom"/>
            <w:tcBorders>
              <w:top w:val="single" w:sz="8" w:color="auto"/>
            </w:tcBorders>
            <w:gridSpan w:val="3"/>
          </w:tcPr>
          <w:p>
            <w:pPr>
              <w:ind w:left="40"/>
              <w:spacing w:after="0" w:line="175" w:lineRule="exact"/>
              <w:rPr>
                <w:sz w:val="20"/>
                <w:szCs w:val="20"/>
                <w:color w:val="auto"/>
              </w:rPr>
            </w:pPr>
            <w:r>
              <w:rPr>
                <w:rFonts w:ascii="Arial" w:cs="Arial" w:eastAsia="Arial" w:hAnsi="Arial"/>
                <w:sz w:val="16"/>
                <w:szCs w:val="16"/>
                <w:b w:val="1"/>
                <w:bCs w:val="1"/>
                <w:color w:val="auto"/>
              </w:rPr>
              <w:t>September 30,</w:t>
            </w:r>
          </w:p>
        </w:tc>
        <w:tc>
          <w:tcPr>
            <w:tcW w:w="11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 Variance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r>
      <w:tr>
        <w:trPr>
          <w:trHeight w:val="191"/>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Management Fee to Manager</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198"/>
        </w:trPr>
        <w:tc>
          <w:tcPr>
            <w:tcW w:w="4280" w:type="dxa"/>
            <w:vAlign w:val="bottom"/>
          </w:tcPr>
          <w:p>
            <w:pPr>
              <w:spacing w:after="0"/>
              <w:rPr>
                <w:sz w:val="20"/>
                <w:szCs w:val="20"/>
                <w:color w:val="auto"/>
              </w:rPr>
            </w:pPr>
            <w:r>
              <w:rPr>
                <w:rFonts w:ascii="Arial" w:cs="Arial" w:eastAsia="Arial" w:hAnsi="Arial"/>
                <w:sz w:val="16"/>
                <w:szCs w:val="16"/>
                <w:color w:val="auto"/>
              </w:rPr>
              <w:t>Director Stock Compensation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198"/>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Director &amp; Officer Insurance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198"/>
        </w:trPr>
        <w:tc>
          <w:tcPr>
            <w:tcW w:w="4280" w:type="dxa"/>
            <w:vAlign w:val="bottom"/>
          </w:tcPr>
          <w:p>
            <w:pPr>
              <w:spacing w:after="0"/>
              <w:rPr>
                <w:sz w:val="20"/>
                <w:szCs w:val="20"/>
                <w:color w:val="auto"/>
              </w:rPr>
            </w:pPr>
            <w:r>
              <w:rPr>
                <w:rFonts w:ascii="Arial" w:cs="Arial" w:eastAsia="Arial" w:hAnsi="Arial"/>
                <w:sz w:val="16"/>
                <w:szCs w:val="16"/>
                <w:color w:val="auto"/>
              </w:rPr>
              <w:t>Additional General and Administrative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19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General and Administrative Expenses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General and administrative expenses totaled $1.4 million and $1.1 million during the three months ended September 30, 2021 and 2020, respectively. The $0.3 million increase is primarily attributable to growth in the Company’s equity base, which led to increased management fee expenses totaling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Depreciation and Amortization</w:t>
      </w:r>
    </w:p>
    <w:p>
      <w:pPr>
        <w:spacing w:after="0" w:line="216" w:lineRule="exact"/>
        <w:rPr>
          <w:sz w:val="20"/>
          <w:szCs w:val="20"/>
          <w:color w:val="auto"/>
        </w:rPr>
      </w:pPr>
    </w:p>
    <w:p>
      <w:pPr>
        <w:jc w:val="both"/>
        <w:ind w:left="40" w:right="59" w:firstLine="302"/>
        <w:spacing w:after="0" w:line="274" w:lineRule="auto"/>
        <w:rPr>
          <w:sz w:val="20"/>
          <w:szCs w:val="20"/>
          <w:color w:val="auto"/>
        </w:rPr>
      </w:pPr>
      <w:r>
        <w:rPr>
          <w:rFonts w:ascii="Arial" w:cs="Arial" w:eastAsia="Arial" w:hAnsi="Arial"/>
          <w:sz w:val="16"/>
          <w:szCs w:val="16"/>
          <w:color w:val="auto"/>
        </w:rPr>
        <w:t>Depreciation and amortization expense totaled $4.3 million and $2.7 million during the three months ended September 30, 2021 and 2020, respectively. The $1.6 million increase in the depreciation and amortization expense is reflective of the Company’s expanded income property portfolio.</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Expense</w:t>
      </w:r>
    </w:p>
    <w:p>
      <w:pPr>
        <w:spacing w:after="0" w:line="216"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Interest expense totaled $1.1 million and $0.4 million during the three months ended September 30, 2021 and 2020, respectively. The $0.7 million increase in interest expense is attributable to the higher average outstanding debt balance during the three months ended September 30, 2021 as compared to the same period in 2020. The overall increase in the Company’s long-term debt was primarily utilized to fund the acquisition of income properties during 2021 and 2020.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216" w:lineRule="exact"/>
        <w:rPr>
          <w:sz w:val="20"/>
          <w:szCs w:val="20"/>
          <w:color w:val="auto"/>
        </w:rPr>
      </w:pPr>
    </w:p>
    <w:p>
      <w:pPr>
        <w:jc w:val="both"/>
        <w:ind w:left="40" w:right="59" w:firstLine="297"/>
        <w:spacing w:after="0" w:line="300" w:lineRule="auto"/>
        <w:rPr>
          <w:sz w:val="20"/>
          <w:szCs w:val="20"/>
          <w:color w:val="auto"/>
        </w:rPr>
      </w:pPr>
      <w:r>
        <w:rPr>
          <w:rFonts w:ascii="Arial" w:cs="Arial" w:eastAsia="Arial" w:hAnsi="Arial"/>
          <w:sz w:val="15"/>
          <w:szCs w:val="15"/>
          <w:color w:val="auto"/>
        </w:rPr>
        <w:t>Net income totaled $1.1 million and $0.6 million during the three months ended September 30, 2021 and 2020, respectively. The increase in net income is attributable to the factors described above in addition to the $0.5 million gain on disposition of assets during the three months ended September 30, 2021, an increase of $0.3 million from the comparable prior year period.</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COMPARISON OF THE NINE MONTHS ENDED SEPTEMBER 30, 2021 AND 2020</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presents the Company’s results of operations for the nine months ended September 30, 2021, as compared to the nine months ended September 30, 2020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4300" w:type="dxa"/>
            <w:vAlign w:val="bottom"/>
          </w:tcPr>
          <w:p>
            <w:pPr>
              <w:spacing w:after="0"/>
              <w:rPr>
                <w:sz w:val="15"/>
                <w:szCs w:val="15"/>
                <w:color w:val="auto"/>
              </w:rPr>
            </w:pPr>
          </w:p>
        </w:tc>
        <w:tc>
          <w:tcPr>
            <w:tcW w:w="1220" w:type="dxa"/>
            <w:vAlign w:val="bottom"/>
            <w:tcBorders>
              <w:top w:val="single" w:sz="8" w:color="auto"/>
            </w:tcBorders>
            <w:gridSpan w:val="3"/>
          </w:tcPr>
          <w:p>
            <w:pPr>
              <w:ind w:left="60"/>
              <w:spacing w:after="0" w:line="175" w:lineRule="exact"/>
              <w:rPr>
                <w:sz w:val="20"/>
                <w:szCs w:val="20"/>
                <w:color w:val="auto"/>
              </w:rPr>
            </w:pPr>
            <w:r>
              <w:rPr>
                <w:rFonts w:ascii="Arial" w:cs="Arial" w:eastAsia="Arial" w:hAnsi="Arial"/>
                <w:sz w:val="16"/>
                <w:szCs w:val="16"/>
                <w:b w:val="1"/>
                <w:bCs w:val="1"/>
                <w:color w:val="auto"/>
              </w:rPr>
              <w:t>September 30,</w:t>
            </w:r>
          </w:p>
        </w:tc>
        <w:tc>
          <w:tcPr>
            <w:tcW w:w="11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 Variance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r>
      <w:tr>
        <w:trPr>
          <w:trHeight w:val="191"/>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98"/>
        </w:trPr>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Income</w:t>
            </w: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6,795</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190"/>
        </w:trPr>
        <w:tc>
          <w:tcPr>
            <w:tcW w:w="4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9"/>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198"/>
        </w:trPr>
        <w:tc>
          <w:tcPr>
            <w:tcW w:w="4300" w:type="dxa"/>
            <w:vAlign w:val="bottom"/>
          </w:tcPr>
          <w:p>
            <w:pPr>
              <w:ind w:left="10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8"/>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190"/>
        </w:trPr>
        <w:tc>
          <w:tcPr>
            <w:tcW w:w="4300" w:type="dxa"/>
            <w:vAlign w:val="bottom"/>
          </w:tcPr>
          <w:p>
            <w:pPr>
              <w:ind w:left="20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4,747</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198"/>
        </w:trPr>
        <w:tc>
          <w:tcPr>
            <w:tcW w:w="4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Disposition of Assets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Net Income from Operations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120.9%</w:t>
            </w:r>
          </w:p>
        </w:tc>
      </w:tr>
      <w:tr>
        <w:trPr>
          <w:trHeight w:val="198"/>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198"/>
        </w:trPr>
        <w:tc>
          <w:tcPr>
            <w:tcW w:w="4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Net Income Attributable to Noncontrolling Interest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190"/>
        </w:trPr>
        <w:tc>
          <w:tcPr>
            <w:tcW w:w="4300" w:type="dxa"/>
            <w:vAlign w:val="bottom"/>
          </w:tcPr>
          <w:p>
            <w:pPr>
              <w:spacing w:after="0"/>
              <w:rPr>
                <w:sz w:val="20"/>
                <w:szCs w:val="20"/>
                <w:color w:val="auto"/>
              </w:rPr>
            </w:pPr>
            <w:r>
              <w:rPr>
                <w:rFonts w:ascii="Arial" w:cs="Arial" w:eastAsia="Arial" w:hAnsi="Arial"/>
                <w:sz w:val="16"/>
                <w:szCs w:val="16"/>
                <w:color w:val="auto"/>
                <w:w w:val="99"/>
              </w:rPr>
              <w:t>Net Income Attributable to Alpine Income Property Trust, Inc.</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 and Direct Cost of Revenues</w:t>
      </w:r>
    </w:p>
    <w:p>
      <w:pPr>
        <w:spacing w:after="0" w:line="216"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Revenue from our income property operations during the nine months ended September 30, 2021 and 2020, totaled $20.7 million and $13.9 million, respectively. The $6.8 million increase in revenues is reflective of the Company’s volume of acquisitions. The direct costs of revenues for our income property operations totaled $2.4 million and $1.7 million for the nine months ended September 30, 2021 and 2020, respectively. The $0.7 million increase in the direct cost of revenues is also attributable to the Company’s expanded income property portfolio.</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 and Administrative Expenses</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The following table represents the Company’s general and administrative expenses for the nine months ended September 30, 2021, as compared to the nine months ended September 30, 2020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2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4280" w:type="dxa"/>
            <w:vAlign w:val="bottom"/>
          </w:tcPr>
          <w:p>
            <w:pPr>
              <w:spacing w:after="0"/>
              <w:rPr>
                <w:sz w:val="15"/>
                <w:szCs w:val="15"/>
                <w:color w:val="auto"/>
              </w:rPr>
            </w:pPr>
          </w:p>
        </w:tc>
        <w:tc>
          <w:tcPr>
            <w:tcW w:w="1220" w:type="dxa"/>
            <w:vAlign w:val="bottom"/>
            <w:tcBorders>
              <w:top w:val="single" w:sz="8" w:color="auto"/>
            </w:tcBorders>
            <w:gridSpan w:val="3"/>
          </w:tcPr>
          <w:p>
            <w:pPr>
              <w:ind w:left="40"/>
              <w:spacing w:after="0" w:line="175" w:lineRule="exact"/>
              <w:rPr>
                <w:sz w:val="20"/>
                <w:szCs w:val="20"/>
                <w:color w:val="auto"/>
              </w:rPr>
            </w:pPr>
            <w:r>
              <w:rPr>
                <w:rFonts w:ascii="Arial" w:cs="Arial" w:eastAsia="Arial" w:hAnsi="Arial"/>
                <w:sz w:val="16"/>
                <w:szCs w:val="16"/>
                <w:b w:val="1"/>
                <w:bCs w:val="1"/>
                <w:color w:val="auto"/>
              </w:rPr>
              <w:t>September 30,</w:t>
            </w:r>
          </w:p>
        </w:tc>
        <w:tc>
          <w:tcPr>
            <w:tcW w:w="11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4"/>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7"/>
              </w:rPr>
              <w:t>$ Variance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r>
      <w:tr>
        <w:trPr>
          <w:trHeight w:val="191"/>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Management Fee to Manager</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198"/>
        </w:trPr>
        <w:tc>
          <w:tcPr>
            <w:tcW w:w="4280" w:type="dxa"/>
            <w:vAlign w:val="bottom"/>
          </w:tcPr>
          <w:p>
            <w:pPr>
              <w:spacing w:after="0"/>
              <w:rPr>
                <w:sz w:val="20"/>
                <w:szCs w:val="20"/>
                <w:color w:val="auto"/>
              </w:rPr>
            </w:pPr>
            <w:r>
              <w:rPr>
                <w:rFonts w:ascii="Arial" w:cs="Arial" w:eastAsia="Arial" w:hAnsi="Arial"/>
                <w:sz w:val="16"/>
                <w:szCs w:val="16"/>
                <w:color w:val="auto"/>
              </w:rPr>
              <w:t>Director Stock Compensation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198"/>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Director &amp; Officer Insurance Expense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198"/>
        </w:trPr>
        <w:tc>
          <w:tcPr>
            <w:tcW w:w="4280" w:type="dxa"/>
            <w:vAlign w:val="bottom"/>
          </w:tcPr>
          <w:p>
            <w:pPr>
              <w:spacing w:after="0"/>
              <w:rPr>
                <w:sz w:val="20"/>
                <w:szCs w:val="20"/>
                <w:color w:val="auto"/>
              </w:rPr>
            </w:pPr>
            <w:r>
              <w:rPr>
                <w:rFonts w:ascii="Arial" w:cs="Arial" w:eastAsia="Arial" w:hAnsi="Arial"/>
                <w:sz w:val="16"/>
                <w:szCs w:val="16"/>
                <w:color w:val="auto"/>
              </w:rPr>
              <w:t>Additional General and Administrative Expense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(269)</w:t>
            </w:r>
          </w:p>
        </w:tc>
        <w:tc>
          <w:tcPr>
            <w:tcW w:w="9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19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General and Administrative Expenses</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General and administrative expenses totaled $3.7 million and $3.5 million during the nine months ended September 30, 2021 and 2020, respectively. The $0.2 million increase is primarily related to an increase in management fee expenses of $0.3 million attributable to growth in the Company’s equity base, partially offset by an additional $0.3 million of costs incurred, during the first quarter of 2020, associated with audit services related to the 2019 annual audit.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Depreciation and Amortization</w:t>
      </w:r>
    </w:p>
    <w:p>
      <w:pPr>
        <w:spacing w:after="0" w:line="216" w:lineRule="exact"/>
        <w:rPr>
          <w:sz w:val="20"/>
          <w:szCs w:val="20"/>
          <w:color w:val="auto"/>
        </w:rPr>
      </w:pPr>
    </w:p>
    <w:p>
      <w:pPr>
        <w:jc w:val="both"/>
        <w:ind w:left="40" w:right="59" w:firstLine="293"/>
        <w:spacing w:after="0" w:line="274" w:lineRule="auto"/>
        <w:rPr>
          <w:sz w:val="20"/>
          <w:szCs w:val="20"/>
          <w:color w:val="auto"/>
        </w:rPr>
      </w:pPr>
      <w:r>
        <w:rPr>
          <w:rFonts w:ascii="Arial" w:cs="Arial" w:eastAsia="Arial" w:hAnsi="Arial"/>
          <w:sz w:val="16"/>
          <w:szCs w:val="16"/>
          <w:color w:val="auto"/>
        </w:rPr>
        <w:t>Depreciation and amortization expense totaled $10.9 million and $7.0 million during the nine months ended September 30, 2021 and 2020, respectively. The $3.9 million increase in the depreciation and amortization expense is reflective of the Company’s expanded income property portfolio.</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Expense</w:t>
      </w:r>
    </w:p>
    <w:p>
      <w:pPr>
        <w:spacing w:after="0" w:line="216"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Interest expense totaled $2.3 million and $1.0 million during the nine months ended September 30, 2021 and 2020, respectively. The $1.3 million increase in interest expense is attributable to the higher average outstanding debt balance during the nine months ended September 30, 2021 as compared to the same period in 2020. The overall increase in the Company’s long-term debt was primarily utilized to fund the acquisition of income properties during 2021 and 2020.</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216"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Net income totaled $1.9 million and $0.9 million for the nine months ended September 30, 2021 and 2020, respectively. The increase in net income is attributable to the factors described above in addition to the $0.5 million gain on disposition of assets during the nine months ended September 30, 2021, an increase of $0.3 million from the comparable prior year period.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216"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Cash totaled $7.3 million at September 30, 2021, including restricted cash of $0.6 million, see Note 2 “Summary of Significant Accounting Policies” under the heading Restricted Cash for the Company’s disclosure related to its restricted cash balance at September 30, 2021.</w:t>
      </w:r>
    </w:p>
    <w:p>
      <w:pPr>
        <w:spacing w:after="0" w:line="162"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As of September 30, 2021, the Company had $128.5 million available on the Credit Facility. See Note 8, “Long-Term Debt” for the Company’s disclosure related to its long-term debt balance at September 30, 2021.</w:t>
      </w:r>
    </w:p>
    <w:p>
      <w:pPr>
        <w:spacing w:after="0" w:line="149" w:lineRule="exact"/>
        <w:rPr>
          <w:sz w:val="20"/>
          <w:szCs w:val="20"/>
          <w:color w:val="auto"/>
        </w:rPr>
      </w:pPr>
    </w:p>
    <w:p>
      <w:pPr>
        <w:jc w:val="both"/>
        <w:ind w:left="40" w:right="59" w:firstLine="297"/>
        <w:spacing w:after="0" w:line="326" w:lineRule="auto"/>
        <w:rPr>
          <w:sz w:val="20"/>
          <w:szCs w:val="20"/>
          <w:color w:val="auto"/>
        </w:rPr>
      </w:pPr>
      <w:r>
        <w:rPr>
          <w:rFonts w:ascii="Arial" w:cs="Arial" w:eastAsia="Arial" w:hAnsi="Arial"/>
          <w:sz w:val="15"/>
          <w:szCs w:val="15"/>
          <w:i w:val="1"/>
          <w:iCs w:val="1"/>
          <w:color w:val="auto"/>
        </w:rPr>
        <w:t xml:space="preserve">Acquisitions and Investments. </w:t>
      </w:r>
      <w:r>
        <w:rPr>
          <w:rFonts w:ascii="Arial" w:cs="Arial" w:eastAsia="Arial" w:hAnsi="Arial"/>
          <w:sz w:val="15"/>
          <w:szCs w:val="15"/>
          <w:color w:val="auto"/>
        </w:rPr>
        <w:t>As noted previously, the Company acquired 42 income properties during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2021 for an aggregate purchase price of $158.7 million, as further described in Note 3, “Income Property Portfolio”.</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 During the nine months ended September 30, 2021, the Company disposed of one income property,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held for sale as of June 30, 2021, leased to Outback Steakhouse located in Huntersville, North Carolina, for a sales price of $3.8 million, generating a gain on sale of $0.5 million, as described in Note 3, “Income Property Portfolio”.</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As of September 30, 2021 the Company had no commitments related to capital expenditures.</w:t>
      </w:r>
    </w:p>
    <w:p>
      <w:pPr>
        <w:spacing w:after="0" w:line="212"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We believe we will have sufficient liquidity to fund our operations, capital requirements, maintenance, and debt service requirements over the next twelve months and into the foreseeable future, with cash on hand, cash flow from our operations and $128.5 million of available capacity on the existing $150.0 million Credit Facility, based on our current borrowing base of income properties, as of September 30, 2021.</w:t>
      </w:r>
    </w:p>
    <w:p>
      <w:pPr>
        <w:spacing w:after="0" w:line="165" w:lineRule="exact"/>
        <w:rPr>
          <w:sz w:val="20"/>
          <w:szCs w:val="20"/>
          <w:color w:val="auto"/>
        </w:rPr>
      </w:pPr>
    </w:p>
    <w:p>
      <w:pPr>
        <w:jc w:val="both"/>
        <w:ind w:left="40" w:right="59" w:firstLine="297"/>
        <w:spacing w:after="0" w:line="263"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income properties by utilizing the capital we raised in the IPO and available borrowing capacity from the Credit Facility to increase our portfolio of income-producing properties, providing stabilized cash flows with strong risk-adjusted returns primarily in larger metropolitan areas and growth markets.</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Non-GAAP Financial Measures</w:t>
      </w:r>
    </w:p>
    <w:p>
      <w:pPr>
        <w:spacing w:after="0" w:line="228"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Our reported results are presented in accordance with GAAP. We also disclose Funds From Operations (“FFO”) and Adjusted Funds From Operations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65"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78" w:lineRule="exact"/>
        <w:rPr>
          <w:sz w:val="20"/>
          <w:szCs w:val="20"/>
          <w:color w:val="auto"/>
        </w:rPr>
      </w:pPr>
    </w:p>
    <w:p>
      <w:pPr>
        <w:jc w:val="both"/>
        <w:ind w:left="40" w:right="59" w:firstLine="297"/>
        <w:spacing w:after="0" w:line="281" w:lineRule="auto"/>
        <w:rPr>
          <w:sz w:val="20"/>
          <w:szCs w:val="20"/>
          <w:color w:val="auto"/>
        </w:rPr>
      </w:pPr>
      <w:r>
        <w:rPr>
          <w:rFonts w:ascii="Arial" w:cs="Arial" w:eastAsia="Arial" w:hAnsi="Arial"/>
          <w:sz w:val="15"/>
          <w:szCs w:val="15"/>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163" w:lineRule="exact"/>
        <w:rPr>
          <w:sz w:val="20"/>
          <w:szCs w:val="20"/>
          <w:color w:val="auto"/>
        </w:rPr>
      </w:pPr>
    </w:p>
    <w:p>
      <w:pPr>
        <w:jc w:val="both"/>
        <w:ind w:left="40" w:right="59" w:firstLine="297"/>
        <w:spacing w:after="0" w:line="285" w:lineRule="auto"/>
        <w:rPr>
          <w:sz w:val="20"/>
          <w:szCs w:val="20"/>
          <w:color w:val="auto"/>
        </w:rPr>
      </w:pPr>
      <w:r>
        <w:rPr>
          <w:rFonts w:ascii="Arial" w:cs="Arial" w:eastAsia="Arial" w:hAnsi="Arial"/>
          <w:sz w:val="15"/>
          <w:szCs w:val="15"/>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6" w:name="page37"/>
    <w:bookmarkEnd w:id="3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Reconciliation of Non-GAAP Measures (in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420" w:type="dxa"/>
            <w:vAlign w:val="bottom"/>
            <w:gridSpan w:val="5"/>
          </w:tcPr>
          <w:p>
            <w:pPr>
              <w:ind w:left="440"/>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37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5"/>
                <w:szCs w:val="15"/>
                <w:color w:val="auto"/>
              </w:rPr>
            </w:pPr>
          </w:p>
        </w:tc>
      </w:tr>
      <w:tr>
        <w:trPr>
          <w:trHeight w:val="214"/>
        </w:trPr>
        <w:tc>
          <w:tcPr>
            <w:tcW w:w="3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r>
      <w:tr>
        <w:trPr>
          <w:trHeight w:val="191"/>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0" w:type="dxa"/>
            <w:vAlign w:val="bottom"/>
          </w:tcPr>
          <w:p>
            <w:pPr>
              <w:spacing w:after="0"/>
              <w:rPr>
                <w:sz w:val="16"/>
                <w:szCs w:val="16"/>
                <w:color w:val="auto"/>
              </w:rPr>
            </w:pPr>
          </w:p>
        </w:tc>
      </w:tr>
      <w:tr>
        <w:trPr>
          <w:trHeight w:val="198"/>
        </w:trPr>
        <w:tc>
          <w:tcPr>
            <w:tcW w:w="37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7,003</w:t>
            </w:r>
          </w:p>
        </w:tc>
        <w:tc>
          <w:tcPr>
            <w:tcW w:w="20" w:type="dxa"/>
            <w:vAlign w:val="bottom"/>
          </w:tcPr>
          <w:p>
            <w:pPr>
              <w:spacing w:after="0"/>
              <w:rPr>
                <w:sz w:val="17"/>
                <w:szCs w:val="17"/>
                <w:color w:val="auto"/>
              </w:rPr>
            </w:pPr>
          </w:p>
        </w:tc>
      </w:tr>
      <w:tr>
        <w:trPr>
          <w:trHeight w:val="198"/>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Disposition of Assets</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7"/>
                <w:szCs w:val="17"/>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6"/>
                <w:szCs w:val="16"/>
                <w:color w:val="auto"/>
              </w:rPr>
              <w:t>Funds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7,646</w:t>
            </w:r>
          </w:p>
        </w:tc>
        <w:tc>
          <w:tcPr>
            <w:tcW w:w="20" w:type="dxa"/>
            <w:vAlign w:val="bottom"/>
          </w:tcPr>
          <w:p>
            <w:pPr>
              <w:spacing w:after="0"/>
              <w:rPr>
                <w:sz w:val="16"/>
                <w:szCs w:val="16"/>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Adjustments:</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760" w:type="dxa"/>
            <w:vAlign w:val="bottom"/>
          </w:tcPr>
          <w:p>
            <w:pPr>
              <w:ind w:left="200"/>
              <w:spacing w:after="0"/>
              <w:rPr>
                <w:sz w:val="20"/>
                <w:szCs w:val="20"/>
                <w:color w:val="auto"/>
              </w:rPr>
            </w:pPr>
            <w:r>
              <w:rPr>
                <w:rFonts w:ascii="Arial" w:cs="Arial" w:eastAsia="Arial" w:hAnsi="Arial"/>
                <w:sz w:val="16"/>
                <w:szCs w:val="16"/>
                <w:color w:val="auto"/>
              </w:rPr>
              <w:t>Straight-Line Rent Adjustment</w:t>
            </w:r>
          </w:p>
        </w:tc>
        <w:tc>
          <w:tcPr>
            <w:tcW w:w="8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(1,237)</w:t>
            </w:r>
          </w:p>
        </w:tc>
        <w:tc>
          <w:tcPr>
            <w:tcW w:w="20" w:type="dxa"/>
            <w:vAlign w:val="bottom"/>
          </w:tcPr>
          <w:p>
            <w:pPr>
              <w:spacing w:after="0"/>
              <w:rPr>
                <w:sz w:val="17"/>
                <w:szCs w:val="17"/>
                <w:color w:val="auto"/>
              </w:rPr>
            </w:pPr>
          </w:p>
        </w:tc>
      </w:tr>
      <w:tr>
        <w:trPr>
          <w:trHeight w:val="198"/>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COVID-19 Rent Repayments (Deferrals), Net</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0" w:type="dxa"/>
            <w:vAlign w:val="bottom"/>
          </w:tcPr>
          <w:p>
            <w:pPr>
              <w:spacing w:after="0"/>
              <w:rPr>
                <w:sz w:val="17"/>
                <w:szCs w:val="17"/>
                <w:color w:val="auto"/>
              </w:rPr>
            </w:pPr>
          </w:p>
        </w:tc>
      </w:tr>
      <w:tr>
        <w:trPr>
          <w:trHeight w:val="198"/>
        </w:trPr>
        <w:tc>
          <w:tcPr>
            <w:tcW w:w="3760" w:type="dxa"/>
            <w:vAlign w:val="bottom"/>
          </w:tcPr>
          <w:p>
            <w:pPr>
              <w:ind w:left="200"/>
              <w:spacing w:after="0"/>
              <w:rPr>
                <w:sz w:val="20"/>
                <w:szCs w:val="20"/>
                <w:color w:val="auto"/>
              </w:rPr>
            </w:pPr>
            <w:r>
              <w:rPr>
                <w:rFonts w:ascii="Arial" w:cs="Arial" w:eastAsia="Arial" w:hAnsi="Arial"/>
                <w:sz w:val="16"/>
                <w:szCs w:val="16"/>
                <w:color w:val="auto"/>
              </w:rPr>
              <w:t>Non-Cash Compensation</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7"/>
                <w:szCs w:val="17"/>
                <w:color w:val="auto"/>
              </w:rPr>
            </w:pPr>
          </w:p>
        </w:tc>
      </w:tr>
      <w:tr>
        <w:trPr>
          <w:trHeight w:val="186"/>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Costs to</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8"/>
                <w:szCs w:val="18"/>
                <w:color w:val="auto"/>
              </w:rPr>
            </w:pPr>
          </w:p>
        </w:tc>
      </w:tr>
      <w:tr>
        <w:trPr>
          <w:trHeight w:val="186"/>
        </w:trPr>
        <w:tc>
          <w:tcPr>
            <w:tcW w:w="3760" w:type="dxa"/>
            <w:vAlign w:val="bottom"/>
          </w:tcPr>
          <w:p>
            <w:pPr>
              <w:ind w:left="200"/>
              <w:spacing w:after="0"/>
              <w:rPr>
                <w:sz w:val="20"/>
                <w:szCs w:val="20"/>
                <w:color w:val="auto"/>
              </w:rPr>
            </w:pPr>
            <w:r>
              <w:rPr>
                <w:rFonts w:ascii="Arial" w:cs="Arial" w:eastAsia="Arial" w:hAnsi="Arial"/>
                <w:sz w:val="16"/>
                <w:szCs w:val="16"/>
                <w:color w:val="auto"/>
              </w:rPr>
              <w:t>Amortization of Intangible Assets and Liabilities to</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3760" w:type="dxa"/>
            <w:vAlign w:val="bottom"/>
          </w:tcPr>
          <w:p>
            <w:pPr>
              <w:ind w:left="200"/>
              <w:spacing w:after="0"/>
              <w:rPr>
                <w:sz w:val="20"/>
                <w:szCs w:val="20"/>
                <w:color w:val="auto"/>
              </w:rPr>
            </w:pPr>
            <w:r>
              <w:rPr>
                <w:rFonts w:ascii="Arial" w:cs="Arial" w:eastAsia="Arial" w:hAnsi="Arial"/>
                <w:sz w:val="16"/>
                <w:szCs w:val="16"/>
                <w:color w:val="auto"/>
              </w:rPr>
              <w:t>Lease Income</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r>
      <w:tr>
        <w:trPr>
          <w:trHeight w:val="200"/>
        </w:trPr>
        <w:tc>
          <w:tcPr>
            <w:tcW w:w="3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Accretion of Tenant Contribution</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r>
      <w:tr>
        <w:trPr>
          <w:trHeight w:val="198"/>
        </w:trPr>
        <w:tc>
          <w:tcPr>
            <w:tcW w:w="3760" w:type="dxa"/>
            <w:vAlign w:val="bottom"/>
          </w:tcPr>
          <w:p>
            <w:pPr>
              <w:ind w:left="200"/>
              <w:spacing w:after="0"/>
              <w:rPr>
                <w:sz w:val="20"/>
                <w:szCs w:val="20"/>
                <w:color w:val="auto"/>
              </w:rPr>
            </w:pPr>
            <w:r>
              <w:rPr>
                <w:rFonts w:ascii="Arial" w:cs="Arial" w:eastAsia="Arial" w:hAnsi="Arial"/>
                <w:sz w:val="16"/>
                <w:szCs w:val="16"/>
                <w:color w:val="auto"/>
              </w:rPr>
              <w:t>Recurring Capital Expenditures</w:t>
            </w:r>
          </w:p>
        </w:tc>
        <w:tc>
          <w:tcPr>
            <w:tcW w:w="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r>
      <w:tr>
        <w:trPr>
          <w:trHeight w:val="19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Funds from Operations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20" w:type="dxa"/>
            <w:vAlign w:val="bottom"/>
          </w:tcPr>
          <w:p>
            <w:pPr>
              <w:spacing w:after="0"/>
              <w:rPr>
                <w:sz w:val="16"/>
                <w:szCs w:val="16"/>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760" w:type="dxa"/>
            <w:vAlign w:val="bottom"/>
          </w:tcPr>
          <w:p>
            <w:pPr>
              <w:ind w:left="1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11,299,548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7,455,281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9,253,090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7,632,660</w:t>
            </w:r>
          </w:p>
        </w:tc>
        <w:tc>
          <w:tcPr>
            <w:tcW w:w="20" w:type="dxa"/>
            <w:vAlign w:val="bottom"/>
          </w:tcPr>
          <w:p>
            <w:pPr>
              <w:spacing w:after="0"/>
              <w:rPr>
                <w:sz w:val="17"/>
                <w:szCs w:val="17"/>
                <w:color w:val="auto"/>
              </w:rPr>
            </w:pPr>
          </w:p>
        </w:tc>
      </w:tr>
      <w:tr>
        <w:trPr>
          <w:trHeight w:val="198"/>
        </w:trPr>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12,996,503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8,679,135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10,637,934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8,856,514</w:t>
            </w:r>
          </w:p>
        </w:tc>
        <w:tc>
          <w:tcPr>
            <w:tcW w:w="20" w:type="dxa"/>
            <w:vAlign w:val="bottom"/>
          </w:tcPr>
          <w:p>
            <w:pPr>
              <w:spacing w:after="0"/>
              <w:rPr>
                <w:sz w:val="17"/>
                <w:szCs w:val="17"/>
                <w:color w:val="auto"/>
              </w:rPr>
            </w:pPr>
          </w:p>
        </w:tc>
      </w:tr>
      <w:tr>
        <w:trPr>
          <w:trHeight w:val="395"/>
        </w:trPr>
        <w:tc>
          <w:tcPr>
            <w:tcW w:w="3760" w:type="dxa"/>
            <w:vAlign w:val="bottom"/>
          </w:tcPr>
          <w:p>
            <w:pPr>
              <w:spacing w:after="0"/>
              <w:rPr>
                <w:sz w:val="20"/>
                <w:szCs w:val="20"/>
                <w:color w:val="auto"/>
              </w:rPr>
            </w:pPr>
            <w:r>
              <w:rPr>
                <w:rFonts w:ascii="Arial" w:cs="Arial" w:eastAsia="Arial" w:hAnsi="Arial"/>
                <w:sz w:val="16"/>
                <w:szCs w:val="16"/>
                <w:b w:val="1"/>
                <w:bCs w:val="1"/>
                <w:color w:val="auto"/>
                <w:w w:val="99"/>
              </w:rPr>
              <w:t>Other Data (in thousands, except per share data):</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420" w:type="dxa"/>
            <w:vAlign w:val="bottom"/>
            <w:gridSpan w:val="5"/>
          </w:tcPr>
          <w:p>
            <w:pPr>
              <w:ind w:left="440"/>
              <w:spacing w:after="0"/>
              <w:rPr>
                <w:sz w:val="20"/>
                <w:szCs w:val="20"/>
                <w:color w:val="auto"/>
              </w:rPr>
            </w:pPr>
            <w:r>
              <w:rPr>
                <w:rFonts w:ascii="Arial" w:cs="Arial" w:eastAsia="Arial" w:hAnsi="Arial"/>
                <w:sz w:val="16"/>
                <w:szCs w:val="16"/>
                <w:b w:val="1"/>
                <w:bCs w:val="1"/>
                <w:color w:val="auto"/>
              </w:rPr>
              <w:t>Nine Months Ended</w:t>
            </w:r>
          </w:p>
        </w:tc>
      </w:tr>
      <w:tr>
        <w:trPr>
          <w:trHeight w:val="175"/>
        </w:trPr>
        <w:tc>
          <w:tcPr>
            <w:tcW w:w="37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8"/>
              <w:spacing w:after="0" w:line="175" w:lineRule="exact"/>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5"/>
                <w:szCs w:val="15"/>
                <w:color w:val="auto"/>
              </w:rPr>
            </w:pPr>
          </w:p>
        </w:tc>
      </w:tr>
      <w:tr>
        <w:trPr>
          <w:trHeight w:val="214"/>
        </w:trPr>
        <w:tc>
          <w:tcPr>
            <w:tcW w:w="3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r>
      <w:tr>
        <w:trPr>
          <w:trHeight w:val="191"/>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FFO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7,646</w:t>
            </w:r>
          </w:p>
        </w:tc>
        <w:tc>
          <w:tcPr>
            <w:tcW w:w="20" w:type="dxa"/>
            <w:vAlign w:val="bottom"/>
          </w:tcPr>
          <w:p>
            <w:pPr>
              <w:spacing w:after="0"/>
              <w:rPr>
                <w:sz w:val="16"/>
                <w:szCs w:val="16"/>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FFO per Diluted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0.86</w:t>
            </w:r>
          </w:p>
        </w:tc>
        <w:tc>
          <w:tcPr>
            <w:tcW w:w="20" w:type="dxa"/>
            <w:vAlign w:val="bottom"/>
          </w:tcPr>
          <w:p>
            <w:pPr>
              <w:spacing w:after="0"/>
              <w:rPr>
                <w:sz w:val="17"/>
                <w:szCs w:val="17"/>
                <w:color w:val="auto"/>
              </w:rPr>
            </w:pPr>
          </w:p>
        </w:tc>
      </w:tr>
      <w:tr>
        <w:trPr>
          <w:trHeight w:val="198"/>
        </w:trPr>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AFFO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12,539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6,083</w:t>
            </w:r>
          </w:p>
        </w:tc>
        <w:tc>
          <w:tcPr>
            <w:tcW w:w="20" w:type="dxa"/>
            <w:vAlign w:val="bottom"/>
          </w:tcPr>
          <w:p>
            <w:pPr>
              <w:spacing w:after="0"/>
              <w:rPr>
                <w:sz w:val="17"/>
                <w:szCs w:val="17"/>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AFFO per Diluted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0" w:type="dxa"/>
            <w:vAlign w:val="bottom"/>
          </w:tcPr>
          <w:p>
            <w:pPr>
              <w:spacing w:after="0"/>
              <w:rPr>
                <w:sz w:val="17"/>
                <w:szCs w:val="17"/>
                <w:color w:val="auto"/>
              </w:rPr>
            </w:pP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OFF-BALANCE SHEET ARRANGEMENTS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w:t>
      </w:r>
    </w:p>
    <w:p>
      <w:pPr>
        <w:spacing w:after="0" w:line="216" w:lineRule="exact"/>
        <w:rPr>
          <w:sz w:val="20"/>
          <w:szCs w:val="20"/>
          <w:color w:val="auto"/>
        </w:rPr>
      </w:pPr>
    </w:p>
    <w:p>
      <w:pPr>
        <w:jc w:val="both"/>
        <w:ind w:left="40" w:right="59" w:firstLine="355"/>
        <w:spacing w:after="0" w:line="292" w:lineRule="auto"/>
        <w:rPr>
          <w:sz w:val="20"/>
          <w:szCs w:val="20"/>
          <w:color w:val="auto"/>
        </w:rPr>
      </w:pPr>
      <w:r>
        <w:rPr>
          <w:rFonts w:ascii="Arial" w:cs="Arial" w:eastAsia="Arial" w:hAnsi="Arial"/>
          <w:sz w:val="15"/>
          <w:szCs w:val="15"/>
          <w:color w:val="auto"/>
        </w:rPr>
        <w:t>The consolidated financial statements are prepared in conformity with accounting principles generally accepted in the United States of America.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51"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Our significant accounting policies are summarized in Note 2, “Summary of Significant Accounting Policies” included in this Quarterly Report on Form 10-Q and more fully described in the notes to the consolidated and combined financial statements included in our Annual Report on Form 10-K for the year ended December 31, 2020. Judgments and estimates of uncertainties are required in applying our accounting policies in many areas. During the nine months 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7" w:name="page38"/>
    <w:bookmarkEnd w:id="3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September 30, 2021, there have been no material changes to the critical accounting policies affecting the application of those accounting policies as noted in our Annual Report on Form 10-K for the year ended December 31, 2020.</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91"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color w:val="auto"/>
        </w:rPr>
        <w:t>We are a smaller reporting company as defined in Item 10(f)(1) of Regulation S-K. As a result, pursuant to Item 305(e) of Regulation S-K, we are not required to provide the information required by this Item.</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216" w:lineRule="exact"/>
        <w:rPr>
          <w:sz w:val="20"/>
          <w:szCs w:val="20"/>
          <w:color w:val="auto"/>
        </w:rPr>
      </w:pPr>
    </w:p>
    <w:p>
      <w:pPr>
        <w:jc w:val="both"/>
        <w:ind w:left="40" w:right="59" w:firstLine="297"/>
        <w:spacing w:after="0" w:line="280" w:lineRule="auto"/>
        <w:rPr>
          <w:sz w:val="20"/>
          <w:szCs w:val="20"/>
          <w:color w:val="auto"/>
        </w:rPr>
      </w:pPr>
      <w:r>
        <w:rPr>
          <w:rFonts w:ascii="Arial" w:cs="Arial" w:eastAsia="Arial" w:hAnsi="Arial"/>
          <w:sz w:val="15"/>
          <w:szCs w:val="15"/>
          <w:color w:val="auto"/>
        </w:rPr>
        <w:t>As of the end of the period covered by this report, an evaluation, as required by Rules 13a-15 and 15d-15 under the Exchange Act, was carried out under the supervision and with the participation of the Company’s management, including our Chief Executive Officer (“CEO”) and Chief Financial Officer (“CFO”), of the effectiveness of the Company’s disclosure controls and procedures (as defined in Rules 13a-15(e) or 15d-15(e) under the Exchange Act). Based on that evaluation, our CEO and CFO have concluded that the design and operation of the Company’s disclosure controls and procedures were effective as of September 30, 2021, to ensure that information required to be disclosed by the Company in reports that it files or submits under the Exchange Act is recorded, processed, summarized, and reported within the time periods specified in the Securities and Exchange Commission’s rules and forms, and to provide reasonable assurance that information required to be disclosed by the Company in such reports is accumulated and communicated to the Company’s management, including our CEO and CFO, as appropriate to allow timely decisions regarding required disclosure. There were no changes in the Company’s internal control over financial reporting (as defined in Rules 13a-15(f) or 15d-15(f) under the Exchange Act) during the three months ended September 30, 2021, that have materially affected, or are reasonably likely to materially affect, the Company’s internal control over financial reporting.</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PART II—OTHER INFORMATION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79" w:lineRule="exact"/>
        <w:rPr>
          <w:sz w:val="20"/>
          <w:szCs w:val="20"/>
          <w:color w:val="auto"/>
        </w:rPr>
      </w:pPr>
    </w:p>
    <w:p>
      <w:pPr>
        <w:jc w:val="both"/>
        <w:ind w:left="40" w:right="59" w:firstLine="297"/>
        <w:spacing w:after="0" w:line="274" w:lineRule="auto"/>
        <w:rPr>
          <w:sz w:val="20"/>
          <w:szCs w:val="20"/>
          <w:color w:val="auto"/>
        </w:rPr>
      </w:pPr>
      <w:r>
        <w:rPr>
          <w:rFonts w:ascii="Arial" w:cs="Arial" w:eastAsia="Arial" w:hAnsi="Arial"/>
          <w:sz w:val="16"/>
          <w:szCs w:val="16"/>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216" w:lineRule="exact"/>
        <w:rPr>
          <w:sz w:val="20"/>
          <w:szCs w:val="20"/>
          <w:color w:val="auto"/>
        </w:rPr>
      </w:pPr>
    </w:p>
    <w:p>
      <w:pPr>
        <w:jc w:val="both"/>
        <w:ind w:left="40" w:right="59" w:firstLine="297"/>
        <w:spacing w:after="0" w:line="285" w:lineRule="auto"/>
        <w:rPr>
          <w:sz w:val="20"/>
          <w:szCs w:val="20"/>
          <w:color w:val="auto"/>
        </w:rPr>
      </w:pPr>
      <w:r>
        <w:rPr>
          <w:rFonts w:ascii="Arial" w:cs="Arial" w:eastAsia="Arial" w:hAnsi="Arial"/>
          <w:sz w:val="15"/>
          <w:szCs w:val="15"/>
          <w:color w:val="auto"/>
        </w:rPr>
        <w:t>As of September 30, 2021, there have been no material changes in our risk factors from those set forth under the heading Part I, “Item 1A. Risk Factors” in the Company’s Annual Report on Form 10-K for the year ended December 31, 2020 (the “Form 10-K”). However, the following risk factors expand upon and supplement those risk factors disclosed in the Form 10-K to provide additional specificity to the matters covered by such risk factors and should be read in conjunction with the risk factors set forth in the Form 10-K. These are not the only risks facing the Company. Additional risks and uncertainties not currently known to the Company or that the Company currently deems to be immaterial also may materially adversely affect the Company.</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Business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may be unable to renew leases, lease vacant space or re-lease space as leases expire on favorable terms or at all.</w:t>
      </w:r>
    </w:p>
    <w:p>
      <w:pPr>
        <w:spacing w:after="0" w:line="224"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Our results of operations depend on our ability to lease our properties, including renewing expiring leases, leasing vacant space, re-leasing space in properties where leases are expiring</w:t>
      </w:r>
      <w:r>
        <w:rPr>
          <w:rFonts w:ascii="Arial" w:cs="Arial" w:eastAsia="Arial" w:hAnsi="Arial"/>
          <w:sz w:val="16"/>
          <w:szCs w:val="16"/>
          <w:u w:val="single" w:color="auto"/>
          <w:color w:val="auto"/>
        </w:rPr>
        <w:t>, and leasing space related to new project development</w:t>
      </w:r>
      <w:r>
        <w:rPr>
          <w:rFonts w:ascii="Arial" w:cs="Arial" w:eastAsia="Arial" w:hAnsi="Arial"/>
          <w:sz w:val="16"/>
          <w:szCs w:val="16"/>
          <w:color w:val="auto"/>
        </w:rPr>
        <w: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8" w:name="page39"/>
    <w:bookmarkEnd w:id="3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74" w:lineRule="auto"/>
        <w:rPr>
          <w:sz w:val="20"/>
          <w:szCs w:val="20"/>
          <w:color w:val="auto"/>
        </w:rPr>
      </w:pPr>
      <w:r>
        <w:rPr>
          <w:rFonts w:ascii="Arial" w:cs="Arial" w:eastAsia="Arial" w:hAnsi="Arial"/>
          <w:sz w:val="16"/>
          <w:szCs w:val="16"/>
          <w:color w:val="auto"/>
        </w:rPr>
        <w:t>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spacing w:after="0" w:line="162"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b w:val="1"/>
          <w:bCs w:val="1"/>
          <w:i w:val="1"/>
          <w:iCs w:val="1"/>
          <w:color w:val="auto"/>
        </w:rPr>
        <w:t xml:space="preserve">We may be unable to identify and complete </w:t>
      </w:r>
      <w:r>
        <w:rPr>
          <w:rFonts w:ascii="Arial" w:cs="Arial" w:eastAsia="Arial" w:hAnsi="Arial"/>
          <w:sz w:val="16"/>
          <w:szCs w:val="16"/>
          <w:b w:val="1"/>
          <w:bCs w:val="1"/>
          <w:i w:val="1"/>
          <w:iCs w:val="1"/>
          <w:u w:val="single" w:color="auto"/>
          <w:color w:val="auto"/>
        </w:rPr>
        <w:t>suitable property acquisitions or developments</w:t>
      </w:r>
      <w:r>
        <w:rPr>
          <w:rFonts w:ascii="Arial" w:cs="Arial" w:eastAsia="Arial" w:hAnsi="Arial"/>
          <w:sz w:val="16"/>
          <w:szCs w:val="16"/>
          <w:b w:val="1"/>
          <w:bCs w:val="1"/>
          <w:i w:val="1"/>
          <w:iCs w:val="1"/>
          <w:color w:val="auto"/>
        </w:rPr>
        <w:t xml:space="preserve">, which may impede our growth, and our future acquisitions </w:t>
      </w:r>
      <w:r>
        <w:rPr>
          <w:rFonts w:ascii="Arial" w:cs="Arial" w:eastAsia="Arial" w:hAnsi="Arial"/>
          <w:sz w:val="16"/>
          <w:szCs w:val="16"/>
          <w:b w:val="1"/>
          <w:bCs w:val="1"/>
          <w:i w:val="1"/>
          <w:iCs w:val="1"/>
          <w:u w:val="single" w:color="auto"/>
          <w:color w:val="auto"/>
        </w:rPr>
        <w:t>and developments</w:t>
      </w:r>
      <w:r>
        <w:rPr>
          <w:rFonts w:ascii="Arial" w:cs="Arial" w:eastAsia="Arial" w:hAnsi="Arial"/>
          <w:sz w:val="16"/>
          <w:szCs w:val="16"/>
          <w:b w:val="1"/>
          <w:bCs w:val="1"/>
          <w:i w:val="1"/>
          <w:iCs w:val="1"/>
          <w:color w:val="auto"/>
        </w:rPr>
        <w:t xml:space="preserve"> may not yield the returns we expect.</w:t>
      </w:r>
    </w:p>
    <w:p>
      <w:pPr>
        <w:spacing w:after="0" w:line="149" w:lineRule="exact"/>
        <w:rPr>
          <w:sz w:val="20"/>
          <w:szCs w:val="20"/>
          <w:color w:val="auto"/>
        </w:rPr>
      </w:pPr>
    </w:p>
    <w:p>
      <w:pPr>
        <w:jc w:val="both"/>
        <w:ind w:left="40" w:right="59" w:firstLine="297"/>
        <w:spacing w:after="0" w:line="266" w:lineRule="auto"/>
        <w:rPr>
          <w:sz w:val="20"/>
          <w:szCs w:val="20"/>
          <w:color w:val="auto"/>
        </w:rPr>
      </w:pPr>
      <w:r>
        <w:rPr>
          <w:rFonts w:ascii="Arial" w:cs="Arial" w:eastAsia="Arial" w:hAnsi="Arial"/>
          <w:sz w:val="16"/>
          <w:szCs w:val="16"/>
          <w:color w:val="auto"/>
        </w:rPr>
        <w:t xml:space="preserve">Our ability to expand through acquisitions </w:t>
      </w:r>
      <w:r>
        <w:rPr>
          <w:rFonts w:ascii="Arial" w:cs="Arial" w:eastAsia="Arial" w:hAnsi="Arial"/>
          <w:sz w:val="16"/>
          <w:szCs w:val="16"/>
          <w:u w:val="single" w:color="auto"/>
          <w:color w:val="auto"/>
        </w:rPr>
        <w:t>and developments</w:t>
      </w:r>
      <w:r>
        <w:rPr>
          <w:rFonts w:ascii="Arial" w:cs="Arial" w:eastAsia="Arial" w:hAnsi="Arial"/>
          <w:sz w:val="16"/>
          <w:szCs w:val="16"/>
          <w:color w:val="auto"/>
        </w:rPr>
        <w:t xml:space="preserve"> requires us to identify and complete acquisitions </w:t>
      </w:r>
      <w:r>
        <w:rPr>
          <w:rFonts w:ascii="Arial" w:cs="Arial" w:eastAsia="Arial" w:hAnsi="Arial"/>
          <w:sz w:val="16"/>
          <w:szCs w:val="16"/>
          <w:u w:val="single" w:color="auto"/>
          <w:color w:val="auto"/>
        </w:rPr>
        <w:t>and new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developments</w:t>
      </w:r>
      <w:r>
        <w:rPr>
          <w:rFonts w:ascii="Arial" w:cs="Arial" w:eastAsia="Arial" w:hAnsi="Arial"/>
          <w:sz w:val="16"/>
          <w:szCs w:val="16"/>
          <w:color w:val="auto"/>
        </w:rPr>
        <w:t xml:space="preserve"> that are consistent with our investment and growth strategy and our investment criteria and to successfully integrate newly acquired properties into our portfolio. Our Manager continually evaluates investment opportunities for us, but our ability to acquire </w:t>
      </w:r>
      <w:r>
        <w:rPr>
          <w:rFonts w:ascii="Arial" w:cs="Arial" w:eastAsia="Arial" w:hAnsi="Arial"/>
          <w:sz w:val="16"/>
          <w:szCs w:val="16"/>
          <w:u w:val="single" w:color="auto"/>
          <w:color w:val="auto"/>
        </w:rPr>
        <w:t>or develop new</w:t>
      </w:r>
      <w:r>
        <w:rPr>
          <w:rFonts w:ascii="Arial" w:cs="Arial" w:eastAsia="Arial" w:hAnsi="Arial"/>
          <w:sz w:val="16"/>
          <w:szCs w:val="16"/>
          <w:color w:val="auto"/>
        </w:rPr>
        <w:t xml:space="preserve"> properties on favorable terms and successfully operate them may be constrained by the following significant risks:</w:t>
      </w:r>
    </w:p>
    <w:p>
      <w:pPr>
        <w:spacing w:after="0" w:line="169" w:lineRule="exact"/>
        <w:rPr>
          <w:sz w:val="20"/>
          <w:szCs w:val="20"/>
          <w:color w:val="auto"/>
        </w:rPr>
      </w:pPr>
    </w:p>
    <w:p>
      <w:pPr>
        <w:jc w:val="both"/>
        <w:ind w:left="660" w:right="79" w:hanging="295"/>
        <w:spacing w:after="0" w:line="26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face competition from </w:t>
      </w:r>
      <w:r>
        <w:rPr>
          <w:rFonts w:ascii="Arial" w:cs="Arial" w:eastAsia="Arial" w:hAnsi="Arial"/>
          <w:sz w:val="16"/>
          <w:szCs w:val="16"/>
          <w:u w:val="single" w:color="auto"/>
          <w:color w:val="auto"/>
        </w:rPr>
        <w:t>commercial developers and</w:t>
      </w:r>
      <w:r>
        <w:rPr>
          <w:rFonts w:ascii="Arial" w:cs="Arial" w:eastAsia="Arial" w:hAnsi="Arial"/>
          <w:sz w:val="16"/>
          <w:szCs w:val="16"/>
          <w:color w:val="auto"/>
        </w:rPr>
        <w:t xml:space="preserve"> other real estate investors with significant capital, including REITs and institutional investment funds, which may be able to accept more risk than we can prudently manage, including risks associated with paying higher acquisition prices;</w:t>
      </w:r>
    </w:p>
    <w:p>
      <w:pPr>
        <w:ind w:left="660" w:right="79" w:hanging="295"/>
        <w:spacing w:after="0" w:line="25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face competition from other potential acquirers which may significantly increase the purchase price for a property we acquire, which could reduce our growth prospects;</w:t>
      </w:r>
    </w:p>
    <w:p>
      <w:pPr>
        <w:ind w:left="660" w:right="59" w:hanging="295"/>
        <w:spacing w:after="0" w:line="25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may incur significant costs and divert management attention in connection with evaluating and negotiating potential acquisitions </w:t>
      </w:r>
      <w:r>
        <w:rPr>
          <w:rFonts w:ascii="Arial" w:cs="Arial" w:eastAsia="Arial" w:hAnsi="Arial"/>
          <w:sz w:val="16"/>
          <w:szCs w:val="16"/>
          <w:u w:val="single" w:color="auto"/>
          <w:color w:val="auto"/>
        </w:rPr>
        <w:t>and developments</w:t>
      </w:r>
      <w:r>
        <w:rPr>
          <w:rFonts w:ascii="Arial" w:cs="Arial" w:eastAsia="Arial" w:hAnsi="Arial"/>
          <w:sz w:val="16"/>
          <w:szCs w:val="16"/>
          <w:color w:val="auto"/>
        </w:rPr>
        <w:t>, including ones that we are unable to complete;</w:t>
      </w:r>
    </w:p>
    <w:p>
      <w:pPr>
        <w:ind w:left="660" w:right="59" w:hanging="295"/>
        <w:spacing w:after="0" w:line="25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acquire properties that are not accretive to our results of operations upon acquisition, and we may be unsuccessful in managing and leasing such properties in accordance with our expectations;</w:t>
      </w:r>
    </w:p>
    <w:p>
      <w:pPr>
        <w:ind w:left="660" w:right="79" w:hanging="295"/>
        <w:spacing w:after="0" w:line="25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our cash flow from an acquired </w:t>
      </w:r>
      <w:r>
        <w:rPr>
          <w:rFonts w:ascii="Arial" w:cs="Arial" w:eastAsia="Arial" w:hAnsi="Arial"/>
          <w:sz w:val="16"/>
          <w:szCs w:val="16"/>
          <w:u w:val="single" w:color="auto"/>
          <w:color w:val="auto"/>
        </w:rPr>
        <w:t>or developed</w:t>
      </w:r>
      <w:r>
        <w:rPr>
          <w:rFonts w:ascii="Arial" w:cs="Arial" w:eastAsia="Arial" w:hAnsi="Arial"/>
          <w:sz w:val="16"/>
          <w:szCs w:val="16"/>
          <w:color w:val="auto"/>
        </w:rPr>
        <w:t xml:space="preserve"> property may be insufficient to meet our required principal and interest payments with respect to debt used to finance the acquisition </w:t>
      </w:r>
      <w:r>
        <w:rPr>
          <w:rFonts w:ascii="Arial" w:cs="Arial" w:eastAsia="Arial" w:hAnsi="Arial"/>
          <w:sz w:val="16"/>
          <w:szCs w:val="16"/>
          <w:u w:val="single" w:color="auto"/>
          <w:color w:val="auto"/>
        </w:rPr>
        <w:t>or development</w:t>
      </w:r>
      <w:r>
        <w:rPr>
          <w:rFonts w:ascii="Arial" w:cs="Arial" w:eastAsia="Arial" w:hAnsi="Arial"/>
          <w:sz w:val="16"/>
          <w:szCs w:val="16"/>
          <w:color w:val="auto"/>
        </w:rPr>
        <w:t xml:space="preserve"> of such property;</w:t>
      </w:r>
    </w:p>
    <w:p>
      <w:pPr>
        <w:jc w:val="both"/>
        <w:ind w:left="660" w:right="79" w:hanging="295"/>
        <w:spacing w:after="0" w:line="25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p>
      <w:pPr>
        <w:ind w:left="660" w:hanging="295"/>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we may fail to obtain financing for an acquisition </w:t>
      </w:r>
      <w:r>
        <w:rPr>
          <w:rFonts w:ascii="Arial" w:cs="Arial" w:eastAsia="Arial" w:hAnsi="Arial"/>
          <w:sz w:val="16"/>
          <w:szCs w:val="16"/>
          <w:u w:val="single" w:color="auto"/>
          <w:color w:val="auto"/>
        </w:rPr>
        <w:t>or new property development</w:t>
      </w:r>
      <w:r>
        <w:rPr>
          <w:rFonts w:ascii="Arial" w:cs="Arial" w:eastAsia="Arial" w:hAnsi="Arial"/>
          <w:sz w:val="16"/>
          <w:szCs w:val="16"/>
          <w:color w:val="auto"/>
        </w:rPr>
        <w:t xml:space="preserve"> on favorable terms or at all;</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spend more than budgeted amounts to make necessary improvements or renovations to acquired properties;</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market conditions may result in higher than expected vacancy rates and lower than expected rental rates; and</w:t>
      </w:r>
    </w:p>
    <w:p>
      <w:pPr>
        <w:spacing w:after="0" w:line="14" w:lineRule="exact"/>
        <w:rPr>
          <w:rFonts w:ascii="Arial" w:cs="Arial" w:eastAsia="Arial" w:hAnsi="Arial"/>
          <w:sz w:val="16"/>
          <w:szCs w:val="16"/>
          <w:color w:val="auto"/>
        </w:rPr>
      </w:pPr>
    </w:p>
    <w:p>
      <w:pPr>
        <w:jc w:val="both"/>
        <w:ind w:left="660" w:right="59" w:hanging="295"/>
        <w:spacing w:after="0" w:line="284"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any of these risks are realized, we may be materially and adversely affected.</w:t>
      </w:r>
    </w:p>
    <w:p>
      <w:pPr>
        <w:spacing w:after="0" w:line="212"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b w:val="1"/>
          <w:bCs w:val="1"/>
          <w:i w:val="1"/>
          <w:iCs w:val="1"/>
          <w:color w:val="auto"/>
        </w:rPr>
        <w:t>The development of new projects and/or properties may cause us to experience unexpected costs and have other risks that could materially and adversely affect us.</w:t>
      </w:r>
    </w:p>
    <w:p>
      <w:pPr>
        <w:spacing w:after="0" w:line="149" w:lineRule="exact"/>
        <w:rPr>
          <w:sz w:val="20"/>
          <w:szCs w:val="20"/>
          <w:color w:val="auto"/>
        </w:rPr>
      </w:pPr>
    </w:p>
    <w:p>
      <w:pPr>
        <w:jc w:val="both"/>
        <w:ind w:left="40" w:right="59" w:firstLine="297"/>
        <w:spacing w:after="0" w:line="281" w:lineRule="auto"/>
        <w:rPr>
          <w:sz w:val="20"/>
          <w:szCs w:val="20"/>
          <w:color w:val="auto"/>
        </w:rPr>
      </w:pPr>
      <w:r>
        <w:rPr>
          <w:rFonts w:ascii="Arial" w:cs="Arial" w:eastAsia="Arial" w:hAnsi="Arial"/>
          <w:sz w:val="15"/>
          <w:szCs w:val="15"/>
          <w:color w:val="auto"/>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 on the revolving credit facility or any other credit facilities that we may have in place in the future, which would limit our ability to use those sources of capital for the acquisition of properties and other operating needs. The risks associated with</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39" w:name="page40"/>
    <w:bookmarkEnd w:id="3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new project development activities, including but not necessarily limited to those noted above, could materially and adversely affect us.</w:t>
      </w:r>
    </w:p>
    <w:p>
      <w:pPr>
        <w:spacing w:after="0" w:line="149"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b w:val="1"/>
          <w:bCs w:val="1"/>
          <w:i w:val="1"/>
          <w:iCs w:val="1"/>
          <w:color w:val="auto"/>
        </w:rPr>
        <w:t>The success of our activities related to new project development in which we will retain an ownership interest is partly dependent on the availability of suitable undeveloped land at acceptable prices.</w:t>
      </w:r>
    </w:p>
    <w:p>
      <w:pPr>
        <w:spacing w:after="0" w:line="149" w:lineRule="exact"/>
        <w:rPr>
          <w:sz w:val="20"/>
          <w:szCs w:val="20"/>
          <w:color w:val="auto"/>
        </w:rPr>
      </w:pPr>
    </w:p>
    <w:p>
      <w:pPr>
        <w:jc w:val="both"/>
        <w:ind w:left="40" w:right="59" w:firstLine="535"/>
        <w:spacing w:after="0" w:line="264" w:lineRule="auto"/>
        <w:rPr>
          <w:sz w:val="20"/>
          <w:szCs w:val="20"/>
          <w:color w:val="auto"/>
        </w:rPr>
      </w:pPr>
      <w:r>
        <w:rPr>
          <w:rFonts w:ascii="Arial" w:cs="Arial" w:eastAsia="Arial" w:hAnsi="Arial"/>
          <w:sz w:val="16"/>
          <w:szCs w:val="16"/>
          <w:color w:val="auto"/>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 the number of development projects we may be able to undertake could be reduced. Thus, the lack of availability of suitable land opportunities could have a material adverse effect on our results of operations and growth prospects.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Other Aspects of our Operation and as a Public Company</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b w:val="1"/>
          <w:bCs w:val="1"/>
          <w:i w:val="1"/>
          <w:iCs w:val="1"/>
          <w:color w:val="auto"/>
        </w:rPr>
        <w:t>Compliance with the Americans with Disabilities Act and fire, safety and other regulations may require us to make unanticipated expenditures that materially and adversely affect us.</w:t>
      </w:r>
    </w:p>
    <w:p>
      <w:pPr>
        <w:spacing w:after="0" w:line="149" w:lineRule="exact"/>
        <w:rPr>
          <w:sz w:val="20"/>
          <w:szCs w:val="20"/>
          <w:color w:val="auto"/>
        </w:rPr>
      </w:pPr>
    </w:p>
    <w:p>
      <w:pPr>
        <w:jc w:val="both"/>
        <w:ind w:left="40" w:right="59" w:firstLine="297"/>
        <w:spacing w:after="0" w:line="262" w:lineRule="auto"/>
        <w:rPr>
          <w:sz w:val="20"/>
          <w:szCs w:val="20"/>
          <w:color w:val="auto"/>
        </w:rPr>
      </w:pPr>
      <w:r>
        <w:rPr>
          <w:rFonts w:ascii="Arial" w:cs="Arial" w:eastAsia="Arial" w:hAnsi="Arial"/>
          <w:sz w:val="16"/>
          <w:szCs w:val="16"/>
          <w:color w:val="auto"/>
        </w:rPr>
        <w:t>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spacing w:after="0" w:line="175" w:lineRule="exact"/>
        <w:rPr>
          <w:sz w:val="20"/>
          <w:szCs w:val="20"/>
          <w:color w:val="auto"/>
        </w:rPr>
      </w:pPr>
    </w:p>
    <w:p>
      <w:pPr>
        <w:jc w:val="both"/>
        <w:ind w:left="40" w:right="59" w:firstLine="297"/>
        <w:spacing w:after="0" w:line="261" w:lineRule="auto"/>
        <w:rPr>
          <w:sz w:val="20"/>
          <w:szCs w:val="20"/>
          <w:color w:val="auto"/>
        </w:rPr>
      </w:pPr>
      <w:r>
        <w:rPr>
          <w:rFonts w:ascii="Arial" w:cs="Arial" w:eastAsia="Arial" w:hAnsi="Arial"/>
          <w:sz w:val="16"/>
          <w:szCs w:val="16"/>
          <w:color w:val="auto"/>
        </w:rPr>
        <w:t xml:space="preserve">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w:t>
      </w:r>
      <w:r>
        <w:rPr>
          <w:rFonts w:ascii="Arial" w:cs="Arial" w:eastAsia="Arial" w:hAnsi="Arial"/>
          <w:sz w:val="16"/>
          <w:szCs w:val="16"/>
          <w:u w:val="single" w:color="auto"/>
          <w:color w:val="auto"/>
        </w:rPr>
        <w:t>developments</w:t>
      </w:r>
      <w:r>
        <w:rPr>
          <w:rFonts w:ascii="Arial" w:cs="Arial" w:eastAsia="Arial" w:hAnsi="Arial"/>
          <w:sz w:val="16"/>
          <w:szCs w:val="16"/>
          <w:color w:val="auto"/>
        </w:rPr>
        <w:t xml:space="preserve">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Financing Activities</w:t>
      </w:r>
    </w:p>
    <w:p>
      <w:pPr>
        <w:spacing w:after="0" w:line="216" w:lineRule="exact"/>
        <w:rPr>
          <w:sz w:val="20"/>
          <w:szCs w:val="20"/>
          <w:color w:val="auto"/>
        </w:rPr>
      </w:pPr>
    </w:p>
    <w:p>
      <w:pPr>
        <w:jc w:val="both"/>
        <w:ind w:left="40" w:right="59" w:firstLine="297"/>
        <w:spacing w:after="0" w:line="290" w:lineRule="auto"/>
        <w:rPr>
          <w:sz w:val="20"/>
          <w:szCs w:val="20"/>
          <w:color w:val="auto"/>
        </w:rPr>
      </w:pPr>
      <w:r>
        <w:rPr>
          <w:rFonts w:ascii="Arial" w:cs="Arial" w:eastAsia="Arial" w:hAnsi="Arial"/>
          <w:sz w:val="16"/>
          <w:szCs w:val="16"/>
          <w:b w:val="1"/>
          <w:bCs w:val="1"/>
          <w:i w:val="1"/>
          <w:iCs w:val="1"/>
          <w:color w:val="auto"/>
        </w:rPr>
        <w:t>Our growth depends on external sources of capital, including debt financings, that are outside of our control and may not be available to us on commercially reasonable terms or at all.</w:t>
      </w:r>
    </w:p>
    <w:p>
      <w:pPr>
        <w:spacing w:after="0" w:line="149" w:lineRule="exact"/>
        <w:rPr>
          <w:sz w:val="20"/>
          <w:szCs w:val="20"/>
          <w:color w:val="auto"/>
        </w:rPr>
      </w:pPr>
    </w:p>
    <w:p>
      <w:pPr>
        <w:jc w:val="both"/>
        <w:ind w:left="40" w:right="59" w:firstLine="297"/>
        <w:spacing w:after="0" w:line="283" w:lineRule="auto"/>
        <w:rPr>
          <w:sz w:val="20"/>
          <w:szCs w:val="20"/>
          <w:color w:val="auto"/>
        </w:rPr>
      </w:pPr>
      <w:r>
        <w:rPr>
          <w:rFonts w:ascii="Arial" w:cs="Arial" w:eastAsia="Arial" w:hAnsi="Arial"/>
          <w:sz w:val="15"/>
          <w:szCs w:val="15"/>
          <w:color w:val="auto"/>
        </w:rPr>
        <w:t>In order to maintain our qualification as a REIT, we are required under the Code,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0" w:name="page41"/>
    <w:bookmarkEnd w:id="4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market conditions;</w:t>
      </w:r>
    </w:p>
    <w:p>
      <w:pPr>
        <w:spacing w:after="0" w:line="25" w:lineRule="exact"/>
        <w:rPr>
          <w:rFonts w:ascii="Arial" w:cs="Arial" w:eastAsia="Arial" w:hAnsi="Arial"/>
          <w:sz w:val="16"/>
          <w:szCs w:val="16"/>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market’s perception of our growth potential;</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current debt levels;</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current and expected future earnings;</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cash flow and cash distributions; and</w:t>
      </w:r>
    </w:p>
    <w:p>
      <w:pPr>
        <w:spacing w:after="0" w:line="14" w:lineRule="exact"/>
        <w:rPr>
          <w:rFonts w:ascii="Arial" w:cs="Arial" w:eastAsia="Arial" w:hAnsi="Arial"/>
          <w:sz w:val="16"/>
          <w:szCs w:val="16"/>
          <w:color w:val="auto"/>
        </w:rPr>
      </w:pPr>
    </w:p>
    <w:p>
      <w:pPr>
        <w:ind w:left="660" w:hanging="295"/>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market price per share of our common stock.</w:t>
      </w:r>
    </w:p>
    <w:p>
      <w:pPr>
        <w:spacing w:after="0" w:line="201" w:lineRule="exact"/>
        <w:rPr>
          <w:sz w:val="20"/>
          <w:szCs w:val="20"/>
          <w:color w:val="auto"/>
        </w:rPr>
      </w:pPr>
    </w:p>
    <w:p>
      <w:pPr>
        <w:jc w:val="both"/>
        <w:ind w:left="40" w:right="59" w:firstLine="297"/>
        <w:spacing w:after="0" w:line="269" w:lineRule="auto"/>
        <w:rPr>
          <w:sz w:val="20"/>
          <w:szCs w:val="20"/>
          <w:color w:val="auto"/>
        </w:rPr>
      </w:pPr>
      <w:r>
        <w:rPr>
          <w:rFonts w:ascii="Arial" w:cs="Arial" w:eastAsia="Arial" w:hAnsi="Arial"/>
          <w:sz w:val="16"/>
          <w:szCs w:val="16"/>
          <w:color w:val="auto"/>
        </w:rPr>
        <w:t xml:space="preserve">If we cannot obtain capital from third-party sources, we may not be able to acquire </w:t>
      </w:r>
      <w:r>
        <w:rPr>
          <w:rFonts w:ascii="Arial" w:cs="Arial" w:eastAsia="Arial" w:hAnsi="Arial"/>
          <w:sz w:val="16"/>
          <w:szCs w:val="16"/>
          <w:u w:val="single" w:color="auto"/>
          <w:color w:val="auto"/>
        </w:rPr>
        <w:t>or develop</w:t>
      </w:r>
      <w:r>
        <w:rPr>
          <w:rFonts w:ascii="Arial" w:cs="Arial" w:eastAsia="Arial" w:hAnsi="Arial"/>
          <w:sz w:val="16"/>
          <w:szCs w:val="16"/>
          <w:color w:val="auto"/>
        </w:rPr>
        <w:t xml:space="preserve">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Our organizational documents have no limitation on the amount of additional indebtedness that we may incur in the future.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As a result, we may become highly leveraged in the future, which could materially and adversely affect us.</w:t>
      </w:r>
    </w:p>
    <w:p>
      <w:pPr>
        <w:spacing w:after="0" w:line="201" w:lineRule="exact"/>
        <w:rPr>
          <w:sz w:val="20"/>
          <w:szCs w:val="20"/>
          <w:color w:val="auto"/>
        </w:rPr>
      </w:pPr>
    </w:p>
    <w:p>
      <w:pPr>
        <w:jc w:val="both"/>
        <w:ind w:left="40" w:right="59" w:firstLine="297"/>
        <w:spacing w:after="0" w:line="288" w:lineRule="auto"/>
        <w:rPr>
          <w:sz w:val="20"/>
          <w:szCs w:val="20"/>
          <w:color w:val="auto"/>
        </w:rPr>
      </w:pPr>
      <w:r>
        <w:rPr>
          <w:rFonts w:ascii="Arial" w:cs="Arial" w:eastAsia="Arial" w:hAnsi="Arial"/>
          <w:sz w:val="15"/>
          <w:szCs w:val="15"/>
          <w:color w:val="auto"/>
        </w:rPr>
        <w:t xml:space="preserve">We have entered into the Credit Facility and, in the future, we may incur additional indebtedness to finance future acquisitions and </w:t>
      </w:r>
      <w:r>
        <w:rPr>
          <w:rFonts w:ascii="Arial" w:cs="Arial" w:eastAsia="Arial" w:hAnsi="Arial"/>
          <w:sz w:val="15"/>
          <w:szCs w:val="15"/>
          <w:u w:val="single" w:color="auto"/>
          <w:color w:val="auto"/>
        </w:rPr>
        <w:t>development</w:t>
      </w:r>
      <w:r>
        <w:rPr>
          <w:rFonts w:ascii="Arial" w:cs="Arial" w:eastAsia="Arial" w:hAnsi="Arial"/>
          <w:sz w:val="15"/>
          <w:szCs w:val="15"/>
          <w:color w:val="auto"/>
        </w:rPr>
        <w:t>,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 A substantial level of indebtedness in the future could have adverse consequences for our business and otherwise materially and adversely affect us because it could, among other things:</w:t>
      </w:r>
    </w:p>
    <w:p>
      <w:pPr>
        <w:spacing w:after="0" w:line="153" w:lineRule="exact"/>
        <w:rPr>
          <w:sz w:val="20"/>
          <w:szCs w:val="20"/>
          <w:color w:val="auto"/>
        </w:rPr>
      </w:pPr>
    </w:p>
    <w:p>
      <w:pPr>
        <w:jc w:val="both"/>
        <w:ind w:left="660" w:right="59" w:hanging="295"/>
        <w:spacing w:after="0" w:line="26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p>
      <w:pPr>
        <w:spacing w:after="0" w:line="2" w:lineRule="exact"/>
        <w:rPr>
          <w:rFonts w:ascii="Arial" w:cs="Arial" w:eastAsia="Arial" w:hAnsi="Arial"/>
          <w:sz w:val="16"/>
          <w:szCs w:val="16"/>
          <w:color w:val="auto"/>
        </w:rPr>
      </w:pPr>
    </w:p>
    <w:p>
      <w:pPr>
        <w:ind w:left="660" w:right="59" w:hanging="295"/>
        <w:spacing w:after="0" w:line="25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our vulnerability to general adverse economic and industry conditions and limit our flexibility in planning for, or reacting to, changes in our business and our industry;</w:t>
      </w:r>
    </w:p>
    <w:p>
      <w:pPr>
        <w:ind w:left="660" w:right="79" w:hanging="295"/>
        <w:spacing w:after="0" w:line="258"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 our ability to borrow additional funds or refinance indebtedness on favorable terms or at all to expand our business or ease liquidity constraints; and</w:t>
      </w:r>
    </w:p>
    <w:p>
      <w:pPr>
        <w:ind w:left="660" w:hanging="295"/>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place us at a competitive disadvantage relative to competitors that have less indebtedness.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1" w:name="page42"/>
    <w:bookmarkEnd w:id="4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Exhibits: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420" w:type="dxa"/>
            <w:vAlign w:val="bottom"/>
          </w:tcPr>
          <w:p>
            <w:pPr>
              <w:spacing w:after="0"/>
              <w:rPr>
                <w:sz w:val="20"/>
                <w:szCs w:val="20"/>
                <w:color w:val="auto"/>
              </w:rPr>
            </w:pPr>
            <w:r>
              <w:rPr>
                <w:rFonts w:ascii="Arial" w:cs="Arial" w:eastAsia="Arial" w:hAnsi="Arial"/>
                <w:sz w:val="16"/>
                <w:szCs w:val="16"/>
                <w:color w:val="auto"/>
              </w:rPr>
              <w:t>Exhibit 3.1</w:t>
            </w:r>
          </w:p>
        </w:tc>
        <w:tc>
          <w:tcPr>
            <w:tcW w:w="7480" w:type="dxa"/>
            <w:vAlign w:val="bottom"/>
            <w:gridSpan w:val="16"/>
          </w:tcPr>
          <w:p>
            <w:pPr>
              <w:spacing w:after="0"/>
              <w:rPr>
                <w:rFonts w:ascii="Arial" w:cs="Arial" w:eastAsia="Arial" w:hAnsi="Arial"/>
                <w:sz w:val="16"/>
                <w:szCs w:val="16"/>
                <w:color w:val="0000EE"/>
                <w:w w:val="91"/>
              </w:rPr>
            </w:pPr>
            <w:hyperlink r:id="rId58">
              <w:r>
                <w:rPr>
                  <w:rFonts w:ascii="Arial" w:cs="Arial" w:eastAsia="Arial" w:hAnsi="Arial"/>
                  <w:sz w:val="16"/>
                  <w:szCs w:val="16"/>
                  <w:color w:val="0000EE"/>
                  <w:w w:val="91"/>
                </w:rPr>
                <w:t>Articles of Amendment and Restatement of Alpine Income Property Trust, Inc. (incorporated by reference to Exhibit</w:t>
              </w:r>
            </w:hyperlink>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5000" w:type="dxa"/>
            <w:vAlign w:val="bottom"/>
            <w:tcBorders>
              <w:top w:val="single" w:sz="8" w:color="0000EE"/>
              <w:bottom w:val="single" w:sz="8" w:color="0000EE"/>
            </w:tcBorders>
            <w:gridSpan w:val="7"/>
          </w:tcPr>
          <w:p>
            <w:pPr>
              <w:spacing w:after="0" w:line="141" w:lineRule="exact"/>
              <w:rPr>
                <w:rFonts w:ascii="Arial" w:cs="Arial" w:eastAsia="Arial" w:hAnsi="Arial"/>
                <w:sz w:val="16"/>
                <w:szCs w:val="16"/>
                <w:color w:val="0000EE"/>
                <w:w w:val="89"/>
              </w:rPr>
            </w:pPr>
            <w:hyperlink r:id="rId58">
              <w:r>
                <w:rPr>
                  <w:rFonts w:ascii="Arial" w:cs="Arial" w:eastAsia="Arial" w:hAnsi="Arial"/>
                  <w:sz w:val="16"/>
                  <w:szCs w:val="16"/>
                  <w:color w:val="0000EE"/>
                  <w:w w:val="89"/>
                </w:rPr>
                <w:t>3.</w:t>
              </w:r>
              <w:r>
                <w:rPr>
                  <w:rFonts w:ascii="Arial" w:cs="Arial" w:eastAsia="Arial" w:hAnsi="Arial"/>
                  <w:sz w:val="16"/>
                  <w:szCs w:val="16"/>
                  <w:u w:val="single" w:color="auto"/>
                  <w:color w:val="0000EE"/>
                  <w:w w:val="89"/>
                </w:rPr>
                <w:t>1</w:t>
              </w:r>
              <w:r>
                <w:rPr>
                  <w:rFonts w:ascii="Arial" w:cs="Arial" w:eastAsia="Arial" w:hAnsi="Arial"/>
                  <w:sz w:val="16"/>
                  <w:szCs w:val="16"/>
                  <w:color w:val="0000EE"/>
                  <w:w w:val="89"/>
                </w:rPr>
                <w:t xml:space="preserve"> to the Company’s Current Report on Form 8-K filed on December 3, 2019).</w:t>
              </w:r>
            </w:hyperlink>
          </w:p>
        </w:tc>
        <w:tc>
          <w:tcPr>
            <w:tcW w:w="2340" w:type="dxa"/>
            <w:vAlign w:val="bottom"/>
            <w:tcBorders>
              <w:top w:val="single" w:sz="8" w:color="0000EE"/>
            </w:tcBorders>
            <w:gridSpan w:val="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20"/>
                <w:szCs w:val="20"/>
                <w:color w:val="auto"/>
              </w:rPr>
            </w:pPr>
            <w:r>
              <w:rPr>
                <w:rFonts w:ascii="Arial" w:cs="Arial" w:eastAsia="Arial" w:hAnsi="Arial"/>
                <w:sz w:val="16"/>
                <w:szCs w:val="16"/>
                <w:color w:val="auto"/>
              </w:rPr>
              <w:t>Exhibit 3.2</w:t>
            </w:r>
          </w:p>
        </w:tc>
        <w:tc>
          <w:tcPr>
            <w:tcW w:w="7480" w:type="dxa"/>
            <w:vAlign w:val="bottom"/>
            <w:gridSpan w:val="16"/>
          </w:tcPr>
          <w:p>
            <w:pPr>
              <w:spacing w:after="0"/>
              <w:rPr>
                <w:rFonts w:ascii="Arial" w:cs="Arial" w:eastAsia="Arial" w:hAnsi="Arial"/>
                <w:sz w:val="16"/>
                <w:szCs w:val="16"/>
                <w:color w:val="0000EE"/>
                <w:w w:val="97"/>
              </w:rPr>
            </w:pPr>
            <w:hyperlink r:id="rId59">
              <w:r>
                <w:rPr>
                  <w:rFonts w:ascii="Arial" w:cs="Arial" w:eastAsia="Arial" w:hAnsi="Arial"/>
                  <w:sz w:val="16"/>
                  <w:szCs w:val="16"/>
                  <w:color w:val="0000EE"/>
                  <w:w w:val="97"/>
                </w:rPr>
                <w:t xml:space="preserve">Second </w:t>
              </w:r>
              <w:r>
                <w:rPr>
                  <w:rFonts w:ascii="Arial" w:cs="Arial" w:eastAsia="Arial" w:hAnsi="Arial"/>
                  <w:sz w:val="15"/>
                  <w:szCs w:val="15"/>
                  <w:color w:val="0000EE"/>
                  <w:w w:val="97"/>
                </w:rPr>
                <w:t>Amended and Restated Bylaws of Alpine Income Property Trust, Inc. (incorporated by reference to Exhibit</w:t>
              </w:r>
            </w:hyperlink>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4700" w:type="dxa"/>
            <w:vAlign w:val="bottom"/>
            <w:tcBorders>
              <w:top w:val="single" w:sz="8" w:color="0000EE"/>
              <w:bottom w:val="single" w:sz="8" w:color="0000EE"/>
            </w:tcBorders>
            <w:gridSpan w:val="5"/>
          </w:tcPr>
          <w:p>
            <w:pPr>
              <w:spacing w:after="0" w:line="141" w:lineRule="exact"/>
              <w:rPr>
                <w:rFonts w:ascii="Arial" w:cs="Arial" w:eastAsia="Arial" w:hAnsi="Arial"/>
                <w:sz w:val="16"/>
                <w:szCs w:val="16"/>
                <w:color w:val="0000EE"/>
                <w:w w:val="89"/>
              </w:rPr>
            </w:pPr>
            <w:hyperlink r:id="rId59">
              <w:r>
                <w:rPr>
                  <w:rFonts w:ascii="Arial" w:cs="Arial" w:eastAsia="Arial" w:hAnsi="Arial"/>
                  <w:sz w:val="16"/>
                  <w:szCs w:val="16"/>
                  <w:color w:val="0000EE"/>
                  <w:w w:val="89"/>
                </w:rPr>
                <w:t>3.</w:t>
              </w:r>
              <w:r>
                <w:rPr>
                  <w:rFonts w:ascii="Arial" w:cs="Arial" w:eastAsia="Arial" w:hAnsi="Arial"/>
                  <w:sz w:val="16"/>
                  <w:szCs w:val="16"/>
                  <w:u w:val="single" w:color="auto"/>
                  <w:color w:val="0000EE"/>
                  <w:w w:val="89"/>
                </w:rPr>
                <w:t>1</w:t>
              </w:r>
              <w:r>
                <w:rPr>
                  <w:rFonts w:ascii="Arial" w:cs="Arial" w:eastAsia="Arial" w:hAnsi="Arial"/>
                  <w:sz w:val="16"/>
                  <w:szCs w:val="16"/>
                  <w:color w:val="0000EE"/>
                  <w:w w:val="89"/>
                </w:rPr>
                <w:t xml:space="preserve"> to the Company’s Current Report on Form 8-K filed on July 22, 2021).</w:t>
              </w:r>
            </w:hyperlink>
          </w:p>
        </w:tc>
        <w:tc>
          <w:tcPr>
            <w:tcW w:w="2580" w:type="dxa"/>
            <w:vAlign w:val="bottom"/>
            <w:tcBorders>
              <w:top w:val="single" w:sz="8" w:color="0000EE"/>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Exhibit 4.1</w:t>
            </w:r>
          </w:p>
        </w:tc>
        <w:tc>
          <w:tcPr>
            <w:tcW w:w="7480" w:type="dxa"/>
            <w:vAlign w:val="bottom"/>
            <w:gridSpan w:val="16"/>
          </w:tcPr>
          <w:p>
            <w:pPr>
              <w:spacing w:after="0"/>
              <w:rPr>
                <w:rFonts w:ascii="Arial" w:cs="Arial" w:eastAsia="Arial" w:hAnsi="Arial"/>
                <w:sz w:val="16"/>
                <w:szCs w:val="16"/>
                <w:color w:val="0000EE"/>
                <w:w w:val="91"/>
              </w:rPr>
            </w:pPr>
            <w:hyperlink r:id="rId60">
              <w:r>
                <w:rPr>
                  <w:rFonts w:ascii="Arial" w:cs="Arial" w:eastAsia="Arial" w:hAnsi="Arial"/>
                  <w:sz w:val="16"/>
                  <w:szCs w:val="16"/>
                  <w:color w:val="0000EE"/>
                  <w:w w:val="91"/>
                </w:rPr>
                <w:t>Specimen Common Stock Certificate of Alpine Income Property Trust, Inc. (incorporated by reference to Exhibit 4.1</w:t>
              </w:r>
            </w:hyperlink>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7360" w:type="dxa"/>
            <w:vAlign w:val="bottom"/>
            <w:tcBorders>
              <w:top w:val="single" w:sz="8" w:color="0000EE"/>
            </w:tcBorders>
            <w:gridSpan w:val="13"/>
          </w:tcPr>
          <w:p>
            <w:pPr>
              <w:spacing w:after="0" w:line="141" w:lineRule="exact"/>
              <w:rPr>
                <w:rFonts w:ascii="Arial" w:cs="Arial" w:eastAsia="Arial" w:hAnsi="Arial"/>
                <w:sz w:val="16"/>
                <w:szCs w:val="16"/>
                <w:color w:val="0000EE"/>
                <w:w w:val="93"/>
              </w:rPr>
            </w:pPr>
            <w:hyperlink r:id="rId60">
              <w:r>
                <w:rPr>
                  <w:rFonts w:ascii="Arial" w:cs="Arial" w:eastAsia="Arial" w:hAnsi="Arial"/>
                  <w:sz w:val="16"/>
                  <w:szCs w:val="16"/>
                  <w:color w:val="0000EE"/>
                  <w:w w:val="93"/>
                </w:rPr>
                <w:t>to the Registrant’s Registration Statement on Form S-11/A (File No. 333-234304) filed with the Commission on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7040" w:type="dxa"/>
            <w:vAlign w:val="bottom"/>
            <w:tcBorders>
              <w:top w:val="single" w:sz="8" w:color="0000EE"/>
            </w:tcBorders>
            <w:gridSpan w:val="8"/>
          </w:tcPr>
          <w:p>
            <w:pPr>
              <w:spacing w:after="0" w:line="141" w:lineRule="exact"/>
              <w:rPr>
                <w:rFonts w:ascii="Arial" w:cs="Arial" w:eastAsia="Arial" w:hAnsi="Arial"/>
                <w:sz w:val="16"/>
                <w:szCs w:val="16"/>
                <w:color w:val="0000EE"/>
              </w:rPr>
            </w:pPr>
            <w:hyperlink r:id="rId60">
              <w:r>
                <w:rPr>
                  <w:rFonts w:ascii="Arial" w:cs="Arial" w:eastAsia="Arial" w:hAnsi="Arial"/>
                  <w:sz w:val="16"/>
                  <w:szCs w:val="16"/>
                  <w:color w:val="0000EE"/>
                </w:rPr>
                <w:t>October 29, 2019).</w:t>
              </w:r>
            </w:hyperlink>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6"/>
                <w:szCs w:val="16"/>
                <w:color w:val="auto"/>
              </w:rPr>
              <w:t>Exhibit 10.1</w:t>
            </w: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420" w:type="dxa"/>
            <w:vAlign w:val="bottom"/>
            <w:vMerge w:val="continue"/>
          </w:tcPr>
          <w:p>
            <w:pPr>
              <w:spacing w:after="0"/>
              <w:rPr>
                <w:sz w:val="18"/>
                <w:szCs w:val="18"/>
                <w:color w:val="auto"/>
              </w:rPr>
            </w:pPr>
          </w:p>
        </w:tc>
        <w:tc>
          <w:tcPr>
            <w:tcW w:w="7480" w:type="dxa"/>
            <w:vAlign w:val="bottom"/>
            <w:gridSpan w:val="16"/>
          </w:tcPr>
          <w:p>
            <w:pPr>
              <w:spacing w:after="0"/>
              <w:rPr>
                <w:rFonts w:ascii="Arial" w:cs="Arial" w:eastAsia="Arial" w:hAnsi="Arial"/>
                <w:sz w:val="16"/>
                <w:szCs w:val="16"/>
                <w:color w:val="0000EE"/>
                <w:w w:val="97"/>
              </w:rPr>
            </w:pPr>
            <w:hyperlink w:anchor="page44">
              <w:r>
                <w:rPr>
                  <w:rFonts w:ascii="Arial" w:cs="Arial" w:eastAsia="Arial" w:hAnsi="Arial"/>
                  <w:sz w:val="16"/>
                  <w:szCs w:val="16"/>
                  <w:color w:val="0000EE"/>
                  <w:w w:val="97"/>
                </w:rPr>
                <w:t>Credit Agreement, dated as of September 30, 2021, among Alpine Income Property, OP, LP, Alpine Income</w:t>
              </w:r>
            </w:hyperlink>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7120" w:type="dxa"/>
            <w:vAlign w:val="bottom"/>
            <w:tcBorders>
              <w:top w:val="single" w:sz="8" w:color="0000EE"/>
            </w:tcBorders>
            <w:gridSpan w:val="9"/>
          </w:tcPr>
          <w:p>
            <w:pPr>
              <w:spacing w:after="0" w:line="153" w:lineRule="exact"/>
              <w:rPr>
                <w:rFonts w:ascii="Arial" w:cs="Arial" w:eastAsia="Arial" w:hAnsi="Arial"/>
                <w:sz w:val="16"/>
                <w:szCs w:val="16"/>
                <w:color w:val="0000EE"/>
                <w:w w:val="95"/>
              </w:rPr>
            </w:pPr>
            <w:hyperlink w:anchor="page44">
              <w:r>
                <w:rPr>
                  <w:rFonts w:ascii="Arial" w:cs="Arial" w:eastAsia="Arial" w:hAnsi="Arial"/>
                  <w:sz w:val="16"/>
                  <w:szCs w:val="16"/>
                  <w:color w:val="0000EE"/>
                  <w:w w:val="95"/>
                </w:rPr>
                <w:t>Property Trust, Inc., the other Guarantors from time to time parties thereto, the Lenders from time to time</w:t>
              </w:r>
            </w:hyperlink>
          </w:p>
        </w:tc>
        <w:tc>
          <w:tcPr>
            <w:tcW w:w="360" w:type="dxa"/>
            <w:vAlign w:val="bottom"/>
            <w:gridSpan w:val="7"/>
          </w:tcPr>
          <w:p>
            <w:pPr>
              <w:spacing w:after="0" w:line="153" w:lineRule="exact"/>
              <w:rPr>
                <w:rFonts w:ascii="Arial" w:cs="Arial" w:eastAsia="Arial" w:hAnsi="Arial"/>
                <w:sz w:val="16"/>
                <w:szCs w:val="16"/>
                <w:color w:val="0000EE"/>
                <w:w w:val="70"/>
              </w:rPr>
            </w:pPr>
            <w:hyperlink w:anchor="page44">
              <w:r>
                <w:rPr>
                  <w:rFonts w:ascii="Arial" w:cs="Arial" w:eastAsia="Arial" w:hAnsi="Arial"/>
                  <w:sz w:val="16"/>
                  <w:szCs w:val="16"/>
                  <w:color w:val="0000EE"/>
                  <w:w w:val="70"/>
                </w:rPr>
                <w:t>parties</w:t>
              </w:r>
            </w:hyperlink>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7460" w:type="dxa"/>
            <w:vAlign w:val="bottom"/>
            <w:tcBorders>
              <w:top w:val="single" w:sz="8" w:color="0000EE"/>
            </w:tcBorders>
            <w:gridSpan w:val="15"/>
          </w:tcPr>
          <w:p>
            <w:pPr>
              <w:spacing w:after="0" w:line="153" w:lineRule="exact"/>
              <w:rPr>
                <w:rFonts w:ascii="Arial" w:cs="Arial" w:eastAsia="Arial" w:hAnsi="Arial"/>
                <w:sz w:val="16"/>
                <w:szCs w:val="16"/>
                <w:color w:val="0000EE"/>
                <w:w w:val="98"/>
              </w:rPr>
            </w:pPr>
            <w:hyperlink w:anchor="page44">
              <w:r>
                <w:rPr>
                  <w:rFonts w:ascii="Arial" w:cs="Arial" w:eastAsia="Arial" w:hAnsi="Arial"/>
                  <w:sz w:val="16"/>
                  <w:szCs w:val="16"/>
                  <w:color w:val="0000EE"/>
                  <w:w w:val="98"/>
                </w:rPr>
                <w:t>thereto, and KeyBank National Association filed as Exhibit 10.1 with this Quarterly Report on Form 10-Q for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2560" w:type="dxa"/>
            <w:vAlign w:val="bottom"/>
            <w:tcBorders>
              <w:top w:val="single" w:sz="8" w:color="0000EE"/>
              <w:bottom w:val="single" w:sz="8" w:color="0000EE"/>
            </w:tcBorders>
            <w:gridSpan w:val="3"/>
          </w:tcPr>
          <w:p>
            <w:pPr>
              <w:spacing w:after="0" w:line="153" w:lineRule="exact"/>
              <w:rPr>
                <w:rFonts w:ascii="Arial" w:cs="Arial" w:eastAsia="Arial" w:hAnsi="Arial"/>
                <w:sz w:val="16"/>
                <w:szCs w:val="16"/>
                <w:color w:val="0000EE"/>
                <w:w w:val="90"/>
              </w:rPr>
            </w:pPr>
            <w:hyperlink w:anchor="page44">
              <w:r>
                <w:rPr>
                  <w:rFonts w:ascii="Arial" w:cs="Arial" w:eastAsia="Arial" w:hAnsi="Arial"/>
                  <w:sz w:val="16"/>
                  <w:szCs w:val="16"/>
                  <w:color w:val="0000EE"/>
                  <w:w w:val="90"/>
                </w:rPr>
                <w:t>the quarter ended September 30, 2021.</w:t>
              </w:r>
            </w:hyperlink>
          </w:p>
        </w:tc>
        <w:tc>
          <w:tcPr>
            <w:tcW w:w="4700" w:type="dxa"/>
            <w:vAlign w:val="bottom"/>
            <w:tcBorders>
              <w:top w:val="single" w:sz="8" w:color="0000EE"/>
            </w:tcBorders>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Exhibit 31.1</w:t>
            </w:r>
          </w:p>
        </w:tc>
        <w:tc>
          <w:tcPr>
            <w:tcW w:w="492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201">
              <w:r>
                <w:rPr>
                  <w:rFonts w:ascii="Arial" w:cs="Arial" w:eastAsia="Arial" w:hAnsi="Arial"/>
                  <w:sz w:val="16"/>
                  <w:szCs w:val="16"/>
                  <w:color w:val="0000EE"/>
                  <w:w w:val="89"/>
                </w:rPr>
                <w:t>Certification filed pursuant to Section 302 of the Sarbanes-Oxley Act of 2002.</w:t>
              </w:r>
            </w:hyperlink>
          </w:p>
        </w:tc>
        <w:tc>
          <w:tcPr>
            <w:tcW w:w="2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Exhibit 31.2</w:t>
            </w:r>
          </w:p>
        </w:tc>
        <w:tc>
          <w:tcPr>
            <w:tcW w:w="7480" w:type="dxa"/>
            <w:vAlign w:val="bottom"/>
            <w:gridSpan w:val="16"/>
          </w:tcPr>
          <w:p>
            <w:pPr>
              <w:spacing w:after="0"/>
              <w:rPr>
                <w:rFonts w:ascii="Arial" w:cs="Arial" w:eastAsia="Arial" w:hAnsi="Arial"/>
                <w:sz w:val="16"/>
                <w:szCs w:val="16"/>
                <w:color w:val="0000EE"/>
              </w:rPr>
            </w:pPr>
            <w:hyperlink w:anchor="page202">
              <w:r>
                <w:rPr>
                  <w:rFonts w:ascii="Arial" w:cs="Arial" w:eastAsia="Arial" w:hAnsi="Arial"/>
                  <w:sz w:val="16"/>
                  <w:szCs w:val="16"/>
                  <w:color w:val="0000EE"/>
                </w:rPr>
                <w:t>Certification filed pursuant to Section 302 of Sarbanes-Oxley Act of 2002.</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27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Exhibit 32.1</w:t>
            </w:r>
          </w:p>
        </w:tc>
        <w:tc>
          <w:tcPr>
            <w:tcW w:w="7480" w:type="dxa"/>
            <w:vAlign w:val="bottom"/>
            <w:gridSpan w:val="16"/>
          </w:tcPr>
          <w:p>
            <w:pPr>
              <w:spacing w:after="0"/>
              <w:rPr>
                <w:rFonts w:ascii="Arial" w:cs="Arial" w:eastAsia="Arial" w:hAnsi="Arial"/>
                <w:sz w:val="16"/>
                <w:szCs w:val="16"/>
                <w:color w:val="0000EE"/>
                <w:w w:val="89"/>
              </w:rPr>
            </w:pPr>
            <w:hyperlink w:anchor="page203">
              <w:r>
                <w:rPr>
                  <w:rFonts w:ascii="Arial" w:cs="Arial" w:eastAsia="Arial" w:hAnsi="Arial"/>
                  <w:sz w:val="16"/>
                  <w:szCs w:val="16"/>
                  <w:color w:val="0000EE"/>
                  <w:w w:val="89"/>
                </w:rPr>
                <w:t>Certification furnished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800" w:type="dxa"/>
            <w:vAlign w:val="bottom"/>
            <w:tcBorders>
              <w:top w:val="single" w:sz="8" w:color="0000EE"/>
              <w:bottom w:val="single" w:sz="8" w:color="0000EE"/>
            </w:tcBorders>
          </w:tcPr>
          <w:p>
            <w:pPr>
              <w:spacing w:after="0" w:line="141" w:lineRule="exact"/>
              <w:rPr>
                <w:rFonts w:ascii="Arial" w:cs="Arial" w:eastAsia="Arial" w:hAnsi="Arial"/>
                <w:sz w:val="16"/>
                <w:szCs w:val="16"/>
                <w:color w:val="0000EE"/>
                <w:w w:val="91"/>
              </w:rPr>
            </w:pPr>
            <w:hyperlink w:anchor="page203">
              <w:r>
                <w:rPr>
                  <w:rFonts w:ascii="Arial" w:cs="Arial" w:eastAsia="Arial" w:hAnsi="Arial"/>
                  <w:sz w:val="16"/>
                  <w:szCs w:val="16"/>
                  <w:color w:val="0000EE"/>
                  <w:w w:val="91"/>
                </w:rPr>
                <w:t>Act of 2002.</w:t>
              </w:r>
            </w:hyperlink>
          </w:p>
        </w:tc>
        <w:tc>
          <w:tcPr>
            <w:tcW w:w="6640" w:type="dxa"/>
            <w:vAlign w:val="bottom"/>
            <w:tcBorders>
              <w:top w:val="single" w:sz="8" w:color="0000EE"/>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20"/>
                <w:szCs w:val="20"/>
                <w:color w:val="auto"/>
              </w:rPr>
            </w:pPr>
            <w:r>
              <w:rPr>
                <w:rFonts w:ascii="Arial" w:cs="Arial" w:eastAsia="Arial" w:hAnsi="Arial"/>
                <w:sz w:val="16"/>
                <w:szCs w:val="16"/>
                <w:color w:val="auto"/>
              </w:rPr>
              <w:t>Exhibit 32.2</w:t>
            </w:r>
          </w:p>
        </w:tc>
        <w:tc>
          <w:tcPr>
            <w:tcW w:w="7480" w:type="dxa"/>
            <w:vAlign w:val="bottom"/>
            <w:gridSpan w:val="16"/>
          </w:tcPr>
          <w:p>
            <w:pPr>
              <w:spacing w:after="0"/>
              <w:rPr>
                <w:rFonts w:ascii="Arial" w:cs="Arial" w:eastAsia="Arial" w:hAnsi="Arial"/>
                <w:sz w:val="16"/>
                <w:szCs w:val="16"/>
                <w:color w:val="0000EE"/>
                <w:w w:val="89"/>
              </w:rPr>
            </w:pPr>
            <w:hyperlink w:anchor="page204">
              <w:r>
                <w:rPr>
                  <w:rFonts w:ascii="Arial" w:cs="Arial" w:eastAsia="Arial" w:hAnsi="Arial"/>
                  <w:sz w:val="16"/>
                  <w:szCs w:val="16"/>
                  <w:color w:val="0000EE"/>
                  <w:w w:val="89"/>
                </w:rPr>
                <w:t>Certification furnished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1"/>
        </w:trPr>
        <w:tc>
          <w:tcPr>
            <w:tcW w:w="1420" w:type="dxa"/>
            <w:vAlign w:val="bottom"/>
          </w:tcPr>
          <w:p>
            <w:pPr>
              <w:spacing w:after="0"/>
              <w:rPr>
                <w:sz w:val="12"/>
                <w:szCs w:val="12"/>
                <w:color w:val="auto"/>
              </w:rPr>
            </w:pPr>
          </w:p>
        </w:tc>
        <w:tc>
          <w:tcPr>
            <w:tcW w:w="800" w:type="dxa"/>
            <w:vAlign w:val="bottom"/>
            <w:tcBorders>
              <w:top w:val="single" w:sz="8" w:color="0000EE"/>
              <w:bottom w:val="single" w:sz="8" w:color="0000EE"/>
            </w:tcBorders>
          </w:tcPr>
          <w:p>
            <w:pPr>
              <w:spacing w:after="0" w:line="141" w:lineRule="exact"/>
              <w:rPr>
                <w:rFonts w:ascii="Arial" w:cs="Arial" w:eastAsia="Arial" w:hAnsi="Arial"/>
                <w:sz w:val="16"/>
                <w:szCs w:val="16"/>
                <w:color w:val="0000EE"/>
                <w:w w:val="91"/>
              </w:rPr>
            </w:pPr>
            <w:hyperlink w:anchor="page204">
              <w:r>
                <w:rPr>
                  <w:rFonts w:ascii="Arial" w:cs="Arial" w:eastAsia="Arial" w:hAnsi="Arial"/>
                  <w:sz w:val="16"/>
                  <w:szCs w:val="16"/>
                  <w:color w:val="0000EE"/>
                  <w:w w:val="91"/>
                </w:rPr>
                <w:t>Act of 2002.</w:t>
              </w:r>
            </w:hyperlink>
          </w:p>
        </w:tc>
        <w:tc>
          <w:tcPr>
            <w:tcW w:w="6640" w:type="dxa"/>
            <w:vAlign w:val="bottom"/>
            <w:tcBorders>
              <w:top w:val="single" w:sz="8" w:color="0000EE"/>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r>
              <w:rPr>
                <w:rFonts w:ascii="Arial" w:cs="Arial" w:eastAsia="Arial" w:hAnsi="Arial"/>
                <w:sz w:val="16"/>
                <w:szCs w:val="16"/>
                <w:color w:val="auto"/>
              </w:rPr>
              <w:t>Exhibit 101.INS</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color w:val="auto"/>
              </w:rPr>
              <w:t>Exhibit 101.SCH</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color w:val="auto"/>
              </w:rPr>
              <w:t>Exhibit 101.CAL</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color w:val="auto"/>
              </w:rPr>
              <w:t>Exhibit 101.DEF</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Taxonomy Definition Linkbase Document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color w:val="auto"/>
              </w:rPr>
              <w:t>Exhibit 101.LAB</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6"/>
                <w:szCs w:val="16"/>
                <w:color w:val="auto"/>
              </w:rPr>
              <w:t>Exhibit 101.PRE</w:t>
            </w:r>
          </w:p>
        </w:tc>
        <w:tc>
          <w:tcPr>
            <w:tcW w:w="7480" w:type="dxa"/>
            <w:vAlign w:val="bottom"/>
            <w:gridSpan w:val="1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r>
              <w:rPr>
                <w:rFonts w:ascii="Arial" w:cs="Arial" w:eastAsia="Arial" w:hAnsi="Arial"/>
                <w:sz w:val="16"/>
                <w:szCs w:val="16"/>
                <w:color w:val="auto"/>
              </w:rPr>
              <w:t>Exhibit 104</w:t>
            </w:r>
          </w:p>
        </w:tc>
        <w:tc>
          <w:tcPr>
            <w:tcW w:w="7480" w:type="dxa"/>
            <w:vAlign w:val="bottom"/>
            <w:gridSpan w:val="16"/>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66105" cy="1587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2" w:name="page43"/>
    <w:bookmarkEnd w:id="4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Signatures</w:t>
      </w:r>
    </w:p>
    <w:p>
      <w:pPr>
        <w:spacing w:after="0" w:line="212" w:lineRule="exact"/>
        <w:rPr>
          <w:sz w:val="20"/>
          <w:szCs w:val="20"/>
          <w:color w:val="auto"/>
        </w:rPr>
      </w:pPr>
    </w:p>
    <w:p>
      <w:pPr>
        <w:ind w:left="40" w:right="59"/>
        <w:spacing w:after="0" w:line="29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ALPINE INCOME PROPERTY TRUST, INC.</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(Registrant)</w:t>
      </w:r>
    </w:p>
    <w:p>
      <w:pPr>
        <w:spacing w:after="0" w:line="226" w:lineRule="exact"/>
        <w:rPr>
          <w:sz w:val="20"/>
          <w:szCs w:val="20"/>
          <w:color w:val="auto"/>
        </w:rPr>
      </w:pPr>
    </w:p>
    <w:p>
      <w:pPr>
        <w:ind w:left="40"/>
        <w:spacing w:after="0"/>
        <w:tabs>
          <w:tab w:leader="none" w:pos="4620" w:val="left"/>
          <w:tab w:leader="none" w:pos="5000" w:val="left"/>
        </w:tabs>
        <w:rPr>
          <w:sz w:val="20"/>
          <w:szCs w:val="20"/>
          <w:color w:val="auto"/>
        </w:rPr>
      </w:pPr>
      <w:r>
        <w:rPr>
          <w:rFonts w:ascii="Arial" w:cs="Arial" w:eastAsia="Arial" w:hAnsi="Arial"/>
          <w:sz w:val="16"/>
          <w:szCs w:val="16"/>
          <w:color w:val="auto"/>
        </w:rPr>
        <w:t>October 21,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John P. Albright</w:t>
      </w:r>
    </w:p>
    <w:p>
      <w:pPr>
        <w:spacing w:after="0" w:line="25"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-114935</wp:posOffset>
            </wp:positionV>
            <wp:extent cx="24993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499360" cy="7620"/>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(Principal Executive Officer)</w:t>
      </w:r>
    </w:p>
    <w:p>
      <w:pPr>
        <w:spacing w:after="0" w:line="226" w:lineRule="exact"/>
        <w:rPr>
          <w:sz w:val="20"/>
          <w:szCs w:val="20"/>
          <w:color w:val="auto"/>
        </w:rPr>
      </w:pPr>
    </w:p>
    <w:p>
      <w:pPr>
        <w:ind w:left="40"/>
        <w:spacing w:after="0"/>
        <w:tabs>
          <w:tab w:leader="none" w:pos="4620" w:val="left"/>
          <w:tab w:leader="none" w:pos="5000" w:val="left"/>
        </w:tabs>
        <w:rPr>
          <w:sz w:val="20"/>
          <w:szCs w:val="20"/>
          <w:color w:val="auto"/>
        </w:rPr>
      </w:pPr>
      <w:r>
        <w:rPr>
          <w:rFonts w:ascii="Arial" w:cs="Arial" w:eastAsia="Arial" w:hAnsi="Arial"/>
          <w:sz w:val="16"/>
          <w:szCs w:val="16"/>
          <w:color w:val="auto"/>
        </w:rPr>
        <w:t>October 21,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Matthew M. Partridge</w:t>
      </w:r>
    </w:p>
    <w:p>
      <w:pPr>
        <w:spacing w:after="0" w:line="25"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Matthew M. Partridge,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-114935</wp:posOffset>
            </wp:positionV>
            <wp:extent cx="24993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499360" cy="7620"/>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(Principal Financial Officer)</w:t>
      </w:r>
    </w:p>
    <w:p>
      <w:pPr>
        <w:spacing w:after="0" w:line="226" w:lineRule="exact"/>
        <w:rPr>
          <w:sz w:val="20"/>
          <w:szCs w:val="20"/>
          <w:color w:val="auto"/>
        </w:rPr>
      </w:pPr>
    </w:p>
    <w:p>
      <w:pPr>
        <w:ind w:left="40"/>
        <w:spacing w:after="0"/>
        <w:tabs>
          <w:tab w:leader="none" w:pos="4620" w:val="left"/>
          <w:tab w:leader="none" w:pos="5000" w:val="left"/>
        </w:tabs>
        <w:rPr>
          <w:sz w:val="20"/>
          <w:szCs w:val="20"/>
          <w:color w:val="auto"/>
        </w:rPr>
      </w:pPr>
      <w:r>
        <w:rPr>
          <w:rFonts w:ascii="Arial" w:cs="Arial" w:eastAsia="Arial" w:hAnsi="Arial"/>
          <w:sz w:val="16"/>
          <w:szCs w:val="16"/>
          <w:color w:val="auto"/>
        </w:rPr>
        <w:t>October 21,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Lisa M. Vorakoun</w:t>
      </w:r>
    </w:p>
    <w:p>
      <w:pPr>
        <w:spacing w:after="0" w:line="25"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Lisa M. Vorakoun,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-114935</wp:posOffset>
            </wp:positionV>
            <wp:extent cx="24993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499360" cy="7620"/>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Chief Accounting Officer</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331470</wp:posOffset>
            </wp:positionV>
            <wp:extent cx="5666105"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43" w:name="page44"/>
    <w:bookmarkEnd w:id="43"/>
    <w:p>
      <w:pPr>
        <w:jc w:val="right"/>
        <w:ind w:right="2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10.1</w:t>
      </w:r>
    </w:p>
    <w:p>
      <w:pPr>
        <w:spacing w:after="0" w:line="222" w:lineRule="exact"/>
        <w:rPr>
          <w:sz w:val="20"/>
          <w:szCs w:val="20"/>
          <w:color w:val="auto"/>
        </w:rPr>
      </w:pPr>
    </w:p>
    <w:p>
      <w:pPr>
        <w:jc w:val="right"/>
        <w:ind w:right="219"/>
        <w:spacing w:after="0"/>
        <w:rPr>
          <w:sz w:val="20"/>
          <w:szCs w:val="20"/>
          <w:color w:val="auto"/>
        </w:rPr>
      </w:pPr>
      <w:r>
        <w:rPr>
          <w:rFonts w:ascii="Arial" w:cs="Arial" w:eastAsia="Arial" w:hAnsi="Arial"/>
          <w:sz w:val="20"/>
          <w:szCs w:val="20"/>
          <w:b w:val="1"/>
          <w:bCs w:val="1"/>
          <w:i w:val="1"/>
          <w:iCs w:val="1"/>
          <w:color w:val="auto"/>
        </w:rPr>
        <w:t>E</w:t>
      </w:r>
      <w:r>
        <w:rPr>
          <w:rFonts w:ascii="Arial" w:cs="Arial" w:eastAsia="Arial" w:hAnsi="Arial"/>
          <w:sz w:val="13"/>
          <w:szCs w:val="13"/>
          <w:b w:val="1"/>
          <w:bCs w:val="1"/>
          <w:i w:val="1"/>
          <w:iCs w:val="1"/>
          <w:color w:val="auto"/>
        </w:rPr>
        <w:t>XECUTION</w:t>
      </w:r>
      <w:r>
        <w:rPr>
          <w:rFonts w:ascii="Arial" w:cs="Arial" w:eastAsia="Arial" w:hAnsi="Arial"/>
          <w:sz w:val="20"/>
          <w:szCs w:val="20"/>
          <w:b w:val="1"/>
          <w:bCs w:val="1"/>
          <w:i w:val="1"/>
          <w:iCs w:val="1"/>
          <w:color w:val="auto"/>
        </w:rPr>
        <w:t xml:space="preserve"> V</w:t>
      </w:r>
      <w:r>
        <w:rPr>
          <w:rFonts w:ascii="Arial" w:cs="Arial" w:eastAsia="Arial" w:hAnsi="Arial"/>
          <w:sz w:val="13"/>
          <w:szCs w:val="13"/>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1956435</wp:posOffset>
            </wp:positionV>
            <wp:extent cx="54616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461635"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1972310</wp:posOffset>
            </wp:positionV>
            <wp:extent cx="54616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461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REDIT</w:t>
      </w:r>
      <w:r>
        <w:rPr>
          <w:rFonts w:ascii="Arial" w:cs="Arial" w:eastAsia="Arial" w:hAnsi="Arial"/>
          <w:sz w:val="20"/>
          <w:szCs w:val="20"/>
          <w:color w:val="auto"/>
        </w:rPr>
        <w:t xml:space="preserve"> A</w:t>
      </w:r>
      <w:r>
        <w:rPr>
          <w:rFonts w:ascii="Arial" w:cs="Arial" w:eastAsia="Arial" w:hAnsi="Arial"/>
          <w:sz w:val="13"/>
          <w:szCs w:val="13"/>
          <w:color w:val="auto"/>
        </w:rPr>
        <w:t>GREEMENT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ATED AS OF</w:t>
      </w:r>
      <w:r>
        <w:rPr>
          <w:rFonts w:ascii="Arial" w:cs="Arial" w:eastAsia="Arial" w:hAnsi="Arial"/>
          <w:sz w:val="20"/>
          <w:szCs w:val="20"/>
          <w:color w:val="auto"/>
        </w:rPr>
        <w:t xml:space="preserve">  S</w:t>
      </w:r>
      <w:r>
        <w:rPr>
          <w:rFonts w:ascii="Arial" w:cs="Arial" w:eastAsia="Arial" w:hAnsi="Arial"/>
          <w:sz w:val="13"/>
          <w:szCs w:val="13"/>
          <w:color w:val="auto"/>
        </w:rPr>
        <w:t>EPTEMBER</w:t>
      </w:r>
      <w:r>
        <w:rPr>
          <w:rFonts w:ascii="Arial" w:cs="Arial" w:eastAsia="Arial" w:hAnsi="Arial"/>
          <w:sz w:val="20"/>
          <w:szCs w:val="20"/>
          <w:color w:val="auto"/>
        </w:rPr>
        <w:t xml:space="preserve"> 30, 2021</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T</w:t>
      </w:r>
      <w:r>
        <w:rPr>
          <w:rFonts w:ascii="Arial" w:cs="Arial" w:eastAsia="Arial" w:hAnsi="Arial"/>
          <w:sz w:val="13"/>
          <w:szCs w:val="13"/>
          <w:color w:val="auto"/>
        </w:rPr>
        <w:t>RUST</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 xml:space="preserve">., </w:t>
      </w:r>
      <w:r>
        <w:rPr>
          <w:rFonts w:ascii="Arial" w:cs="Arial" w:eastAsia="Arial" w:hAnsi="Arial"/>
          <w:sz w:val="13"/>
          <w:szCs w:val="13"/>
          <w:color w:val="auto"/>
        </w:rPr>
        <w:t>AS</w:t>
      </w:r>
      <w:r>
        <w:rPr>
          <w:rFonts w:ascii="Arial" w:cs="Arial" w:eastAsia="Arial" w:hAnsi="Arial"/>
          <w:sz w:val="20"/>
          <w:szCs w:val="20"/>
          <w:color w:val="auto"/>
        </w:rPr>
        <w:t xml:space="preserve"> G</w:t>
      </w:r>
      <w:r>
        <w:rPr>
          <w:rFonts w:ascii="Arial" w:cs="Arial" w:eastAsia="Arial" w:hAnsi="Arial"/>
          <w:sz w:val="13"/>
          <w:szCs w:val="13"/>
          <w:color w:val="auto"/>
        </w:rPr>
        <w:t>UARANTOR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O</w:t>
      </w:r>
      <w:r>
        <w:rPr>
          <w:rFonts w:ascii="Arial" w:cs="Arial" w:eastAsia="Arial" w:hAnsi="Arial"/>
          <w:sz w:val="13"/>
          <w:szCs w:val="13"/>
          <w:color w:val="auto"/>
        </w:rPr>
        <w:t>THER</w:t>
      </w:r>
      <w:r>
        <w:rPr>
          <w:rFonts w:ascii="Arial" w:cs="Arial" w:eastAsia="Arial" w:hAnsi="Arial"/>
          <w:sz w:val="20"/>
          <w:szCs w:val="20"/>
          <w:color w:val="auto"/>
        </w:rPr>
        <w:t xml:space="preserve"> G</w:t>
      </w:r>
      <w:r>
        <w:rPr>
          <w:rFonts w:ascii="Arial" w:cs="Arial" w:eastAsia="Arial" w:hAnsi="Arial"/>
          <w:sz w:val="13"/>
          <w:szCs w:val="13"/>
          <w:color w:val="auto"/>
        </w:rPr>
        <w:t>UARANTORS</w:t>
      </w:r>
      <w:r>
        <w:rPr>
          <w:rFonts w:ascii="Arial" w:cs="Arial" w:eastAsia="Arial" w:hAnsi="Arial"/>
          <w:sz w:val="20"/>
          <w:szCs w:val="20"/>
          <w:color w:val="auto"/>
        </w:rPr>
        <w:t xml:space="preserve"> F</w:t>
      </w:r>
      <w:r>
        <w:rPr>
          <w:rFonts w:ascii="Arial" w:cs="Arial" w:eastAsia="Arial" w:hAnsi="Arial"/>
          <w:sz w:val="13"/>
          <w:szCs w:val="13"/>
          <w:color w:val="auto"/>
        </w:rPr>
        <w:t>ROM</w:t>
      </w:r>
      <w:r>
        <w:rPr>
          <w:rFonts w:ascii="Arial" w:cs="Arial" w:eastAsia="Arial" w:hAnsi="Arial"/>
          <w:sz w:val="20"/>
          <w:szCs w:val="20"/>
          <w:color w:val="auto"/>
        </w:rPr>
        <w:t xml:space="preserve"> T</w:t>
      </w:r>
      <w:r>
        <w:rPr>
          <w:rFonts w:ascii="Arial" w:cs="Arial" w:eastAsia="Arial" w:hAnsi="Arial"/>
          <w:sz w:val="13"/>
          <w:szCs w:val="13"/>
          <w:color w:val="auto"/>
        </w:rPr>
        <w:t>IME TO</w:t>
      </w:r>
      <w:r>
        <w:rPr>
          <w:rFonts w:ascii="Arial" w:cs="Arial" w:eastAsia="Arial" w:hAnsi="Arial"/>
          <w:sz w:val="20"/>
          <w:szCs w:val="20"/>
          <w:color w:val="auto"/>
        </w:rPr>
        <w:t xml:space="preserve"> T</w:t>
      </w:r>
      <w:r>
        <w:rPr>
          <w:rFonts w:ascii="Arial" w:cs="Arial" w:eastAsia="Arial" w:hAnsi="Arial"/>
          <w:sz w:val="13"/>
          <w:szCs w:val="13"/>
          <w:color w:val="auto"/>
        </w:rPr>
        <w:t>IME</w:t>
      </w:r>
      <w:r>
        <w:rPr>
          <w:rFonts w:ascii="Arial" w:cs="Arial" w:eastAsia="Arial" w:hAnsi="Arial"/>
          <w:sz w:val="20"/>
          <w:szCs w:val="20"/>
          <w:color w:val="auto"/>
        </w:rPr>
        <w:t xml:space="preserve"> P</w:t>
      </w:r>
      <w:r>
        <w:rPr>
          <w:rFonts w:ascii="Arial" w:cs="Arial" w:eastAsia="Arial" w:hAnsi="Arial"/>
          <w:sz w:val="13"/>
          <w:szCs w:val="13"/>
          <w:color w:val="auto"/>
        </w:rPr>
        <w:t>ARTIES</w:t>
      </w:r>
      <w:r>
        <w:rPr>
          <w:rFonts w:ascii="Arial" w:cs="Arial" w:eastAsia="Arial" w:hAnsi="Arial"/>
          <w:sz w:val="20"/>
          <w:szCs w:val="20"/>
          <w:color w:val="auto"/>
        </w:rPr>
        <w:t xml:space="preserve"> H</w:t>
      </w:r>
      <w:r>
        <w:rPr>
          <w:rFonts w:ascii="Arial" w:cs="Arial" w:eastAsia="Arial" w:hAnsi="Arial"/>
          <w:sz w:val="13"/>
          <w:szCs w:val="13"/>
          <w:color w:val="auto"/>
        </w:rPr>
        <w:t>ERETO</w:t>
      </w:r>
      <w:r>
        <w:rPr>
          <w:rFonts w:ascii="Arial" w:cs="Arial" w:eastAsia="Arial" w:hAnsi="Arial"/>
          <w:sz w:val="20"/>
          <w:szCs w:val="20"/>
          <w:color w:val="auto"/>
        </w:rPr>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THE </w:t>
      </w:r>
      <w:r>
        <w:rPr>
          <w:rFonts w:ascii="Arial" w:cs="Arial" w:eastAsia="Arial" w:hAnsi="Arial"/>
          <w:sz w:val="19"/>
          <w:szCs w:val="19"/>
          <w:color w:val="auto"/>
        </w:rPr>
        <w:t>L</w:t>
      </w:r>
      <w:r>
        <w:rPr>
          <w:rFonts w:ascii="Arial" w:cs="Arial" w:eastAsia="Arial" w:hAnsi="Arial"/>
          <w:sz w:val="14"/>
          <w:szCs w:val="14"/>
          <w:color w:val="auto"/>
        </w:rPr>
        <w:t>ENDERS FROM TIME TO TIME PARTIES HERETO</w:t>
      </w:r>
      <w:r>
        <w:rPr>
          <w:rFonts w:ascii="Arial" w:cs="Arial" w:eastAsia="Arial" w:hAnsi="Arial"/>
          <w:sz w:val="19"/>
          <w:szCs w:val="19"/>
          <w:color w:val="auto"/>
        </w:rPr>
        <w: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AS </w:t>
      </w:r>
      <w:r>
        <w:rPr>
          <w:rFonts w:ascii="Arial" w:cs="Arial" w:eastAsia="Arial" w:hAnsi="Arial"/>
          <w:sz w:val="19"/>
          <w:szCs w:val="19"/>
          <w:color w:val="auto"/>
        </w:rPr>
        <w:t>A</w:t>
      </w:r>
      <w:r>
        <w:rPr>
          <w:rFonts w:ascii="Arial" w:cs="Arial" w:eastAsia="Arial" w:hAnsi="Arial"/>
          <w:sz w:val="14"/>
          <w:szCs w:val="14"/>
          <w:color w:val="auto"/>
        </w:rPr>
        <w:t xml:space="preserve">DMINISTRATIVE </w:t>
      </w:r>
      <w:r>
        <w:rPr>
          <w:rFonts w:ascii="Arial" w:cs="Arial" w:eastAsia="Arial" w:hAnsi="Arial"/>
          <w:sz w:val="19"/>
          <w:szCs w:val="19"/>
          <w:color w:val="auto"/>
        </w:rPr>
        <w:t>A</w:t>
      </w:r>
      <w:r>
        <w:rPr>
          <w:rFonts w:ascii="Arial" w:cs="Arial" w:eastAsia="Arial" w:hAnsi="Arial"/>
          <w:sz w:val="14"/>
          <w:szCs w:val="14"/>
          <w:color w:val="auto"/>
        </w:rPr>
        <w:t>GENT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313690</wp:posOffset>
            </wp:positionV>
            <wp:extent cx="54616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461635"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329565</wp:posOffset>
            </wp:positionV>
            <wp:extent cx="54616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461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EGIONS</w:t>
      </w:r>
      <w:r>
        <w:rPr>
          <w:rFonts w:ascii="Arial" w:cs="Arial" w:eastAsia="Arial" w:hAnsi="Arial"/>
          <w:sz w:val="20"/>
          <w:szCs w:val="20"/>
          <w:color w:val="auto"/>
        </w:rPr>
        <w:t xml:space="preserve"> B</w:t>
      </w:r>
      <w:r>
        <w:rPr>
          <w:rFonts w:ascii="Arial" w:cs="Arial" w:eastAsia="Arial" w:hAnsi="Arial"/>
          <w:sz w:val="13"/>
          <w:szCs w:val="13"/>
          <w:color w:val="auto"/>
        </w:rPr>
        <w:t>ANK AND</w:t>
      </w:r>
      <w:r>
        <w:rPr>
          <w:rFonts w:ascii="Arial" w:cs="Arial" w:eastAsia="Arial" w:hAnsi="Arial"/>
          <w:sz w:val="20"/>
          <w:szCs w:val="20"/>
          <w:color w:val="auto"/>
        </w:rPr>
        <w:t xml:space="preserve"> U.S. 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AS </w:t>
      </w:r>
      <w:r>
        <w:rPr>
          <w:rFonts w:ascii="Arial" w:cs="Arial" w:eastAsia="Arial" w:hAnsi="Arial"/>
          <w:sz w:val="19"/>
          <w:szCs w:val="19"/>
          <w:color w:val="auto"/>
        </w:rPr>
        <w:t>C</w:t>
      </w:r>
      <w:r>
        <w:rPr>
          <w:rFonts w:ascii="Arial" w:cs="Arial" w:eastAsia="Arial" w:hAnsi="Arial"/>
          <w:sz w:val="14"/>
          <w:szCs w:val="14"/>
          <w:color w:val="auto"/>
        </w:rPr>
        <w:t>O</w:t>
      </w:r>
      <w:r>
        <w:rPr>
          <w:rFonts w:ascii="Arial" w:cs="Arial" w:eastAsia="Arial" w:hAnsi="Arial"/>
          <w:sz w:val="19"/>
          <w:szCs w:val="19"/>
          <w:color w:val="auto"/>
        </w:rPr>
        <w:t>-S</w:t>
      </w:r>
      <w:r>
        <w:rPr>
          <w:rFonts w:ascii="Arial" w:cs="Arial" w:eastAsia="Arial" w:hAnsi="Arial"/>
          <w:sz w:val="14"/>
          <w:szCs w:val="14"/>
          <w:color w:val="auto"/>
        </w:rPr>
        <w:t xml:space="preserve">YNDICATION </w:t>
      </w:r>
      <w:r>
        <w:rPr>
          <w:rFonts w:ascii="Arial" w:cs="Arial" w:eastAsia="Arial" w:hAnsi="Arial"/>
          <w:sz w:val="19"/>
          <w:szCs w:val="19"/>
          <w:color w:val="auto"/>
        </w:rPr>
        <w:t>A</w:t>
      </w:r>
      <w:r>
        <w:rPr>
          <w:rFonts w:ascii="Arial" w:cs="Arial" w:eastAsia="Arial" w:hAnsi="Arial"/>
          <w:sz w:val="14"/>
          <w:szCs w:val="14"/>
          <w:color w:val="auto"/>
        </w:rPr>
        <w:t>GENTS</w:t>
      </w:r>
    </w:p>
    <w:p>
      <w:pPr>
        <w:spacing w:after="0" w:line="223" w:lineRule="exact"/>
        <w:rPr>
          <w:sz w:val="20"/>
          <w:szCs w:val="20"/>
          <w:color w:val="auto"/>
        </w:rPr>
      </w:pPr>
    </w:p>
    <w:p>
      <w:pPr>
        <w:jc w:val="center"/>
        <w:ind w:left="1660" w:right="420"/>
        <w:spacing w:after="0" w:line="253" w:lineRule="auto"/>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ANC</w:t>
      </w:r>
      <w:r>
        <w:rPr>
          <w:rFonts w:ascii="Arial" w:cs="Arial" w:eastAsia="Arial" w:hAnsi="Arial"/>
          <w:sz w:val="20"/>
          <w:szCs w:val="20"/>
          <w:color w:val="auto"/>
        </w:rPr>
        <w:t xml:space="preserve"> C</w:t>
      </w:r>
      <w:r>
        <w:rPr>
          <w:rFonts w:ascii="Arial" w:cs="Arial" w:eastAsia="Arial" w:hAnsi="Arial"/>
          <w:sz w:val="13"/>
          <w:szCs w:val="13"/>
          <w:color w:val="auto"/>
        </w:rPr>
        <w:t>APITAL</w:t>
      </w:r>
      <w:r>
        <w:rPr>
          <w:rFonts w:ascii="Arial" w:cs="Arial" w:eastAsia="Arial" w:hAnsi="Arial"/>
          <w:sz w:val="20"/>
          <w:szCs w:val="20"/>
          <w:color w:val="auto"/>
        </w:rPr>
        <w:t xml:space="preserve"> M</w:t>
      </w:r>
      <w:r>
        <w:rPr>
          <w:rFonts w:ascii="Arial" w:cs="Arial" w:eastAsia="Arial" w:hAnsi="Arial"/>
          <w:sz w:val="13"/>
          <w:szCs w:val="13"/>
          <w:color w:val="auto"/>
        </w:rPr>
        <w:t>ARKETS</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 R</w:t>
      </w:r>
      <w:r>
        <w:rPr>
          <w:rFonts w:ascii="Arial" w:cs="Arial" w:eastAsia="Arial" w:hAnsi="Arial"/>
          <w:sz w:val="13"/>
          <w:szCs w:val="13"/>
          <w:color w:val="auto"/>
        </w:rPr>
        <w:t>EGIONS</w:t>
      </w:r>
      <w:r>
        <w:rPr>
          <w:rFonts w:ascii="Arial" w:cs="Arial" w:eastAsia="Arial" w:hAnsi="Arial"/>
          <w:sz w:val="20"/>
          <w:szCs w:val="20"/>
          <w:color w:val="auto"/>
        </w:rPr>
        <w:t xml:space="preserve"> C</w:t>
      </w:r>
      <w:r>
        <w:rPr>
          <w:rFonts w:ascii="Arial" w:cs="Arial" w:eastAsia="Arial" w:hAnsi="Arial"/>
          <w:sz w:val="13"/>
          <w:szCs w:val="13"/>
          <w:color w:val="auto"/>
        </w:rPr>
        <w:t>APITAL</w:t>
      </w:r>
      <w:r>
        <w:rPr>
          <w:rFonts w:ascii="Arial" w:cs="Arial" w:eastAsia="Arial" w:hAnsi="Arial"/>
          <w:sz w:val="20"/>
          <w:szCs w:val="20"/>
          <w:color w:val="auto"/>
        </w:rPr>
        <w:t xml:space="preserve"> M</w:t>
      </w:r>
      <w:r>
        <w:rPr>
          <w:rFonts w:ascii="Arial" w:cs="Arial" w:eastAsia="Arial" w:hAnsi="Arial"/>
          <w:sz w:val="13"/>
          <w:szCs w:val="13"/>
          <w:color w:val="auto"/>
        </w:rPr>
        <w:t>ARKETS</w:t>
      </w:r>
      <w:r>
        <w:rPr>
          <w:rFonts w:ascii="Arial" w:cs="Arial" w:eastAsia="Arial" w:hAnsi="Arial"/>
          <w:sz w:val="20"/>
          <w:szCs w:val="20"/>
          <w:color w:val="auto"/>
        </w:rPr>
        <w:t xml:space="preserve">, </w:t>
      </w:r>
      <w:r>
        <w:rPr>
          <w:rFonts w:ascii="Arial" w:cs="Arial" w:eastAsia="Arial" w:hAnsi="Arial"/>
          <w:sz w:val="13"/>
          <w:szCs w:val="13"/>
          <w:color w:val="auto"/>
        </w:rPr>
        <w:t>AND</w:t>
      </w:r>
      <w:r>
        <w:rPr>
          <w:rFonts w:ascii="Arial" w:cs="Arial" w:eastAsia="Arial" w:hAnsi="Arial"/>
          <w:sz w:val="20"/>
          <w:szCs w:val="20"/>
          <w:color w:val="auto"/>
        </w:rPr>
        <w:t xml:space="preserve"> U.S. 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 xml:space="preserve">, </w:t>
      </w:r>
      <w:r>
        <w:rPr>
          <w:rFonts w:ascii="Arial" w:cs="Arial" w:eastAsia="Arial" w:hAnsi="Arial"/>
          <w:sz w:val="13"/>
          <w:szCs w:val="13"/>
          <w:color w:val="auto"/>
        </w:rPr>
        <w:t xml:space="preserve">AS </w:t>
      </w:r>
      <w:r>
        <w:rPr>
          <w:rFonts w:ascii="Arial" w:cs="Arial" w:eastAsia="Arial" w:hAnsi="Arial"/>
          <w:sz w:val="19"/>
          <w:szCs w:val="19"/>
          <w:color w:val="auto"/>
        </w:rPr>
        <w:t>J</w:t>
      </w:r>
      <w:r>
        <w:rPr>
          <w:rFonts w:ascii="Arial" w:cs="Arial" w:eastAsia="Arial" w:hAnsi="Arial"/>
          <w:sz w:val="13"/>
          <w:szCs w:val="13"/>
          <w:color w:val="auto"/>
        </w:rPr>
        <w:t xml:space="preserve">OINT </w:t>
      </w:r>
      <w:r>
        <w:rPr>
          <w:rFonts w:ascii="Arial" w:cs="Arial" w:eastAsia="Arial" w:hAnsi="Arial"/>
          <w:sz w:val="19"/>
          <w:szCs w:val="19"/>
          <w:color w:val="auto"/>
        </w:rPr>
        <w:t>L</w:t>
      </w:r>
      <w:r>
        <w:rPr>
          <w:rFonts w:ascii="Arial" w:cs="Arial" w:eastAsia="Arial" w:hAnsi="Arial"/>
          <w:sz w:val="13"/>
          <w:szCs w:val="13"/>
          <w:color w:val="auto"/>
        </w:rPr>
        <w:t xml:space="preserve">EAD </w:t>
      </w:r>
      <w:r>
        <w:rPr>
          <w:rFonts w:ascii="Arial" w:cs="Arial" w:eastAsia="Arial" w:hAnsi="Arial"/>
          <w:sz w:val="19"/>
          <w:szCs w:val="19"/>
          <w:color w:val="auto"/>
        </w:rPr>
        <w:t>A</w:t>
      </w:r>
      <w:r>
        <w:rPr>
          <w:rFonts w:ascii="Arial" w:cs="Arial" w:eastAsia="Arial" w:hAnsi="Arial"/>
          <w:sz w:val="13"/>
          <w:szCs w:val="13"/>
          <w:color w:val="auto"/>
        </w:rPr>
        <w:t>RRANGERS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ANC</w:t>
      </w:r>
      <w:r>
        <w:rPr>
          <w:rFonts w:ascii="Arial" w:cs="Arial" w:eastAsia="Arial" w:hAnsi="Arial"/>
          <w:sz w:val="20"/>
          <w:szCs w:val="20"/>
          <w:color w:val="auto"/>
        </w:rPr>
        <w:t xml:space="preserve"> C</w:t>
      </w:r>
      <w:r>
        <w:rPr>
          <w:rFonts w:ascii="Arial" w:cs="Arial" w:eastAsia="Arial" w:hAnsi="Arial"/>
          <w:sz w:val="13"/>
          <w:szCs w:val="13"/>
          <w:color w:val="auto"/>
        </w:rPr>
        <w:t>APITAL</w:t>
      </w:r>
      <w:r>
        <w:rPr>
          <w:rFonts w:ascii="Arial" w:cs="Arial" w:eastAsia="Arial" w:hAnsi="Arial"/>
          <w:sz w:val="20"/>
          <w:szCs w:val="20"/>
          <w:color w:val="auto"/>
        </w:rPr>
        <w:t xml:space="preserve"> M</w:t>
      </w:r>
      <w:r>
        <w:rPr>
          <w:rFonts w:ascii="Arial" w:cs="Arial" w:eastAsia="Arial" w:hAnsi="Arial"/>
          <w:sz w:val="13"/>
          <w:szCs w:val="13"/>
          <w:color w:val="auto"/>
        </w:rPr>
        <w:t>ARKETS</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AS </w:t>
      </w:r>
      <w:r>
        <w:rPr>
          <w:rFonts w:ascii="Arial" w:cs="Arial" w:eastAsia="Arial" w:hAnsi="Arial"/>
          <w:sz w:val="19"/>
          <w:szCs w:val="19"/>
          <w:color w:val="auto"/>
        </w:rPr>
        <w:t>S</w:t>
      </w:r>
      <w:r>
        <w:rPr>
          <w:rFonts w:ascii="Arial" w:cs="Arial" w:eastAsia="Arial" w:hAnsi="Arial"/>
          <w:sz w:val="14"/>
          <w:szCs w:val="14"/>
          <w:color w:val="auto"/>
        </w:rPr>
        <w:t xml:space="preserve">OLE </w:t>
      </w:r>
      <w:r>
        <w:rPr>
          <w:rFonts w:ascii="Arial" w:cs="Arial" w:eastAsia="Arial" w:hAnsi="Arial"/>
          <w:sz w:val="19"/>
          <w:szCs w:val="19"/>
          <w:color w:val="auto"/>
        </w:rPr>
        <w:t>B</w:t>
      </w:r>
      <w:r>
        <w:rPr>
          <w:rFonts w:ascii="Arial" w:cs="Arial" w:eastAsia="Arial" w:hAnsi="Arial"/>
          <w:sz w:val="14"/>
          <w:szCs w:val="14"/>
          <w:color w:val="auto"/>
        </w:rPr>
        <w:t xml:space="preserve">OOK </w:t>
      </w:r>
      <w:r>
        <w:rPr>
          <w:rFonts w:ascii="Arial" w:cs="Arial" w:eastAsia="Arial" w:hAnsi="Arial"/>
          <w:sz w:val="19"/>
          <w:szCs w:val="19"/>
          <w:color w:val="auto"/>
        </w:rPr>
        <w:t>R</w:t>
      </w:r>
      <w:r>
        <w:rPr>
          <w:rFonts w:ascii="Arial" w:cs="Arial" w:eastAsia="Arial" w:hAnsi="Arial"/>
          <w:sz w:val="14"/>
          <w:szCs w:val="14"/>
          <w:color w:val="auto"/>
        </w:rPr>
        <w:t>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2796527.12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tbl>
      <w:tblPr>
        <w:tblLayout w:type="fixed"/>
        <w:tblInd w:w="20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gridSpan w:val="13"/>
          </w:tcPr>
          <w:p>
            <w:pPr>
              <w:ind w:left="2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ABLE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ONTENTS</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83"/>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5"/>
          </w:tcPr>
          <w:p>
            <w:pPr>
              <w:ind w:left="26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AGE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1040" w:type="dxa"/>
            <w:vAlign w:val="bottom"/>
            <w:gridSpan w:val="2"/>
          </w:tcPr>
          <w:p>
            <w:pPr>
              <w:spacing w:after="0"/>
              <w:rPr>
                <w:rFonts w:ascii="Arial" w:cs="Arial" w:eastAsia="Arial" w:hAnsi="Arial"/>
                <w:sz w:val="20"/>
                <w:szCs w:val="20"/>
                <w:color w:val="0000EE"/>
                <w:w w:val="91"/>
              </w:rPr>
            </w:pPr>
            <w:hyperlink w:anchor="page50">
              <w:r>
                <w:rPr>
                  <w:rFonts w:ascii="Arial" w:cs="Arial" w:eastAsia="Arial" w:hAnsi="Arial"/>
                  <w:sz w:val="20"/>
                  <w:szCs w:val="20"/>
                  <w:color w:val="0000EE"/>
                  <w:w w:val="91"/>
                </w:rPr>
                <w:t>SECTION 1.</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50">
              <w:r>
                <w:rPr>
                  <w:rFonts w:ascii="Arial" w:cs="Arial" w:eastAsia="Arial" w:hAnsi="Arial"/>
                  <w:sz w:val="20"/>
                  <w:szCs w:val="20"/>
                  <w:color w:val="0000EE"/>
                </w:rPr>
                <w:t>The Credit Facility</w:t>
              </w:r>
            </w:hyperlink>
          </w:p>
        </w:tc>
        <w:tc>
          <w:tcPr>
            <w:tcW w:w="820" w:type="dxa"/>
            <w:vAlign w:val="bottom"/>
            <w:gridSpan w:val="3"/>
          </w:tcPr>
          <w:p>
            <w:pPr>
              <w:jc w:val="right"/>
              <w:spacing w:after="0"/>
              <w:rPr>
                <w:rFonts w:ascii="Arial" w:cs="Arial" w:eastAsia="Arial" w:hAnsi="Arial"/>
                <w:sz w:val="20"/>
                <w:szCs w:val="20"/>
                <w:color w:val="0000EE"/>
              </w:rPr>
            </w:pPr>
            <w:hyperlink w:anchor="page50">
              <w:r>
                <w:rPr>
                  <w:rFonts w:ascii="Arial" w:cs="Arial" w:eastAsia="Arial" w:hAnsi="Arial"/>
                  <w:sz w:val="20"/>
                  <w:szCs w:val="20"/>
                  <w:color w:val="0000EE"/>
                </w:rPr>
                <w:t>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480" w:type="dxa"/>
            <w:vAlign w:val="bottom"/>
            <w:gridSpan w:val="33"/>
          </w:tcPr>
          <w:p>
            <w:pPr>
              <w:spacing w:after="0"/>
              <w:rPr>
                <w:rFonts w:ascii="Arial" w:cs="Arial" w:eastAsia="Arial" w:hAnsi="Arial"/>
                <w:sz w:val="20"/>
                <w:szCs w:val="20"/>
                <w:color w:val="0000EE"/>
                <w:highlight w:val="white"/>
              </w:rPr>
            </w:pPr>
            <w:hyperlink w:anchor="page50">
              <w:r>
                <w:rPr>
                  <w:rFonts w:ascii="Arial" w:cs="Arial" w:eastAsia="Arial" w:hAnsi="Arial"/>
                  <w:sz w:val="20"/>
                  <w:szCs w:val="20"/>
                  <w:color w:val="0000EE"/>
                  <w:highlight w:val="white"/>
                </w:rPr>
                <w:t>Section 1.1.   The Closing Date Borrowing</w:t>
              </w:r>
            </w:hyperlink>
          </w:p>
        </w:tc>
        <w:tc>
          <w:tcPr>
            <w:tcW w:w="820" w:type="dxa"/>
            <w:vAlign w:val="bottom"/>
            <w:gridSpan w:val="3"/>
          </w:tcPr>
          <w:p>
            <w:pPr>
              <w:jc w:val="right"/>
              <w:spacing w:after="0"/>
              <w:rPr>
                <w:rFonts w:ascii="Arial" w:cs="Arial" w:eastAsia="Arial" w:hAnsi="Arial"/>
                <w:sz w:val="20"/>
                <w:szCs w:val="20"/>
                <w:color w:val="0000EE"/>
              </w:rPr>
            </w:pPr>
            <w:hyperlink w:anchor="page50">
              <w:r>
                <w:rPr>
                  <w:rFonts w:ascii="Arial" w:cs="Arial" w:eastAsia="Arial" w:hAnsi="Arial"/>
                  <w:sz w:val="20"/>
                  <w:szCs w:val="20"/>
                  <w:color w:val="0000EE"/>
                </w:rPr>
                <w:t>1</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203" w:lineRule="exact"/>
              <w:rPr>
                <w:rFonts w:ascii="Arial" w:cs="Arial" w:eastAsia="Arial" w:hAnsi="Arial"/>
                <w:sz w:val="20"/>
                <w:szCs w:val="20"/>
                <w:color w:val="0000EE"/>
                <w:highlight w:val="white"/>
                <w:w w:val="85"/>
              </w:rPr>
            </w:pPr>
            <w:hyperlink w:anchor="page51">
              <w:r>
                <w:rPr>
                  <w:rFonts w:ascii="Arial" w:cs="Arial" w:eastAsia="Arial" w:hAnsi="Arial"/>
                  <w:sz w:val="20"/>
                  <w:szCs w:val="20"/>
                  <w:color w:val="0000EE"/>
                  <w:highlight w:val="white"/>
                  <w:w w:val="85"/>
                </w:rPr>
                <w:t>Section 1.2.</w:t>
              </w:r>
            </w:hyperlink>
          </w:p>
        </w:tc>
        <w:tc>
          <w:tcPr>
            <w:tcW w:w="320" w:type="dxa"/>
            <w:vAlign w:val="bottom"/>
            <w:gridSpan w:val="3"/>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203" w:lineRule="exact"/>
              <w:rPr>
                <w:rFonts w:ascii="Arial" w:cs="Arial" w:eastAsia="Arial" w:hAnsi="Arial"/>
                <w:sz w:val="20"/>
                <w:szCs w:val="20"/>
                <w:color w:val="0000EE"/>
                <w:highlight w:val="white"/>
                <w:w w:val="77"/>
              </w:rPr>
            </w:pPr>
            <w:hyperlink w:anchor="page51">
              <w:r>
                <w:rPr>
                  <w:rFonts w:ascii="Arial" w:cs="Arial" w:eastAsia="Arial" w:hAnsi="Arial"/>
                  <w:sz w:val="20"/>
                  <w:szCs w:val="20"/>
                  <w:color w:val="0000EE"/>
                  <w:highlight w:val="white"/>
                  <w:w w:val="77"/>
                </w:rPr>
                <w:t>Reserved</w:t>
              </w:r>
            </w:hyperlink>
          </w:p>
        </w:tc>
        <w:tc>
          <w:tcPr>
            <w:tcW w:w="1560" w:type="dxa"/>
            <w:vAlign w:val="bottom"/>
            <w:tcBorders>
              <w:top w:val="single" w:sz="8" w:color="0000EE"/>
            </w:tcBorders>
            <w:gridSpan w:val="17"/>
          </w:tcPr>
          <w:p>
            <w:pPr>
              <w:spacing w:after="0"/>
              <w:rPr>
                <w:sz w:val="17"/>
                <w:szCs w:val="17"/>
                <w:color w:val="auto"/>
              </w:rPr>
            </w:pPr>
          </w:p>
        </w:tc>
        <w:tc>
          <w:tcPr>
            <w:tcW w:w="3980" w:type="dxa"/>
            <w:vAlign w:val="bottom"/>
            <w:gridSpan w:val="9"/>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71"/>
              </w:rPr>
            </w:pPr>
            <w:hyperlink w:anchor="page51">
              <w:r>
                <w:rPr>
                  <w:rFonts w:ascii="Arial" w:cs="Arial" w:eastAsia="Arial" w:hAnsi="Arial"/>
                  <w:sz w:val="20"/>
                  <w:szCs w:val="20"/>
                  <w:color w:val="0000EE"/>
                  <w:w w:val="71"/>
                </w:rPr>
                <w:t>2</w:t>
              </w:r>
            </w:hyperlink>
          </w:p>
        </w:tc>
      </w:tr>
      <w:tr>
        <w:trPr>
          <w:trHeight w:val="203"/>
        </w:trPr>
        <w:tc>
          <w:tcPr>
            <w:tcW w:w="300" w:type="dxa"/>
            <w:vAlign w:val="bottom"/>
          </w:tcPr>
          <w:p>
            <w:pPr>
              <w:spacing w:after="0"/>
              <w:rPr>
                <w:sz w:val="17"/>
                <w:szCs w:val="17"/>
                <w:color w:val="auto"/>
              </w:rPr>
            </w:pPr>
          </w:p>
        </w:tc>
        <w:tc>
          <w:tcPr>
            <w:tcW w:w="94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5"/>
              </w:rPr>
            </w:pPr>
            <w:hyperlink w:anchor="page51">
              <w:r>
                <w:rPr>
                  <w:rFonts w:ascii="Arial" w:cs="Arial" w:eastAsia="Arial" w:hAnsi="Arial"/>
                  <w:sz w:val="20"/>
                  <w:szCs w:val="20"/>
                  <w:color w:val="0000EE"/>
                  <w:highlight w:val="white"/>
                  <w:w w:val="85"/>
                </w:rPr>
                <w:t>Section 1.3.</w:t>
              </w:r>
            </w:hyperlink>
          </w:p>
        </w:tc>
        <w:tc>
          <w:tcPr>
            <w:tcW w:w="320" w:type="dxa"/>
            <w:vAlign w:val="bottom"/>
            <w:gridSpan w:val="3"/>
          </w:tcPr>
          <w:p>
            <w:pPr>
              <w:spacing w:after="0"/>
              <w:rPr>
                <w:sz w:val="17"/>
                <w:szCs w:val="17"/>
                <w:color w:val="auto"/>
              </w:rPr>
            </w:pPr>
          </w:p>
        </w:tc>
        <w:tc>
          <w:tcPr>
            <w:tcW w:w="68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77"/>
              </w:rPr>
            </w:pPr>
            <w:hyperlink w:anchor="page51">
              <w:r>
                <w:rPr>
                  <w:rFonts w:ascii="Arial" w:cs="Arial" w:eastAsia="Arial" w:hAnsi="Arial"/>
                  <w:sz w:val="20"/>
                  <w:szCs w:val="20"/>
                  <w:color w:val="0000EE"/>
                  <w:highlight w:val="white"/>
                  <w:w w:val="77"/>
                </w:rPr>
                <w:t>Reserved</w:t>
              </w:r>
            </w:hyperlink>
          </w:p>
        </w:tc>
        <w:tc>
          <w:tcPr>
            <w:tcW w:w="5540" w:type="dxa"/>
            <w:vAlign w:val="bottom"/>
            <w:gridSpan w:val="26"/>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203" w:lineRule="exact"/>
              <w:rPr>
                <w:rFonts w:ascii="Arial" w:cs="Arial" w:eastAsia="Arial" w:hAnsi="Arial"/>
                <w:sz w:val="20"/>
                <w:szCs w:val="20"/>
                <w:color w:val="0000EE"/>
                <w:w w:val="71"/>
              </w:rPr>
            </w:pPr>
            <w:hyperlink w:anchor="page51">
              <w:r>
                <w:rPr>
                  <w:rFonts w:ascii="Arial" w:cs="Arial" w:eastAsia="Arial" w:hAnsi="Arial"/>
                  <w:sz w:val="20"/>
                  <w:szCs w:val="20"/>
                  <w:color w:val="0000EE"/>
                  <w:w w:val="71"/>
                </w:rPr>
                <w:t>2</w:t>
              </w:r>
            </w:hyperlink>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1">
              <w:r>
                <w:rPr>
                  <w:rFonts w:ascii="Arial" w:cs="Arial" w:eastAsia="Arial" w:hAnsi="Arial"/>
                  <w:sz w:val="20"/>
                  <w:szCs w:val="20"/>
                  <w:color w:val="0000EE"/>
                  <w:highlight w:val="white"/>
                </w:rPr>
                <w:t>Section 1.4.   Applicable Interest Rates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1">
              <w:r>
                <w:rPr>
                  <w:rFonts w:ascii="Arial" w:cs="Arial" w:eastAsia="Arial" w:hAnsi="Arial"/>
                  <w:sz w:val="20"/>
                  <w:szCs w:val="20"/>
                  <w:color w:val="0000EE"/>
                </w:rPr>
                <w:t>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3">
              <w:r>
                <w:rPr>
                  <w:rFonts w:ascii="Arial" w:cs="Arial" w:eastAsia="Arial" w:hAnsi="Arial"/>
                  <w:sz w:val="20"/>
                  <w:szCs w:val="20"/>
                  <w:color w:val="0000EE"/>
                  <w:highlight w:val="white"/>
                </w:rPr>
                <w:t>Section 1.5.   Minimum Borrowing Amounts; Maximum Eurodollar Loans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3">
              <w:r>
                <w:rPr>
                  <w:rFonts w:ascii="Arial" w:cs="Arial" w:eastAsia="Arial" w:hAnsi="Arial"/>
                  <w:sz w:val="20"/>
                  <w:szCs w:val="20"/>
                  <w:color w:val="0000EE"/>
                </w:rPr>
                <w:t>4</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3">
              <w:r>
                <w:rPr>
                  <w:rFonts w:ascii="Arial" w:cs="Arial" w:eastAsia="Arial" w:hAnsi="Arial"/>
                  <w:sz w:val="20"/>
                  <w:szCs w:val="20"/>
                  <w:color w:val="0000EE"/>
                  <w:highlight w:val="white"/>
                </w:rPr>
                <w:t>Section 1.6.   Manner of Borrowing Loans and Designating Applicable Interest Rates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3">
              <w:r>
                <w:rPr>
                  <w:rFonts w:ascii="Arial" w:cs="Arial" w:eastAsia="Arial" w:hAnsi="Arial"/>
                  <w:sz w:val="20"/>
                  <w:szCs w:val="20"/>
                  <w:color w:val="0000EE"/>
                </w:rPr>
                <w:t>4</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5">
              <w:r>
                <w:rPr>
                  <w:rFonts w:ascii="Arial" w:cs="Arial" w:eastAsia="Arial" w:hAnsi="Arial"/>
                  <w:sz w:val="20"/>
                  <w:szCs w:val="20"/>
                  <w:color w:val="0000EE"/>
                  <w:highlight w:val="white"/>
                </w:rPr>
                <w:t>Section 1.7.   Maturity of Loans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5">
              <w:r>
                <w:rPr>
                  <w:rFonts w:ascii="Arial" w:cs="Arial" w:eastAsia="Arial" w:hAnsi="Arial"/>
                  <w:sz w:val="20"/>
                  <w:szCs w:val="20"/>
                  <w:color w:val="0000EE"/>
                </w:rPr>
                <w:t>6</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55">
              <w:r>
                <w:rPr>
                  <w:rFonts w:ascii="Arial" w:cs="Arial" w:eastAsia="Arial" w:hAnsi="Arial"/>
                  <w:sz w:val="20"/>
                  <w:szCs w:val="20"/>
                  <w:color w:val="0000EE"/>
                  <w:highlight w:val="white"/>
                  <w:w w:val="85"/>
                </w:rPr>
                <w:t>Section 1.8.</w:t>
              </w:r>
            </w:hyperlink>
          </w:p>
        </w:tc>
        <w:tc>
          <w:tcPr>
            <w:tcW w:w="320" w:type="dxa"/>
            <w:vAlign w:val="bottom"/>
            <w:gridSpan w:val="3"/>
          </w:tcPr>
          <w:p>
            <w:pPr>
              <w:spacing w:after="0"/>
              <w:rPr>
                <w:sz w:val="17"/>
                <w:szCs w:val="17"/>
                <w:color w:val="auto"/>
              </w:rPr>
            </w:pPr>
          </w:p>
        </w:tc>
        <w:tc>
          <w:tcPr>
            <w:tcW w:w="1380" w:type="dxa"/>
            <w:vAlign w:val="bottom"/>
            <w:tcBorders>
              <w:top w:val="single" w:sz="8" w:color="0000EE"/>
            </w:tcBorders>
            <w:gridSpan w:val="11"/>
          </w:tcPr>
          <w:p>
            <w:pPr>
              <w:spacing w:after="0" w:line="203" w:lineRule="exact"/>
              <w:rPr>
                <w:rFonts w:ascii="Arial" w:cs="Arial" w:eastAsia="Arial" w:hAnsi="Arial"/>
                <w:sz w:val="20"/>
                <w:szCs w:val="20"/>
                <w:color w:val="0000EE"/>
                <w:highlight w:val="white"/>
              </w:rPr>
            </w:pPr>
            <w:hyperlink w:anchor="page55">
              <w:r>
                <w:rPr>
                  <w:rFonts w:ascii="Arial" w:cs="Arial" w:eastAsia="Arial" w:hAnsi="Arial"/>
                  <w:sz w:val="20"/>
                  <w:szCs w:val="20"/>
                  <w:color w:val="0000EE"/>
                  <w:highlight w:val="white"/>
                </w:rPr>
                <w:t>Prepayments</w:t>
              </w:r>
            </w:hyperlink>
          </w:p>
        </w:tc>
        <w:tc>
          <w:tcPr>
            <w:tcW w:w="4840" w:type="dxa"/>
            <w:vAlign w:val="bottom"/>
            <w:gridSpan w:val="17"/>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203" w:lineRule="exact"/>
              <w:rPr>
                <w:rFonts w:ascii="Arial" w:cs="Arial" w:eastAsia="Arial" w:hAnsi="Arial"/>
                <w:sz w:val="20"/>
                <w:szCs w:val="20"/>
                <w:color w:val="0000EE"/>
                <w:w w:val="71"/>
              </w:rPr>
            </w:pPr>
            <w:hyperlink w:anchor="page55">
              <w:r>
                <w:rPr>
                  <w:rFonts w:ascii="Arial" w:cs="Arial" w:eastAsia="Arial" w:hAnsi="Arial"/>
                  <w:sz w:val="20"/>
                  <w:szCs w:val="20"/>
                  <w:color w:val="0000EE"/>
                  <w:w w:val="71"/>
                </w:rPr>
                <w:t>6</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56">
              <w:r>
                <w:rPr>
                  <w:rFonts w:ascii="Arial" w:cs="Arial" w:eastAsia="Arial" w:hAnsi="Arial"/>
                  <w:sz w:val="20"/>
                  <w:szCs w:val="20"/>
                  <w:color w:val="0000EE"/>
                  <w:highlight w:val="white"/>
                  <w:w w:val="85"/>
                </w:rPr>
                <w:t>Section 1.9.</w:t>
              </w:r>
            </w:hyperlink>
          </w:p>
        </w:tc>
        <w:tc>
          <w:tcPr>
            <w:tcW w:w="320" w:type="dxa"/>
            <w:vAlign w:val="bottom"/>
            <w:gridSpan w:val="3"/>
          </w:tcPr>
          <w:p>
            <w:pPr>
              <w:spacing w:after="0"/>
              <w:rPr>
                <w:sz w:val="17"/>
                <w:szCs w:val="17"/>
                <w:color w:val="auto"/>
              </w:rPr>
            </w:pPr>
          </w:p>
        </w:tc>
        <w:tc>
          <w:tcPr>
            <w:tcW w:w="960" w:type="dxa"/>
            <w:vAlign w:val="bottom"/>
            <w:tcBorders>
              <w:top w:val="single" w:sz="8" w:color="0000EE"/>
            </w:tcBorders>
            <w:gridSpan w:val="8"/>
          </w:tcPr>
          <w:p>
            <w:pPr>
              <w:spacing w:after="0" w:line="203" w:lineRule="exact"/>
              <w:rPr>
                <w:rFonts w:ascii="Arial" w:cs="Arial" w:eastAsia="Arial" w:hAnsi="Arial"/>
                <w:sz w:val="20"/>
                <w:szCs w:val="20"/>
                <w:color w:val="0000EE"/>
                <w:highlight w:val="white"/>
                <w:w w:val="84"/>
              </w:rPr>
            </w:pPr>
            <w:hyperlink w:anchor="page56">
              <w:r>
                <w:rPr>
                  <w:rFonts w:ascii="Arial" w:cs="Arial" w:eastAsia="Arial" w:hAnsi="Arial"/>
                  <w:sz w:val="20"/>
                  <w:szCs w:val="20"/>
                  <w:color w:val="0000EE"/>
                  <w:highlight w:val="white"/>
                  <w:w w:val="84"/>
                </w:rPr>
                <w:t>Default Rate</w:t>
              </w:r>
            </w:hyperlink>
          </w:p>
        </w:tc>
        <w:tc>
          <w:tcPr>
            <w:tcW w:w="5260" w:type="dxa"/>
            <w:vAlign w:val="bottom"/>
            <w:gridSpan w:val="20"/>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203" w:lineRule="exact"/>
              <w:rPr>
                <w:rFonts w:ascii="Arial" w:cs="Arial" w:eastAsia="Arial" w:hAnsi="Arial"/>
                <w:sz w:val="20"/>
                <w:szCs w:val="20"/>
                <w:color w:val="0000EE"/>
                <w:w w:val="71"/>
              </w:rPr>
            </w:pPr>
            <w:hyperlink w:anchor="page56">
              <w:r>
                <w:rPr>
                  <w:rFonts w:ascii="Arial" w:cs="Arial" w:eastAsia="Arial" w:hAnsi="Arial"/>
                  <w:sz w:val="20"/>
                  <w:szCs w:val="20"/>
                  <w:color w:val="0000EE"/>
                  <w:w w:val="71"/>
                </w:rPr>
                <w:t>7</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6">
              <w:r>
                <w:rPr>
                  <w:rFonts w:ascii="Arial" w:cs="Arial" w:eastAsia="Arial" w:hAnsi="Arial"/>
                  <w:sz w:val="20"/>
                  <w:szCs w:val="20"/>
                  <w:color w:val="0000EE"/>
                  <w:highlight w:val="white"/>
                </w:rPr>
                <w:t>Section 1.10.  Evidence of Indebtedness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6">
              <w:r>
                <w:rPr>
                  <w:rFonts w:ascii="Arial" w:cs="Arial" w:eastAsia="Arial" w:hAnsi="Arial"/>
                  <w:sz w:val="20"/>
                  <w:szCs w:val="20"/>
                  <w:color w:val="0000EE"/>
                </w:rPr>
                <w:t>7</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40" w:type="dxa"/>
            <w:vAlign w:val="bottom"/>
            <w:gridSpan w:val="3"/>
          </w:tcPr>
          <w:p>
            <w:pPr>
              <w:spacing w:after="0" w:line="203" w:lineRule="exact"/>
              <w:rPr>
                <w:rFonts w:ascii="Arial" w:cs="Arial" w:eastAsia="Arial" w:hAnsi="Arial"/>
                <w:sz w:val="20"/>
                <w:szCs w:val="20"/>
                <w:color w:val="0000EE"/>
                <w:highlight w:val="white"/>
                <w:w w:val="87"/>
              </w:rPr>
            </w:pPr>
            <w:hyperlink w:anchor="page57">
              <w:r>
                <w:rPr>
                  <w:rFonts w:ascii="Arial" w:cs="Arial" w:eastAsia="Arial" w:hAnsi="Arial"/>
                  <w:sz w:val="20"/>
                  <w:szCs w:val="20"/>
                  <w:color w:val="0000EE"/>
                  <w:highlight w:val="white"/>
                  <w:w w:val="87"/>
                </w:rPr>
                <w:t>Section 1.11.</w:t>
              </w:r>
            </w:hyperlink>
          </w:p>
        </w:tc>
        <w:tc>
          <w:tcPr>
            <w:tcW w:w="220" w:type="dxa"/>
            <w:vAlign w:val="bottom"/>
            <w:gridSpan w:val="2"/>
          </w:tcPr>
          <w:p>
            <w:pPr>
              <w:spacing w:after="0"/>
              <w:rPr>
                <w:sz w:val="17"/>
                <w:szCs w:val="17"/>
                <w:color w:val="auto"/>
              </w:rPr>
            </w:pPr>
          </w:p>
        </w:tc>
        <w:tc>
          <w:tcPr>
            <w:tcW w:w="6220" w:type="dxa"/>
            <w:vAlign w:val="bottom"/>
            <w:gridSpan w:val="28"/>
          </w:tcPr>
          <w:p>
            <w:pPr>
              <w:spacing w:after="0" w:line="203" w:lineRule="exact"/>
              <w:rPr>
                <w:rFonts w:ascii="Arial" w:cs="Arial" w:eastAsia="Arial" w:hAnsi="Arial"/>
                <w:sz w:val="20"/>
                <w:szCs w:val="20"/>
                <w:color w:val="0000EE"/>
                <w:highlight w:val="white"/>
              </w:rPr>
            </w:pPr>
            <w:hyperlink w:anchor="page57">
              <w:r>
                <w:rPr>
                  <w:rFonts w:ascii="Arial" w:cs="Arial" w:eastAsia="Arial" w:hAnsi="Arial"/>
                  <w:sz w:val="20"/>
                  <w:szCs w:val="20"/>
                  <w:color w:val="0000EE"/>
                  <w:highlight w:val="white"/>
                </w:rPr>
                <w:t>Funding Indemnity</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7">
              <w:r>
                <w:rPr>
                  <w:rFonts w:ascii="Arial" w:cs="Arial" w:eastAsia="Arial" w:hAnsi="Arial"/>
                  <w:sz w:val="20"/>
                  <w:szCs w:val="20"/>
                  <w:color w:val="0000EE"/>
                </w:rPr>
                <w:t>8</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57">
              <w:r>
                <w:rPr>
                  <w:rFonts w:ascii="Arial" w:cs="Arial" w:eastAsia="Arial" w:hAnsi="Arial"/>
                  <w:sz w:val="20"/>
                  <w:szCs w:val="20"/>
                  <w:color w:val="0000EE"/>
                  <w:highlight w:val="white"/>
                  <w:w w:val="87"/>
                </w:rPr>
                <w:t>Section 1.12.</w:t>
              </w:r>
            </w:hyperlink>
          </w:p>
        </w:tc>
        <w:tc>
          <w:tcPr>
            <w:tcW w:w="20" w:type="dxa"/>
            <w:vAlign w:val="bottom"/>
            <w:tcBorders>
              <w:bottom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0000EE"/>
              <w:bottom w:val="single" w:sz="8" w:color="0000EE"/>
            </w:tcBorders>
            <w:gridSpan w:val="4"/>
          </w:tcPr>
          <w:p>
            <w:pPr>
              <w:spacing w:after="0" w:line="203" w:lineRule="exact"/>
              <w:rPr>
                <w:rFonts w:ascii="Arial" w:cs="Arial" w:eastAsia="Arial" w:hAnsi="Arial"/>
                <w:sz w:val="20"/>
                <w:szCs w:val="20"/>
                <w:color w:val="0000EE"/>
                <w:highlight w:val="white"/>
                <w:w w:val="81"/>
              </w:rPr>
            </w:pPr>
            <w:hyperlink w:anchor="page57">
              <w:r>
                <w:rPr>
                  <w:rFonts w:ascii="Arial" w:cs="Arial" w:eastAsia="Arial" w:hAnsi="Arial"/>
                  <w:sz w:val="20"/>
                  <w:szCs w:val="20"/>
                  <w:color w:val="0000EE"/>
                  <w:highlight w:val="white"/>
                  <w:w w:val="81"/>
                </w:rPr>
                <w:t>Reserved.</w:t>
              </w:r>
            </w:hyperlink>
          </w:p>
        </w:tc>
        <w:tc>
          <w:tcPr>
            <w:tcW w:w="740" w:type="dxa"/>
            <w:vAlign w:val="bottom"/>
            <w:tcBorders>
              <w:top w:val="single" w:sz="8" w:color="0000EE"/>
            </w:tcBorders>
            <w:gridSpan w:val="8"/>
          </w:tcPr>
          <w:p>
            <w:pPr>
              <w:spacing w:after="0"/>
              <w:rPr>
                <w:sz w:val="17"/>
                <w:szCs w:val="17"/>
                <w:color w:val="auto"/>
              </w:rPr>
            </w:pPr>
          </w:p>
        </w:tc>
        <w:tc>
          <w:tcPr>
            <w:tcW w:w="4720" w:type="dxa"/>
            <w:vAlign w:val="bottom"/>
            <w:gridSpan w:val="16"/>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71"/>
              </w:rPr>
            </w:pPr>
            <w:hyperlink w:anchor="page57">
              <w:r>
                <w:rPr>
                  <w:rFonts w:ascii="Arial" w:cs="Arial" w:eastAsia="Arial" w:hAnsi="Arial"/>
                  <w:sz w:val="20"/>
                  <w:szCs w:val="20"/>
                  <w:color w:val="0000EE"/>
                  <w:w w:val="71"/>
                </w:rPr>
                <w:t>8</w:t>
              </w:r>
            </w:hyperlink>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7">
              <w:r>
                <w:rPr>
                  <w:rFonts w:ascii="Arial" w:cs="Arial" w:eastAsia="Arial" w:hAnsi="Arial"/>
                  <w:sz w:val="20"/>
                  <w:szCs w:val="20"/>
                  <w:color w:val="0000EE"/>
                  <w:highlight w:val="white"/>
                </w:rPr>
                <w:t>Section 1.13.  Substitution of Lenders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7">
              <w:r>
                <w:rPr>
                  <w:rFonts w:ascii="Arial" w:cs="Arial" w:eastAsia="Arial" w:hAnsi="Arial"/>
                  <w:sz w:val="20"/>
                  <w:szCs w:val="20"/>
                  <w:color w:val="0000EE"/>
                </w:rPr>
                <w:t>8</w:t>
              </w:r>
            </w:hyperlink>
          </w:p>
        </w:tc>
      </w:tr>
      <w:tr>
        <w:trPr>
          <w:trHeight w:val="203"/>
        </w:trPr>
        <w:tc>
          <w:tcPr>
            <w:tcW w:w="300" w:type="dxa"/>
            <w:vAlign w:val="bottom"/>
          </w:tcPr>
          <w:p>
            <w:pPr>
              <w:spacing w:after="0"/>
              <w:rPr>
                <w:sz w:val="17"/>
                <w:szCs w:val="17"/>
                <w:color w:val="auto"/>
              </w:rPr>
            </w:pPr>
          </w:p>
        </w:tc>
        <w:tc>
          <w:tcPr>
            <w:tcW w:w="1060" w:type="dxa"/>
            <w:vAlign w:val="bottom"/>
            <w:tcBorders>
              <w:top w:val="single" w:sz="8" w:color="0000EE"/>
            </w:tcBorders>
            <w:gridSpan w:val="4"/>
          </w:tcPr>
          <w:p>
            <w:pPr>
              <w:spacing w:after="0" w:line="203" w:lineRule="exact"/>
              <w:rPr>
                <w:rFonts w:ascii="Arial" w:cs="Arial" w:eastAsia="Arial" w:hAnsi="Arial"/>
                <w:sz w:val="20"/>
                <w:szCs w:val="20"/>
                <w:color w:val="0000EE"/>
                <w:highlight w:val="white"/>
                <w:w w:val="89"/>
              </w:rPr>
            </w:pPr>
            <w:hyperlink w:anchor="page58">
              <w:r>
                <w:rPr>
                  <w:rFonts w:ascii="Arial" w:cs="Arial" w:eastAsia="Arial" w:hAnsi="Arial"/>
                  <w:sz w:val="20"/>
                  <w:szCs w:val="20"/>
                  <w:color w:val="0000EE"/>
                  <w:highlight w:val="white"/>
                  <w:w w:val="89"/>
                </w:rPr>
                <w:t>Section 1.14.</w:t>
              </w:r>
            </w:hyperlink>
          </w:p>
        </w:tc>
        <w:tc>
          <w:tcPr>
            <w:tcW w:w="200" w:type="dxa"/>
            <w:vAlign w:val="bottom"/>
          </w:tcPr>
          <w:p>
            <w:pPr>
              <w:spacing w:after="0"/>
              <w:rPr>
                <w:sz w:val="17"/>
                <w:szCs w:val="17"/>
                <w:color w:val="auto"/>
              </w:rPr>
            </w:pPr>
          </w:p>
        </w:tc>
        <w:tc>
          <w:tcPr>
            <w:tcW w:w="1840" w:type="dxa"/>
            <w:vAlign w:val="bottom"/>
            <w:tcBorders>
              <w:top w:val="single" w:sz="8" w:color="0000EE"/>
            </w:tcBorders>
            <w:gridSpan w:val="14"/>
          </w:tcPr>
          <w:p>
            <w:pPr>
              <w:spacing w:after="0" w:line="203" w:lineRule="exact"/>
              <w:rPr>
                <w:rFonts w:ascii="Arial" w:cs="Arial" w:eastAsia="Arial" w:hAnsi="Arial"/>
                <w:sz w:val="20"/>
                <w:szCs w:val="20"/>
                <w:color w:val="0000EE"/>
                <w:highlight w:val="white"/>
              </w:rPr>
            </w:pPr>
            <w:hyperlink w:anchor="page58">
              <w:r>
                <w:rPr>
                  <w:rFonts w:ascii="Arial" w:cs="Arial" w:eastAsia="Arial" w:hAnsi="Arial"/>
                  <w:sz w:val="20"/>
                  <w:szCs w:val="20"/>
                  <w:color w:val="0000EE"/>
                  <w:highlight w:val="white"/>
                </w:rPr>
                <w:t>Defaulting Lenders</w:t>
              </w:r>
            </w:hyperlink>
          </w:p>
        </w:tc>
        <w:tc>
          <w:tcPr>
            <w:tcW w:w="4380" w:type="dxa"/>
            <w:vAlign w:val="bottom"/>
            <w:gridSpan w:val="14"/>
          </w:tcPr>
          <w:p>
            <w:pPr>
              <w:spacing w:after="0"/>
              <w:rPr>
                <w:sz w:val="17"/>
                <w:szCs w:val="17"/>
                <w:color w:val="auto"/>
              </w:rPr>
            </w:pPr>
          </w:p>
        </w:tc>
        <w:tc>
          <w:tcPr>
            <w:tcW w:w="7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203" w:lineRule="exact"/>
              <w:rPr>
                <w:rFonts w:ascii="Arial" w:cs="Arial" w:eastAsia="Arial" w:hAnsi="Arial"/>
                <w:sz w:val="20"/>
                <w:szCs w:val="20"/>
                <w:color w:val="0000EE"/>
                <w:w w:val="71"/>
              </w:rPr>
            </w:pPr>
            <w:hyperlink w:anchor="page58">
              <w:r>
                <w:rPr>
                  <w:rFonts w:ascii="Arial" w:cs="Arial" w:eastAsia="Arial" w:hAnsi="Arial"/>
                  <w:sz w:val="20"/>
                  <w:szCs w:val="20"/>
                  <w:color w:val="0000EE"/>
                  <w:w w:val="71"/>
                </w:rPr>
                <w:t>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58">
              <w:r>
                <w:rPr>
                  <w:rFonts w:ascii="Arial" w:cs="Arial" w:eastAsia="Arial" w:hAnsi="Arial"/>
                  <w:sz w:val="20"/>
                  <w:szCs w:val="20"/>
                  <w:color w:val="0000EE"/>
                  <w:highlight w:val="white"/>
                </w:rPr>
                <w:t>Section 1.15.  Increase in Commitments.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58">
              <w:r>
                <w:rPr>
                  <w:rFonts w:ascii="Arial" w:cs="Arial" w:eastAsia="Arial" w:hAnsi="Arial"/>
                  <w:sz w:val="20"/>
                  <w:szCs w:val="20"/>
                  <w:color w:val="0000EE"/>
                </w:rPr>
                <w:t>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SECTION 2.</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60">
              <w:r>
                <w:rPr>
                  <w:rFonts w:ascii="Arial" w:cs="Arial" w:eastAsia="Arial" w:hAnsi="Arial"/>
                  <w:sz w:val="20"/>
                  <w:szCs w:val="20"/>
                  <w:color w:val="0000EE"/>
                </w:rPr>
                <w:t>Fees.</w:t>
              </w:r>
            </w:hyperlink>
          </w:p>
        </w:tc>
        <w:tc>
          <w:tcPr>
            <w:tcW w:w="820" w:type="dxa"/>
            <w:vAlign w:val="bottom"/>
            <w:gridSpan w:val="3"/>
          </w:tcPr>
          <w:p>
            <w:pPr>
              <w:jc w:val="right"/>
              <w:spacing w:after="0"/>
              <w:rPr>
                <w:rFonts w:ascii="Arial" w:cs="Arial" w:eastAsia="Arial" w:hAnsi="Arial"/>
                <w:sz w:val="20"/>
                <w:szCs w:val="20"/>
                <w:color w:val="0000EE"/>
              </w:rPr>
            </w:pPr>
            <w:hyperlink w:anchor="page60">
              <w:r>
                <w:rPr>
                  <w:rFonts w:ascii="Arial" w:cs="Arial" w:eastAsia="Arial" w:hAnsi="Arial"/>
                  <w:sz w:val="20"/>
                  <w:szCs w:val="20"/>
                  <w:color w:val="0000EE"/>
                </w:rPr>
                <w:t>11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480" w:type="dxa"/>
            <w:vAlign w:val="bottom"/>
            <w:gridSpan w:val="33"/>
          </w:tcPr>
          <w:p>
            <w:pPr>
              <w:spacing w:after="0"/>
              <w:rPr>
                <w:rFonts w:ascii="Arial" w:cs="Arial" w:eastAsia="Arial" w:hAnsi="Arial"/>
                <w:sz w:val="20"/>
                <w:szCs w:val="20"/>
                <w:color w:val="0000EE"/>
                <w:highlight w:val="white"/>
              </w:rPr>
            </w:pPr>
            <w:hyperlink w:anchor="page60">
              <w:r>
                <w:rPr>
                  <w:rFonts w:ascii="Arial" w:cs="Arial" w:eastAsia="Arial" w:hAnsi="Arial"/>
                  <w:sz w:val="20"/>
                  <w:szCs w:val="20"/>
                  <w:color w:val="0000EE"/>
                  <w:highlight w:val="white"/>
                </w:rPr>
                <w:t>Section 2.1.   Administrative Agent and Other Fees</w:t>
              </w:r>
            </w:hyperlink>
          </w:p>
        </w:tc>
        <w:tc>
          <w:tcPr>
            <w:tcW w:w="820" w:type="dxa"/>
            <w:vAlign w:val="bottom"/>
            <w:gridSpan w:val="3"/>
          </w:tcPr>
          <w:p>
            <w:pPr>
              <w:jc w:val="right"/>
              <w:spacing w:after="0"/>
              <w:rPr>
                <w:rFonts w:ascii="Arial" w:cs="Arial" w:eastAsia="Arial" w:hAnsi="Arial"/>
                <w:sz w:val="20"/>
                <w:szCs w:val="20"/>
                <w:color w:val="0000EE"/>
              </w:rPr>
            </w:pPr>
            <w:hyperlink w:anchor="page60">
              <w:r>
                <w:rPr>
                  <w:rFonts w:ascii="Arial" w:cs="Arial" w:eastAsia="Arial" w:hAnsi="Arial"/>
                  <w:sz w:val="20"/>
                  <w:szCs w:val="20"/>
                  <w:color w:val="0000EE"/>
                </w:rPr>
                <w:t>11</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60">
              <w:r>
                <w:rPr>
                  <w:rFonts w:ascii="Arial" w:cs="Arial" w:eastAsia="Arial" w:hAnsi="Arial"/>
                  <w:sz w:val="20"/>
                  <w:szCs w:val="20"/>
                  <w:color w:val="0000EE"/>
                  <w:w w:val="91"/>
                </w:rPr>
                <w:t>SECTION 3.</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60">
              <w:r>
                <w:rPr>
                  <w:rFonts w:ascii="Arial" w:cs="Arial" w:eastAsia="Arial" w:hAnsi="Arial"/>
                  <w:sz w:val="20"/>
                  <w:szCs w:val="20"/>
                  <w:color w:val="0000EE"/>
                </w:rPr>
                <w:t>Place and Application of Payments.</w:t>
              </w:r>
            </w:hyperlink>
          </w:p>
        </w:tc>
        <w:tc>
          <w:tcPr>
            <w:tcW w:w="820" w:type="dxa"/>
            <w:vAlign w:val="bottom"/>
            <w:gridSpan w:val="3"/>
          </w:tcPr>
          <w:p>
            <w:pPr>
              <w:jc w:val="right"/>
              <w:spacing w:after="0"/>
              <w:rPr>
                <w:rFonts w:ascii="Arial" w:cs="Arial" w:eastAsia="Arial" w:hAnsi="Arial"/>
                <w:sz w:val="20"/>
                <w:szCs w:val="20"/>
                <w:color w:val="0000EE"/>
              </w:rPr>
            </w:pPr>
            <w:hyperlink w:anchor="page60">
              <w:r>
                <w:rPr>
                  <w:rFonts w:ascii="Arial" w:cs="Arial" w:eastAsia="Arial" w:hAnsi="Arial"/>
                  <w:sz w:val="20"/>
                  <w:szCs w:val="20"/>
                  <w:color w:val="0000EE"/>
                </w:rPr>
                <w:t>11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480" w:type="dxa"/>
            <w:vAlign w:val="bottom"/>
            <w:gridSpan w:val="33"/>
          </w:tcPr>
          <w:p>
            <w:pPr>
              <w:spacing w:after="0"/>
              <w:rPr>
                <w:rFonts w:ascii="Arial" w:cs="Arial" w:eastAsia="Arial" w:hAnsi="Arial"/>
                <w:sz w:val="20"/>
                <w:szCs w:val="20"/>
                <w:color w:val="0000EE"/>
                <w:highlight w:val="white"/>
              </w:rPr>
            </w:pPr>
            <w:hyperlink w:anchor="page60">
              <w:r>
                <w:rPr>
                  <w:rFonts w:ascii="Arial" w:cs="Arial" w:eastAsia="Arial" w:hAnsi="Arial"/>
                  <w:sz w:val="20"/>
                  <w:szCs w:val="20"/>
                  <w:color w:val="0000EE"/>
                  <w:highlight w:val="white"/>
                </w:rPr>
                <w:t>Section 3.1.   Place and Application of Payments.</w:t>
              </w:r>
            </w:hyperlink>
          </w:p>
        </w:tc>
        <w:tc>
          <w:tcPr>
            <w:tcW w:w="820" w:type="dxa"/>
            <w:vAlign w:val="bottom"/>
            <w:gridSpan w:val="3"/>
          </w:tcPr>
          <w:p>
            <w:pPr>
              <w:jc w:val="right"/>
              <w:spacing w:after="0"/>
              <w:rPr>
                <w:rFonts w:ascii="Arial" w:cs="Arial" w:eastAsia="Arial" w:hAnsi="Arial"/>
                <w:sz w:val="20"/>
                <w:szCs w:val="20"/>
                <w:color w:val="0000EE"/>
              </w:rPr>
            </w:pPr>
            <w:hyperlink w:anchor="page60">
              <w:r>
                <w:rPr>
                  <w:rFonts w:ascii="Arial" w:cs="Arial" w:eastAsia="Arial" w:hAnsi="Arial"/>
                  <w:sz w:val="20"/>
                  <w:szCs w:val="20"/>
                  <w:color w:val="0000EE"/>
                </w:rPr>
                <w:t>11</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61">
              <w:r>
                <w:rPr>
                  <w:rFonts w:ascii="Arial" w:cs="Arial" w:eastAsia="Arial" w:hAnsi="Arial"/>
                  <w:sz w:val="20"/>
                  <w:szCs w:val="20"/>
                  <w:color w:val="0000EE"/>
                  <w:w w:val="91"/>
                </w:rPr>
                <w:t>SECTION 4.</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61">
              <w:r>
                <w:rPr>
                  <w:rFonts w:ascii="Arial" w:cs="Arial" w:eastAsia="Arial" w:hAnsi="Arial"/>
                  <w:sz w:val="20"/>
                  <w:szCs w:val="20"/>
                  <w:color w:val="0000EE"/>
                </w:rPr>
                <w:t>Guaranties</w:t>
              </w:r>
            </w:hyperlink>
          </w:p>
        </w:tc>
        <w:tc>
          <w:tcPr>
            <w:tcW w:w="820" w:type="dxa"/>
            <w:vAlign w:val="bottom"/>
            <w:gridSpan w:val="3"/>
          </w:tcPr>
          <w:p>
            <w:pPr>
              <w:jc w:val="right"/>
              <w:spacing w:after="0"/>
              <w:rPr>
                <w:rFonts w:ascii="Arial" w:cs="Arial" w:eastAsia="Arial" w:hAnsi="Arial"/>
                <w:sz w:val="20"/>
                <w:szCs w:val="20"/>
                <w:color w:val="0000EE"/>
              </w:rPr>
            </w:pPr>
            <w:hyperlink w:anchor="page61">
              <w:r>
                <w:rPr>
                  <w:rFonts w:ascii="Arial" w:cs="Arial" w:eastAsia="Arial" w:hAnsi="Arial"/>
                  <w:sz w:val="20"/>
                  <w:szCs w:val="20"/>
                  <w:color w:val="0000EE"/>
                </w:rPr>
                <w:t>12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20"/>
                <w:szCs w:val="20"/>
                <w:color w:val="0000EE"/>
                <w:highlight w:val="white"/>
                <w:w w:val="85"/>
              </w:rPr>
            </w:pPr>
            <w:hyperlink w:anchor="page61">
              <w:r>
                <w:rPr>
                  <w:rFonts w:ascii="Arial" w:cs="Arial" w:eastAsia="Arial" w:hAnsi="Arial"/>
                  <w:sz w:val="20"/>
                  <w:szCs w:val="20"/>
                  <w:color w:val="0000EE"/>
                  <w:highlight w:val="white"/>
                  <w:w w:val="85"/>
                </w:rPr>
                <w:t>Section 4.1.</w:t>
              </w:r>
            </w:hyperlink>
          </w:p>
        </w:tc>
        <w:tc>
          <w:tcPr>
            <w:tcW w:w="320" w:type="dxa"/>
            <w:vAlign w:val="bottom"/>
            <w:gridSpan w:val="3"/>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highlight w:val="white"/>
              </w:rPr>
            </w:pPr>
            <w:hyperlink w:anchor="page61">
              <w:r>
                <w:rPr>
                  <w:rFonts w:ascii="Arial" w:cs="Arial" w:eastAsia="Arial" w:hAnsi="Arial"/>
                  <w:sz w:val="20"/>
                  <w:szCs w:val="20"/>
                  <w:color w:val="0000EE"/>
                  <w:highlight w:val="white"/>
                </w:rPr>
                <w:t>Guaranties.</w:t>
              </w:r>
            </w:hyperlink>
          </w:p>
        </w:tc>
        <w:tc>
          <w:tcPr>
            <w:tcW w:w="820" w:type="dxa"/>
            <w:vAlign w:val="bottom"/>
            <w:gridSpan w:val="3"/>
          </w:tcPr>
          <w:p>
            <w:pPr>
              <w:jc w:val="right"/>
              <w:spacing w:after="0"/>
              <w:rPr>
                <w:rFonts w:ascii="Arial" w:cs="Arial" w:eastAsia="Arial" w:hAnsi="Arial"/>
                <w:sz w:val="20"/>
                <w:szCs w:val="20"/>
                <w:color w:val="0000EE"/>
              </w:rPr>
            </w:pPr>
            <w:hyperlink w:anchor="page61">
              <w:r>
                <w:rPr>
                  <w:rFonts w:ascii="Arial" w:cs="Arial" w:eastAsia="Arial" w:hAnsi="Arial"/>
                  <w:sz w:val="20"/>
                  <w:szCs w:val="20"/>
                  <w:color w:val="0000EE"/>
                </w:rPr>
                <w:t>12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940" w:type="dxa"/>
            <w:vAlign w:val="bottom"/>
            <w:gridSpan w:val="2"/>
          </w:tcPr>
          <w:p>
            <w:pPr>
              <w:spacing w:after="0" w:line="203" w:lineRule="exact"/>
              <w:rPr>
                <w:rFonts w:ascii="Arial" w:cs="Arial" w:eastAsia="Arial" w:hAnsi="Arial"/>
                <w:sz w:val="20"/>
                <w:szCs w:val="20"/>
                <w:color w:val="0000EE"/>
                <w:highlight w:val="white"/>
                <w:w w:val="85"/>
              </w:rPr>
            </w:pPr>
            <w:hyperlink w:anchor="page61">
              <w:r>
                <w:rPr>
                  <w:rFonts w:ascii="Arial" w:cs="Arial" w:eastAsia="Arial" w:hAnsi="Arial"/>
                  <w:sz w:val="20"/>
                  <w:szCs w:val="20"/>
                  <w:color w:val="0000EE"/>
                  <w:highlight w:val="white"/>
                  <w:w w:val="85"/>
                </w:rPr>
                <w:t>Section 4.2.</w:t>
              </w:r>
            </w:hyperlink>
          </w:p>
        </w:tc>
        <w:tc>
          <w:tcPr>
            <w:tcW w:w="320" w:type="dxa"/>
            <w:vAlign w:val="bottom"/>
            <w:gridSpan w:val="3"/>
          </w:tcPr>
          <w:p>
            <w:pPr>
              <w:spacing w:after="0"/>
              <w:rPr>
                <w:sz w:val="17"/>
                <w:szCs w:val="17"/>
                <w:color w:val="auto"/>
              </w:rPr>
            </w:pPr>
          </w:p>
        </w:tc>
        <w:tc>
          <w:tcPr>
            <w:tcW w:w="6220" w:type="dxa"/>
            <w:vAlign w:val="bottom"/>
            <w:gridSpan w:val="28"/>
          </w:tcPr>
          <w:p>
            <w:pPr>
              <w:spacing w:after="0" w:line="203" w:lineRule="exact"/>
              <w:rPr>
                <w:rFonts w:ascii="Arial" w:cs="Arial" w:eastAsia="Arial" w:hAnsi="Arial"/>
                <w:sz w:val="20"/>
                <w:szCs w:val="20"/>
                <w:color w:val="0000EE"/>
                <w:highlight w:val="white"/>
              </w:rPr>
            </w:pPr>
            <w:hyperlink w:anchor="page61">
              <w:r>
                <w:rPr>
                  <w:rFonts w:ascii="Arial" w:cs="Arial" w:eastAsia="Arial" w:hAnsi="Arial"/>
                  <w:sz w:val="20"/>
                  <w:szCs w:val="20"/>
                  <w:color w:val="0000EE"/>
                  <w:highlight w:val="white"/>
                </w:rPr>
                <w:t>Further Assurances.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61">
              <w:r>
                <w:rPr>
                  <w:rFonts w:ascii="Arial" w:cs="Arial" w:eastAsia="Arial" w:hAnsi="Arial"/>
                  <w:sz w:val="20"/>
                  <w:szCs w:val="20"/>
                  <w:color w:val="0000EE"/>
                </w:rPr>
                <w:t>12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61">
              <w:r>
                <w:rPr>
                  <w:rFonts w:ascii="Arial" w:cs="Arial" w:eastAsia="Arial" w:hAnsi="Arial"/>
                  <w:sz w:val="20"/>
                  <w:szCs w:val="20"/>
                  <w:color w:val="0000EE"/>
                  <w:w w:val="91"/>
                </w:rPr>
                <w:t>SECTION 5.</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61">
              <w:r>
                <w:rPr>
                  <w:rFonts w:ascii="Arial" w:cs="Arial" w:eastAsia="Arial" w:hAnsi="Arial"/>
                  <w:sz w:val="20"/>
                  <w:szCs w:val="20"/>
                  <w:color w:val="0000EE"/>
                </w:rPr>
                <w:t>Definitions; Interpretation.</w:t>
              </w:r>
            </w:hyperlink>
          </w:p>
        </w:tc>
        <w:tc>
          <w:tcPr>
            <w:tcW w:w="820" w:type="dxa"/>
            <w:vAlign w:val="bottom"/>
            <w:gridSpan w:val="3"/>
          </w:tcPr>
          <w:p>
            <w:pPr>
              <w:jc w:val="right"/>
              <w:spacing w:after="0"/>
              <w:rPr>
                <w:rFonts w:ascii="Arial" w:cs="Arial" w:eastAsia="Arial" w:hAnsi="Arial"/>
                <w:sz w:val="20"/>
                <w:szCs w:val="20"/>
                <w:color w:val="0000EE"/>
              </w:rPr>
            </w:pPr>
            <w:hyperlink w:anchor="page61">
              <w:r>
                <w:rPr>
                  <w:rFonts w:ascii="Arial" w:cs="Arial" w:eastAsia="Arial" w:hAnsi="Arial"/>
                  <w:sz w:val="20"/>
                  <w:szCs w:val="20"/>
                  <w:color w:val="0000EE"/>
                </w:rPr>
                <w:t>12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20"/>
                <w:szCs w:val="20"/>
                <w:color w:val="0000EE"/>
                <w:highlight w:val="white"/>
                <w:w w:val="85"/>
              </w:rPr>
            </w:pPr>
            <w:hyperlink w:anchor="page61">
              <w:r>
                <w:rPr>
                  <w:rFonts w:ascii="Arial" w:cs="Arial" w:eastAsia="Arial" w:hAnsi="Arial"/>
                  <w:sz w:val="20"/>
                  <w:szCs w:val="20"/>
                  <w:color w:val="0000EE"/>
                  <w:highlight w:val="white"/>
                  <w:w w:val="85"/>
                </w:rPr>
                <w:t>Section 5.1.</w:t>
              </w:r>
            </w:hyperlink>
          </w:p>
        </w:tc>
        <w:tc>
          <w:tcPr>
            <w:tcW w:w="320" w:type="dxa"/>
            <w:vAlign w:val="bottom"/>
            <w:gridSpan w:val="3"/>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highlight w:val="white"/>
              </w:rPr>
            </w:pPr>
            <w:hyperlink w:anchor="page61">
              <w:r>
                <w:rPr>
                  <w:rFonts w:ascii="Arial" w:cs="Arial" w:eastAsia="Arial" w:hAnsi="Arial"/>
                  <w:sz w:val="20"/>
                  <w:szCs w:val="20"/>
                  <w:color w:val="0000EE"/>
                  <w:highlight w:val="white"/>
                </w:rPr>
                <w:t>Definitions.</w:t>
              </w:r>
            </w:hyperlink>
          </w:p>
        </w:tc>
        <w:tc>
          <w:tcPr>
            <w:tcW w:w="820" w:type="dxa"/>
            <w:vAlign w:val="bottom"/>
            <w:gridSpan w:val="3"/>
          </w:tcPr>
          <w:p>
            <w:pPr>
              <w:jc w:val="right"/>
              <w:spacing w:after="0"/>
              <w:rPr>
                <w:rFonts w:ascii="Arial" w:cs="Arial" w:eastAsia="Arial" w:hAnsi="Arial"/>
                <w:sz w:val="20"/>
                <w:szCs w:val="20"/>
                <w:color w:val="0000EE"/>
              </w:rPr>
            </w:pPr>
            <w:hyperlink w:anchor="page61">
              <w:r>
                <w:rPr>
                  <w:rFonts w:ascii="Arial" w:cs="Arial" w:eastAsia="Arial" w:hAnsi="Arial"/>
                  <w:sz w:val="20"/>
                  <w:szCs w:val="20"/>
                  <w:color w:val="0000EE"/>
                </w:rPr>
                <w:t>12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940" w:type="dxa"/>
            <w:vAlign w:val="bottom"/>
            <w:gridSpan w:val="2"/>
          </w:tcPr>
          <w:p>
            <w:pPr>
              <w:spacing w:after="0" w:line="203" w:lineRule="exact"/>
              <w:rPr>
                <w:rFonts w:ascii="Arial" w:cs="Arial" w:eastAsia="Arial" w:hAnsi="Arial"/>
                <w:sz w:val="20"/>
                <w:szCs w:val="20"/>
                <w:color w:val="0000EE"/>
                <w:highlight w:val="white"/>
                <w:w w:val="85"/>
              </w:rPr>
            </w:pPr>
            <w:hyperlink w:anchor="page86">
              <w:r>
                <w:rPr>
                  <w:rFonts w:ascii="Arial" w:cs="Arial" w:eastAsia="Arial" w:hAnsi="Arial"/>
                  <w:sz w:val="20"/>
                  <w:szCs w:val="20"/>
                  <w:color w:val="0000EE"/>
                  <w:highlight w:val="white"/>
                  <w:w w:val="85"/>
                </w:rPr>
                <w:t>Section 5.2.</w:t>
              </w:r>
            </w:hyperlink>
          </w:p>
        </w:tc>
        <w:tc>
          <w:tcPr>
            <w:tcW w:w="320" w:type="dxa"/>
            <w:vAlign w:val="bottom"/>
            <w:gridSpan w:val="3"/>
          </w:tcPr>
          <w:p>
            <w:pPr>
              <w:spacing w:after="0"/>
              <w:rPr>
                <w:sz w:val="17"/>
                <w:szCs w:val="17"/>
                <w:color w:val="auto"/>
              </w:rPr>
            </w:pPr>
          </w:p>
        </w:tc>
        <w:tc>
          <w:tcPr>
            <w:tcW w:w="6220" w:type="dxa"/>
            <w:vAlign w:val="bottom"/>
            <w:gridSpan w:val="28"/>
          </w:tcPr>
          <w:p>
            <w:pPr>
              <w:spacing w:after="0" w:line="203" w:lineRule="exact"/>
              <w:rPr>
                <w:rFonts w:ascii="Arial" w:cs="Arial" w:eastAsia="Arial" w:hAnsi="Arial"/>
                <w:sz w:val="20"/>
                <w:szCs w:val="20"/>
                <w:color w:val="0000EE"/>
                <w:highlight w:val="white"/>
              </w:rPr>
            </w:pPr>
            <w:hyperlink w:anchor="page86">
              <w:r>
                <w:rPr>
                  <w:rFonts w:ascii="Arial" w:cs="Arial" w:eastAsia="Arial" w:hAnsi="Arial"/>
                  <w:sz w:val="20"/>
                  <w:szCs w:val="20"/>
                  <w:color w:val="0000EE"/>
                  <w:highlight w:val="white"/>
                </w:rPr>
                <w:t>Interpretation.</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6">
              <w:r>
                <w:rPr>
                  <w:rFonts w:ascii="Arial" w:cs="Arial" w:eastAsia="Arial" w:hAnsi="Arial"/>
                  <w:sz w:val="20"/>
                  <w:szCs w:val="20"/>
                  <w:color w:val="0000EE"/>
                </w:rPr>
                <w:t>38</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87">
              <w:r>
                <w:rPr>
                  <w:rFonts w:ascii="Arial" w:cs="Arial" w:eastAsia="Arial" w:hAnsi="Arial"/>
                  <w:sz w:val="20"/>
                  <w:szCs w:val="20"/>
                  <w:color w:val="0000EE"/>
                  <w:highlight w:val="white"/>
                </w:rPr>
                <w:t>Section 5.3.   Change in Accounting Principles.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7">
              <w:r>
                <w:rPr>
                  <w:rFonts w:ascii="Arial" w:cs="Arial" w:eastAsia="Arial" w:hAnsi="Arial"/>
                  <w:sz w:val="20"/>
                  <w:szCs w:val="20"/>
                  <w:color w:val="0000EE"/>
                </w:rPr>
                <w:t>38</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87">
              <w:r>
                <w:rPr>
                  <w:rFonts w:ascii="Arial" w:cs="Arial" w:eastAsia="Arial" w:hAnsi="Arial"/>
                  <w:sz w:val="20"/>
                  <w:szCs w:val="20"/>
                  <w:color w:val="0000EE"/>
                  <w:highlight w:val="white"/>
                </w:rPr>
                <w:t>Section 5.4.   USD LIBOR; Replacement Rate</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7">
              <w:r>
                <w:rPr>
                  <w:rFonts w:ascii="Arial" w:cs="Arial" w:eastAsia="Arial" w:hAnsi="Arial"/>
                  <w:sz w:val="20"/>
                  <w:szCs w:val="20"/>
                  <w:color w:val="0000EE"/>
                </w:rPr>
                <w:t>38</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87">
              <w:r>
                <w:rPr>
                  <w:rFonts w:ascii="Arial" w:cs="Arial" w:eastAsia="Arial" w:hAnsi="Arial"/>
                  <w:sz w:val="20"/>
                  <w:szCs w:val="20"/>
                  <w:color w:val="0000EE"/>
                  <w:highlight w:val="white"/>
                  <w:w w:val="85"/>
                </w:rPr>
                <w:t>Section 5.5.</w:t>
              </w:r>
            </w:hyperlink>
          </w:p>
        </w:tc>
        <w:tc>
          <w:tcPr>
            <w:tcW w:w="320" w:type="dxa"/>
            <w:vAlign w:val="bottom"/>
            <w:gridSpan w:val="3"/>
          </w:tcPr>
          <w:p>
            <w:pPr>
              <w:spacing w:after="0"/>
              <w:rPr>
                <w:sz w:val="17"/>
                <w:szCs w:val="17"/>
                <w:color w:val="auto"/>
              </w:rPr>
            </w:pPr>
          </w:p>
        </w:tc>
        <w:tc>
          <w:tcPr>
            <w:tcW w:w="2540" w:type="dxa"/>
            <w:vAlign w:val="bottom"/>
            <w:tcBorders>
              <w:top w:val="single" w:sz="8" w:color="0000EE"/>
            </w:tcBorders>
            <w:gridSpan w:val="21"/>
          </w:tcPr>
          <w:p>
            <w:pPr>
              <w:spacing w:after="0" w:line="203" w:lineRule="exact"/>
              <w:rPr>
                <w:rFonts w:ascii="Arial" w:cs="Arial" w:eastAsia="Arial" w:hAnsi="Arial"/>
                <w:sz w:val="20"/>
                <w:szCs w:val="20"/>
                <w:color w:val="0000EE"/>
                <w:highlight w:val="white"/>
              </w:rPr>
            </w:pPr>
            <w:hyperlink w:anchor="page87">
              <w:r>
                <w:rPr>
                  <w:rFonts w:ascii="Arial" w:cs="Arial" w:eastAsia="Arial" w:hAnsi="Arial"/>
                  <w:sz w:val="20"/>
                  <w:szCs w:val="20"/>
                  <w:color w:val="0000EE"/>
                  <w:highlight w:val="white"/>
                </w:rPr>
                <w:t>Divisions</w:t>
              </w:r>
            </w:hyperlink>
          </w:p>
        </w:tc>
        <w:tc>
          <w:tcPr>
            <w:tcW w:w="368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203" w:lineRule="exact"/>
              <w:rPr>
                <w:rFonts w:ascii="Arial" w:cs="Arial" w:eastAsia="Arial" w:hAnsi="Arial"/>
                <w:sz w:val="20"/>
                <w:szCs w:val="20"/>
                <w:color w:val="0000EE"/>
                <w:w w:val="71"/>
              </w:rPr>
            </w:pPr>
            <w:hyperlink w:anchor="page87">
              <w:r>
                <w:rPr>
                  <w:rFonts w:ascii="Arial" w:cs="Arial" w:eastAsia="Arial" w:hAnsi="Arial"/>
                  <w:sz w:val="20"/>
                  <w:szCs w:val="20"/>
                  <w:color w:val="0000EE"/>
                  <w:w w:val="71"/>
                </w:rPr>
                <w:t>38</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87">
              <w:r>
                <w:rPr>
                  <w:rFonts w:ascii="Arial" w:cs="Arial" w:eastAsia="Arial" w:hAnsi="Arial"/>
                  <w:sz w:val="20"/>
                  <w:szCs w:val="20"/>
                  <w:color w:val="0000EE"/>
                  <w:w w:val="91"/>
                </w:rPr>
                <w:t>SECTION 6.</w:t>
              </w:r>
            </w:hyperlink>
          </w:p>
        </w:tc>
        <w:tc>
          <w:tcPr>
            <w:tcW w:w="520" w:type="dxa"/>
            <w:vAlign w:val="bottom"/>
            <w:gridSpan w:val="4"/>
          </w:tcPr>
          <w:p>
            <w:pPr>
              <w:spacing w:after="0"/>
              <w:rPr>
                <w:sz w:val="24"/>
                <w:szCs w:val="24"/>
                <w:color w:val="auto"/>
              </w:rPr>
            </w:pPr>
          </w:p>
        </w:tc>
        <w:tc>
          <w:tcPr>
            <w:tcW w:w="6220" w:type="dxa"/>
            <w:vAlign w:val="bottom"/>
            <w:gridSpan w:val="28"/>
          </w:tcPr>
          <w:p>
            <w:pPr>
              <w:spacing w:after="0"/>
              <w:rPr>
                <w:rFonts w:ascii="Arial" w:cs="Arial" w:eastAsia="Arial" w:hAnsi="Arial"/>
                <w:sz w:val="20"/>
                <w:szCs w:val="20"/>
                <w:color w:val="0000EE"/>
              </w:rPr>
            </w:pPr>
            <w:hyperlink w:anchor="page87">
              <w:r>
                <w:rPr>
                  <w:rFonts w:ascii="Arial" w:cs="Arial" w:eastAsia="Arial" w:hAnsi="Arial"/>
                  <w:sz w:val="20"/>
                  <w:szCs w:val="20"/>
                  <w:color w:val="0000EE"/>
                </w:rPr>
                <w:t>Representations and Warranties.</w:t>
              </w:r>
            </w:hyperlink>
          </w:p>
        </w:tc>
        <w:tc>
          <w:tcPr>
            <w:tcW w:w="820" w:type="dxa"/>
            <w:vAlign w:val="bottom"/>
            <w:gridSpan w:val="3"/>
          </w:tcPr>
          <w:p>
            <w:pPr>
              <w:jc w:val="right"/>
              <w:spacing w:after="0"/>
              <w:rPr>
                <w:rFonts w:ascii="Arial" w:cs="Arial" w:eastAsia="Arial" w:hAnsi="Arial"/>
                <w:sz w:val="20"/>
                <w:szCs w:val="20"/>
                <w:color w:val="0000EE"/>
              </w:rPr>
            </w:pPr>
            <w:hyperlink w:anchor="page87">
              <w:r>
                <w:rPr>
                  <w:rFonts w:ascii="Arial" w:cs="Arial" w:eastAsia="Arial" w:hAnsi="Arial"/>
                  <w:sz w:val="20"/>
                  <w:szCs w:val="20"/>
                  <w:color w:val="0000EE"/>
                </w:rPr>
                <w:t>39</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480" w:type="dxa"/>
            <w:vAlign w:val="bottom"/>
            <w:gridSpan w:val="33"/>
          </w:tcPr>
          <w:p>
            <w:pPr>
              <w:spacing w:after="0"/>
              <w:rPr>
                <w:rFonts w:ascii="Arial" w:cs="Arial" w:eastAsia="Arial" w:hAnsi="Arial"/>
                <w:sz w:val="20"/>
                <w:szCs w:val="20"/>
                <w:color w:val="0000EE"/>
                <w:highlight w:val="white"/>
              </w:rPr>
            </w:pPr>
            <w:hyperlink w:anchor="page88">
              <w:r>
                <w:rPr>
                  <w:rFonts w:ascii="Arial" w:cs="Arial" w:eastAsia="Arial" w:hAnsi="Arial"/>
                  <w:sz w:val="20"/>
                  <w:szCs w:val="20"/>
                  <w:color w:val="0000EE"/>
                  <w:highlight w:val="white"/>
                </w:rPr>
                <w:t>Section 6.1.   Organization and Qualification; Limited Operations.</w:t>
              </w:r>
            </w:hyperlink>
          </w:p>
        </w:tc>
        <w:tc>
          <w:tcPr>
            <w:tcW w:w="820" w:type="dxa"/>
            <w:vAlign w:val="bottom"/>
            <w:gridSpan w:val="3"/>
          </w:tcPr>
          <w:p>
            <w:pPr>
              <w:jc w:val="right"/>
              <w:spacing w:after="0"/>
              <w:rPr>
                <w:rFonts w:ascii="Arial" w:cs="Arial" w:eastAsia="Arial" w:hAnsi="Arial"/>
                <w:sz w:val="20"/>
                <w:szCs w:val="20"/>
                <w:color w:val="0000EE"/>
              </w:rPr>
            </w:pPr>
            <w:hyperlink w:anchor="page88">
              <w:r>
                <w:rPr>
                  <w:rFonts w:ascii="Arial" w:cs="Arial" w:eastAsia="Arial" w:hAnsi="Arial"/>
                  <w:sz w:val="20"/>
                  <w:szCs w:val="20"/>
                  <w:color w:val="0000EE"/>
                </w:rPr>
                <w:t>39</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88">
              <w:r>
                <w:rPr>
                  <w:rFonts w:ascii="Arial" w:cs="Arial" w:eastAsia="Arial" w:hAnsi="Arial"/>
                  <w:sz w:val="20"/>
                  <w:szCs w:val="20"/>
                  <w:color w:val="0000EE"/>
                  <w:highlight w:val="white"/>
                  <w:w w:val="85"/>
                </w:rPr>
                <w:t>Section 6.2.</w:t>
              </w:r>
            </w:hyperlink>
          </w:p>
        </w:tc>
        <w:tc>
          <w:tcPr>
            <w:tcW w:w="320" w:type="dxa"/>
            <w:vAlign w:val="bottom"/>
            <w:gridSpan w:val="3"/>
          </w:tcPr>
          <w:p>
            <w:pPr>
              <w:spacing w:after="0"/>
              <w:rPr>
                <w:sz w:val="17"/>
                <w:szCs w:val="17"/>
                <w:color w:val="auto"/>
              </w:rPr>
            </w:pPr>
          </w:p>
        </w:tc>
        <w:tc>
          <w:tcPr>
            <w:tcW w:w="4100" w:type="dxa"/>
            <w:vAlign w:val="bottom"/>
            <w:tcBorders>
              <w:top w:val="single" w:sz="8" w:color="0000EE"/>
            </w:tcBorders>
            <w:gridSpan w:val="25"/>
          </w:tcPr>
          <w:p>
            <w:pPr>
              <w:spacing w:after="0" w:line="203" w:lineRule="exact"/>
              <w:rPr>
                <w:rFonts w:ascii="Arial" w:cs="Arial" w:eastAsia="Arial" w:hAnsi="Arial"/>
                <w:sz w:val="20"/>
                <w:szCs w:val="20"/>
                <w:color w:val="0000EE"/>
                <w:highlight w:val="white"/>
              </w:rPr>
            </w:pPr>
            <w:hyperlink w:anchor="page88">
              <w:r>
                <w:rPr>
                  <w:rFonts w:ascii="Arial" w:cs="Arial" w:eastAsia="Arial" w:hAnsi="Arial"/>
                  <w:sz w:val="20"/>
                  <w:szCs w:val="20"/>
                  <w:color w:val="0000EE"/>
                  <w:highlight w:val="white"/>
                </w:rPr>
                <w:t>Subsidiaries</w:t>
              </w:r>
            </w:hyperlink>
          </w:p>
        </w:tc>
        <w:tc>
          <w:tcPr>
            <w:tcW w:w="2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203" w:lineRule="exact"/>
              <w:rPr>
                <w:rFonts w:ascii="Arial" w:cs="Arial" w:eastAsia="Arial" w:hAnsi="Arial"/>
                <w:sz w:val="20"/>
                <w:szCs w:val="20"/>
                <w:color w:val="0000EE"/>
                <w:w w:val="71"/>
              </w:rPr>
            </w:pPr>
            <w:hyperlink w:anchor="page88">
              <w:r>
                <w:rPr>
                  <w:rFonts w:ascii="Arial" w:cs="Arial" w:eastAsia="Arial" w:hAnsi="Arial"/>
                  <w:sz w:val="20"/>
                  <w:szCs w:val="20"/>
                  <w:color w:val="0000EE"/>
                  <w:w w:val="71"/>
                </w:rPr>
                <w:t>39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88">
              <w:r>
                <w:rPr>
                  <w:rFonts w:ascii="Arial" w:cs="Arial" w:eastAsia="Arial" w:hAnsi="Arial"/>
                  <w:sz w:val="20"/>
                  <w:szCs w:val="20"/>
                  <w:color w:val="0000EE"/>
                  <w:highlight w:val="white"/>
                </w:rPr>
                <w:t>Section 6.3.   Authority and Validity of Obligations</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8">
              <w:r>
                <w:rPr>
                  <w:rFonts w:ascii="Arial" w:cs="Arial" w:eastAsia="Arial" w:hAnsi="Arial"/>
                  <w:sz w:val="20"/>
                  <w:szCs w:val="20"/>
                  <w:color w:val="0000EE"/>
                </w:rPr>
                <w:t>39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1340" w:type="dxa"/>
            <w:vAlign w:val="bottom"/>
            <w:gridSpan w:val="10"/>
            <w:shd w:val="clear" w:color="auto" w:fill="0000EE"/>
          </w:tcPr>
          <w:p>
            <w:pPr>
              <w:spacing w:after="0" w:line="20" w:lineRule="exact"/>
              <w:rPr>
                <w:sz w:val="1"/>
                <w:szCs w:val="1"/>
                <w:color w:val="auto"/>
              </w:rPr>
            </w:pPr>
          </w:p>
        </w:tc>
        <w:tc>
          <w:tcPr>
            <w:tcW w:w="760" w:type="dxa"/>
            <w:vAlign w:val="bottom"/>
            <w:gridSpan w:val="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89">
              <w:r>
                <w:rPr>
                  <w:rFonts w:ascii="Arial" w:cs="Arial" w:eastAsia="Arial" w:hAnsi="Arial"/>
                  <w:sz w:val="20"/>
                  <w:szCs w:val="20"/>
                  <w:color w:val="0000EE"/>
                  <w:highlight w:val="white"/>
                </w:rPr>
                <w:t>Section 6.4.   Use of Proceeds; Margin Stock</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9">
              <w:r>
                <w:rPr>
                  <w:rFonts w:ascii="Arial" w:cs="Arial" w:eastAsia="Arial" w:hAnsi="Arial"/>
                  <w:sz w:val="20"/>
                  <w:szCs w:val="20"/>
                  <w:color w:val="0000EE"/>
                </w:rPr>
                <w:t>40</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89">
              <w:r>
                <w:rPr>
                  <w:rFonts w:ascii="Arial" w:cs="Arial" w:eastAsia="Arial" w:hAnsi="Arial"/>
                  <w:sz w:val="20"/>
                  <w:szCs w:val="20"/>
                  <w:color w:val="0000EE"/>
                  <w:highlight w:val="white"/>
                  <w:w w:val="85"/>
                </w:rPr>
                <w:t>Section 6.5.</w:t>
              </w:r>
            </w:hyperlink>
          </w:p>
        </w:tc>
        <w:tc>
          <w:tcPr>
            <w:tcW w:w="320" w:type="dxa"/>
            <w:vAlign w:val="bottom"/>
            <w:gridSpan w:val="3"/>
          </w:tcPr>
          <w:p>
            <w:pPr>
              <w:spacing w:after="0"/>
              <w:rPr>
                <w:sz w:val="17"/>
                <w:szCs w:val="17"/>
                <w:color w:val="auto"/>
              </w:rPr>
            </w:pPr>
          </w:p>
        </w:tc>
        <w:tc>
          <w:tcPr>
            <w:tcW w:w="2420" w:type="dxa"/>
            <w:vAlign w:val="bottom"/>
            <w:tcBorders>
              <w:top w:val="single" w:sz="8" w:color="0000EE"/>
            </w:tcBorders>
            <w:gridSpan w:val="20"/>
          </w:tcPr>
          <w:p>
            <w:pPr>
              <w:spacing w:after="0" w:line="203" w:lineRule="exact"/>
              <w:rPr>
                <w:rFonts w:ascii="Arial" w:cs="Arial" w:eastAsia="Arial" w:hAnsi="Arial"/>
                <w:sz w:val="20"/>
                <w:szCs w:val="20"/>
                <w:color w:val="0000EE"/>
                <w:highlight w:val="white"/>
              </w:rPr>
            </w:pPr>
            <w:hyperlink w:anchor="page89">
              <w:r>
                <w:rPr>
                  <w:rFonts w:ascii="Arial" w:cs="Arial" w:eastAsia="Arial" w:hAnsi="Arial"/>
                  <w:sz w:val="20"/>
                  <w:szCs w:val="20"/>
                  <w:color w:val="0000EE"/>
                  <w:highlight w:val="white"/>
                </w:rPr>
                <w:t>Financial Reports</w:t>
              </w:r>
            </w:hyperlink>
          </w:p>
        </w:tc>
        <w:tc>
          <w:tcPr>
            <w:tcW w:w="38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203" w:lineRule="exact"/>
              <w:rPr>
                <w:rFonts w:ascii="Arial" w:cs="Arial" w:eastAsia="Arial" w:hAnsi="Arial"/>
                <w:sz w:val="20"/>
                <w:szCs w:val="20"/>
                <w:color w:val="0000EE"/>
                <w:w w:val="71"/>
              </w:rPr>
            </w:pPr>
            <w:hyperlink w:anchor="page89">
              <w:r>
                <w:rPr>
                  <w:rFonts w:ascii="Arial" w:cs="Arial" w:eastAsia="Arial" w:hAnsi="Arial"/>
                  <w:sz w:val="20"/>
                  <w:szCs w:val="20"/>
                  <w:color w:val="0000EE"/>
                  <w:w w:val="71"/>
                </w:rPr>
                <w:t>40</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3"/>
          </w:tcPr>
          <w:p>
            <w:pPr>
              <w:spacing w:after="0" w:line="20" w:lineRule="exact"/>
              <w:rPr>
                <w:sz w:val="1"/>
                <w:szCs w:val="1"/>
                <w:color w:val="auto"/>
              </w:rPr>
            </w:pPr>
          </w:p>
        </w:tc>
        <w:tc>
          <w:tcPr>
            <w:tcW w:w="1340" w:type="dxa"/>
            <w:vAlign w:val="bottom"/>
            <w:gridSpan w:val="10"/>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120" w:type="dxa"/>
            <w:vAlign w:val="bottom"/>
            <w:gridSpan w:val="10"/>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480" w:type="dxa"/>
            <w:vAlign w:val="bottom"/>
            <w:gridSpan w:val="33"/>
          </w:tcPr>
          <w:p>
            <w:pPr>
              <w:spacing w:after="0" w:line="203" w:lineRule="exact"/>
              <w:rPr>
                <w:rFonts w:ascii="Arial" w:cs="Arial" w:eastAsia="Arial" w:hAnsi="Arial"/>
                <w:sz w:val="20"/>
                <w:szCs w:val="20"/>
                <w:color w:val="0000EE"/>
                <w:highlight w:val="white"/>
              </w:rPr>
            </w:pPr>
            <w:hyperlink w:anchor="page89">
              <w:r>
                <w:rPr>
                  <w:rFonts w:ascii="Arial" w:cs="Arial" w:eastAsia="Arial" w:hAnsi="Arial"/>
                  <w:sz w:val="20"/>
                  <w:szCs w:val="20"/>
                  <w:color w:val="0000EE"/>
                  <w:highlight w:val="white"/>
                </w:rPr>
                <w:t>Section 6.6.   No Material Adverse Effect</w:t>
              </w:r>
            </w:hyperlink>
          </w:p>
        </w:tc>
        <w:tc>
          <w:tcPr>
            <w:tcW w:w="820" w:type="dxa"/>
            <w:vAlign w:val="bottom"/>
            <w:gridSpan w:val="3"/>
          </w:tcPr>
          <w:p>
            <w:pPr>
              <w:jc w:val="right"/>
              <w:spacing w:after="0" w:line="203" w:lineRule="exact"/>
              <w:rPr>
                <w:rFonts w:ascii="Arial" w:cs="Arial" w:eastAsia="Arial" w:hAnsi="Arial"/>
                <w:sz w:val="20"/>
                <w:szCs w:val="20"/>
                <w:color w:val="0000EE"/>
              </w:rPr>
            </w:pPr>
            <w:hyperlink w:anchor="page89">
              <w:r>
                <w:rPr>
                  <w:rFonts w:ascii="Arial" w:cs="Arial" w:eastAsia="Arial" w:hAnsi="Arial"/>
                  <w:sz w:val="20"/>
                  <w:szCs w:val="20"/>
                  <w:color w:val="0000EE"/>
                </w:rPr>
                <w:t>41</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-5767705</wp:posOffset>
            </wp:positionV>
            <wp:extent cx="5461635" cy="57842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461635" cy="578421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441325</wp:posOffset>
            </wp:positionV>
            <wp:extent cx="5461635"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45" w:name="page46"/>
    <w:bookmarkEnd w:id="45"/>
    <w:tbl>
      <w:tblPr>
        <w:tblLayout w:type="fixed"/>
        <w:tblInd w:w="20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940" w:type="dxa"/>
            <w:vAlign w:val="bottom"/>
            <w:tcBorders>
              <w:bottom w:val="single" w:sz="8" w:color="0000EE"/>
            </w:tcBorders>
            <w:gridSpan w:val="2"/>
          </w:tcPr>
          <w:p>
            <w:pPr>
              <w:spacing w:after="0"/>
              <w:rPr>
                <w:rFonts w:ascii="Arial" w:cs="Arial" w:eastAsia="Arial" w:hAnsi="Arial"/>
                <w:sz w:val="20"/>
                <w:szCs w:val="20"/>
                <w:color w:val="0000EE"/>
                <w:highlight w:val="white"/>
                <w:w w:val="85"/>
              </w:rPr>
            </w:pPr>
            <w:hyperlink w:anchor="page89">
              <w:r>
                <w:rPr>
                  <w:rFonts w:ascii="Arial" w:cs="Arial" w:eastAsia="Arial" w:hAnsi="Arial"/>
                  <w:sz w:val="20"/>
                  <w:szCs w:val="20"/>
                  <w:color w:val="0000EE"/>
                  <w:highlight w:val="white"/>
                  <w:w w:val="85"/>
                </w:rPr>
                <w:t>Section 6.7.</w:t>
              </w:r>
            </w:hyperlink>
          </w:p>
        </w:tc>
        <w:tc>
          <w:tcPr>
            <w:tcW w:w="320" w:type="dxa"/>
            <w:vAlign w:val="bottom"/>
            <w:gridSpan w:val="2"/>
          </w:tcPr>
          <w:p>
            <w:pPr>
              <w:spacing w:after="0"/>
              <w:rPr>
                <w:sz w:val="19"/>
                <w:szCs w:val="19"/>
                <w:color w:val="auto"/>
              </w:rPr>
            </w:pPr>
          </w:p>
        </w:tc>
        <w:tc>
          <w:tcPr>
            <w:tcW w:w="1160" w:type="dxa"/>
            <w:vAlign w:val="bottom"/>
            <w:tcBorders>
              <w:bottom w:val="single" w:sz="8" w:color="0000EE"/>
            </w:tcBorders>
            <w:gridSpan w:val="12"/>
          </w:tcPr>
          <w:p>
            <w:pPr>
              <w:spacing w:after="0"/>
              <w:rPr>
                <w:rFonts w:ascii="Arial" w:cs="Arial" w:eastAsia="Arial" w:hAnsi="Arial"/>
                <w:sz w:val="20"/>
                <w:szCs w:val="20"/>
                <w:color w:val="0000EE"/>
                <w:highlight w:val="white"/>
                <w:w w:val="86"/>
              </w:rPr>
            </w:pPr>
            <w:hyperlink w:anchor="page89">
              <w:r>
                <w:rPr>
                  <w:rFonts w:ascii="Arial" w:cs="Arial" w:eastAsia="Arial" w:hAnsi="Arial"/>
                  <w:sz w:val="20"/>
                  <w:szCs w:val="20"/>
                  <w:color w:val="0000EE"/>
                  <w:highlight w:val="white"/>
                  <w:w w:val="86"/>
                </w:rPr>
                <w:t>Full Disclosure</w:t>
              </w:r>
            </w:hyperlink>
          </w:p>
        </w:tc>
        <w:tc>
          <w:tcPr>
            <w:tcW w:w="5100" w:type="dxa"/>
            <w:vAlign w:val="bottom"/>
            <w:gridSpan w:val="25"/>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89">
              <w:r>
                <w:rPr>
                  <w:rFonts w:ascii="Arial" w:cs="Arial" w:eastAsia="Arial" w:hAnsi="Arial"/>
                  <w:sz w:val="20"/>
                  <w:szCs w:val="20"/>
                  <w:color w:val="0000EE"/>
                  <w:w w:val="80"/>
                </w:rPr>
                <w:t>41</w:t>
              </w:r>
            </w:hyperlink>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0">
              <w:r>
                <w:rPr>
                  <w:rFonts w:ascii="Arial" w:cs="Arial" w:eastAsia="Arial" w:hAnsi="Arial"/>
                  <w:sz w:val="20"/>
                  <w:szCs w:val="20"/>
                  <w:color w:val="0000EE"/>
                  <w:highlight w:val="white"/>
                </w:rPr>
                <w:t>Section 6.8.   Trademarks, Franchises, and Licenses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0">
              <w:r>
                <w:rPr>
                  <w:rFonts w:ascii="Arial" w:cs="Arial" w:eastAsia="Arial" w:hAnsi="Arial"/>
                  <w:sz w:val="20"/>
                  <w:szCs w:val="20"/>
                  <w:color w:val="0000EE"/>
                </w:rPr>
                <w:t>41</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0">
              <w:r>
                <w:rPr>
                  <w:rFonts w:ascii="Arial" w:cs="Arial" w:eastAsia="Arial" w:hAnsi="Arial"/>
                  <w:sz w:val="20"/>
                  <w:szCs w:val="20"/>
                  <w:color w:val="0000EE"/>
                  <w:highlight w:val="white"/>
                </w:rPr>
                <w:t>Section 6.9.   Governmental Authority and Licensing</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0">
              <w:r>
                <w:rPr>
                  <w:rFonts w:ascii="Arial" w:cs="Arial" w:eastAsia="Arial" w:hAnsi="Arial"/>
                  <w:sz w:val="20"/>
                  <w:szCs w:val="20"/>
                  <w:color w:val="0000EE"/>
                </w:rPr>
                <w:t>41</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gridSpan w:val="3"/>
          </w:tcPr>
          <w:p>
            <w:pPr>
              <w:spacing w:after="0" w:line="203" w:lineRule="exact"/>
              <w:rPr>
                <w:rFonts w:ascii="Arial" w:cs="Arial" w:eastAsia="Arial" w:hAnsi="Arial"/>
                <w:sz w:val="20"/>
                <w:szCs w:val="20"/>
                <w:color w:val="0000EE"/>
                <w:highlight w:val="white"/>
                <w:w w:val="87"/>
              </w:rPr>
            </w:pPr>
            <w:hyperlink w:anchor="page90">
              <w:r>
                <w:rPr>
                  <w:rFonts w:ascii="Arial" w:cs="Arial" w:eastAsia="Arial" w:hAnsi="Arial"/>
                  <w:sz w:val="20"/>
                  <w:szCs w:val="20"/>
                  <w:color w:val="0000EE"/>
                  <w:highlight w:val="white"/>
                  <w:w w:val="87"/>
                </w:rPr>
                <w:t>Section 6.10.</w:t>
              </w:r>
            </w:hyperlink>
          </w:p>
        </w:tc>
        <w:tc>
          <w:tcPr>
            <w:tcW w:w="200" w:type="dxa"/>
            <w:vAlign w:val="bottom"/>
          </w:tcPr>
          <w:p>
            <w:pPr>
              <w:spacing w:after="0"/>
              <w:rPr>
                <w:sz w:val="17"/>
                <w:szCs w:val="17"/>
                <w:color w:val="auto"/>
              </w:rPr>
            </w:pPr>
          </w:p>
        </w:tc>
        <w:tc>
          <w:tcPr>
            <w:tcW w:w="6260" w:type="dxa"/>
            <w:vAlign w:val="bottom"/>
            <w:gridSpan w:val="37"/>
          </w:tcPr>
          <w:p>
            <w:pPr>
              <w:spacing w:after="0" w:line="203" w:lineRule="exact"/>
              <w:rPr>
                <w:rFonts w:ascii="Arial" w:cs="Arial" w:eastAsia="Arial" w:hAnsi="Arial"/>
                <w:sz w:val="20"/>
                <w:szCs w:val="20"/>
                <w:color w:val="0000EE"/>
                <w:highlight w:val="white"/>
              </w:rPr>
            </w:pPr>
            <w:hyperlink w:anchor="page90">
              <w:r>
                <w:rPr>
                  <w:rFonts w:ascii="Arial" w:cs="Arial" w:eastAsia="Arial" w:hAnsi="Arial"/>
                  <w:sz w:val="20"/>
                  <w:szCs w:val="20"/>
                  <w:color w:val="0000EE"/>
                  <w:highlight w:val="white"/>
                </w:rPr>
                <w:t>Good Title</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0">
              <w:r>
                <w:rPr>
                  <w:rFonts w:ascii="Arial" w:cs="Arial" w:eastAsia="Arial" w:hAnsi="Arial"/>
                  <w:sz w:val="20"/>
                  <w:szCs w:val="20"/>
                  <w:color w:val="0000EE"/>
                </w:rPr>
                <w:t>41</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0">
              <w:r>
                <w:rPr>
                  <w:rFonts w:ascii="Arial" w:cs="Arial" w:eastAsia="Arial" w:hAnsi="Arial"/>
                  <w:sz w:val="20"/>
                  <w:szCs w:val="20"/>
                  <w:color w:val="0000EE"/>
                  <w:highlight w:val="white"/>
                </w:rPr>
                <w:t>Section 6.11.  Litigation and Other Controversies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0">
              <w:r>
                <w:rPr>
                  <w:rFonts w:ascii="Arial" w:cs="Arial" w:eastAsia="Arial" w:hAnsi="Arial"/>
                  <w:sz w:val="20"/>
                  <w:szCs w:val="20"/>
                  <w:color w:val="0000EE"/>
                </w:rPr>
                <w:t>41</w:t>
              </w:r>
            </w:hyperlink>
          </w:p>
        </w:tc>
      </w:tr>
      <w:tr>
        <w:trPr>
          <w:trHeight w:val="203"/>
        </w:trPr>
        <w:tc>
          <w:tcPr>
            <w:tcW w:w="3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0">
              <w:r>
                <w:rPr>
                  <w:rFonts w:ascii="Arial" w:cs="Arial" w:eastAsia="Arial" w:hAnsi="Arial"/>
                  <w:sz w:val="20"/>
                  <w:szCs w:val="20"/>
                  <w:color w:val="0000EE"/>
                  <w:highlight w:val="white"/>
                  <w:w w:val="87"/>
                </w:rPr>
                <w:t>Section 6.12.</w:t>
              </w:r>
            </w:hyperlink>
          </w:p>
        </w:tc>
        <w:tc>
          <w:tcPr>
            <w:tcW w:w="20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203" w:lineRule="exact"/>
              <w:rPr>
                <w:rFonts w:ascii="Arial" w:cs="Arial" w:eastAsia="Arial" w:hAnsi="Arial"/>
                <w:sz w:val="20"/>
                <w:szCs w:val="20"/>
                <w:color w:val="0000EE"/>
                <w:highlight w:val="white"/>
                <w:w w:val="77"/>
              </w:rPr>
            </w:pPr>
            <w:hyperlink w:anchor="page90">
              <w:r>
                <w:rPr>
                  <w:rFonts w:ascii="Arial" w:cs="Arial" w:eastAsia="Arial" w:hAnsi="Arial"/>
                  <w:sz w:val="20"/>
                  <w:szCs w:val="20"/>
                  <w:color w:val="0000EE"/>
                  <w:highlight w:val="white"/>
                  <w:w w:val="77"/>
                </w:rPr>
                <w:t>Taxes</w:t>
              </w:r>
            </w:hyperlink>
          </w:p>
        </w:tc>
        <w:tc>
          <w:tcPr>
            <w:tcW w:w="2300" w:type="dxa"/>
            <w:vAlign w:val="bottom"/>
            <w:tcBorders>
              <w:top w:val="single" w:sz="8" w:color="0000EE"/>
            </w:tcBorders>
            <w:gridSpan w:val="27"/>
          </w:tcPr>
          <w:p>
            <w:pPr>
              <w:spacing w:after="0"/>
              <w:rPr>
                <w:sz w:val="17"/>
                <w:szCs w:val="17"/>
                <w:color w:val="auto"/>
              </w:rPr>
            </w:pPr>
          </w:p>
        </w:tc>
        <w:tc>
          <w:tcPr>
            <w:tcW w:w="352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90">
              <w:r>
                <w:rPr>
                  <w:rFonts w:ascii="Arial" w:cs="Arial" w:eastAsia="Arial" w:hAnsi="Arial"/>
                  <w:sz w:val="20"/>
                  <w:szCs w:val="20"/>
                  <w:color w:val="0000EE"/>
                  <w:w w:val="80"/>
                </w:rPr>
                <w:t>42</w:t>
              </w:r>
            </w:hyperlink>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Section 6.13.</w:t>
              </w:r>
            </w:hyperlink>
          </w:p>
        </w:tc>
        <w:tc>
          <w:tcPr>
            <w:tcW w:w="200" w:type="dxa"/>
            <w:vAlign w:val="bottom"/>
          </w:tcPr>
          <w:p>
            <w:pPr>
              <w:spacing w:after="0"/>
              <w:rPr>
                <w:sz w:val="17"/>
                <w:szCs w:val="17"/>
                <w:color w:val="auto"/>
              </w:rPr>
            </w:pPr>
          </w:p>
        </w:tc>
        <w:tc>
          <w:tcPr>
            <w:tcW w:w="820" w:type="dxa"/>
            <w:vAlign w:val="bottom"/>
            <w:tcBorders>
              <w:bottom w:val="single" w:sz="8" w:color="0000EE"/>
            </w:tcBorders>
            <w:gridSpan w:val="9"/>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Approvals</w:t>
              </w:r>
            </w:hyperlink>
          </w:p>
        </w:tc>
        <w:tc>
          <w:tcPr>
            <w:tcW w:w="5440" w:type="dxa"/>
            <w:vAlign w:val="bottom"/>
            <w:gridSpan w:val="28"/>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1">
              <w:r>
                <w:rPr>
                  <w:rFonts w:ascii="Arial" w:cs="Arial" w:eastAsia="Arial" w:hAnsi="Arial"/>
                  <w:sz w:val="20"/>
                  <w:szCs w:val="20"/>
                  <w:color w:val="0000EE"/>
                  <w:w w:val="80"/>
                </w:rPr>
                <w:t>42</w:t>
              </w:r>
            </w:hyperlink>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Section 6.14.</w:t>
              </w:r>
            </w:hyperlink>
          </w:p>
        </w:tc>
        <w:tc>
          <w:tcPr>
            <w:tcW w:w="200" w:type="dxa"/>
            <w:vAlign w:val="bottom"/>
          </w:tcPr>
          <w:p>
            <w:pPr>
              <w:spacing w:after="0"/>
              <w:rPr>
                <w:sz w:val="17"/>
                <w:szCs w:val="17"/>
                <w:color w:val="auto"/>
              </w:rPr>
            </w:pPr>
          </w:p>
        </w:tc>
        <w:tc>
          <w:tcPr>
            <w:tcW w:w="1700" w:type="dxa"/>
            <w:vAlign w:val="bottom"/>
            <w:tcBorders>
              <w:bottom w:val="single" w:sz="8" w:color="0000EE"/>
            </w:tcBorders>
            <w:gridSpan w:val="18"/>
          </w:tcPr>
          <w:p>
            <w:pPr>
              <w:spacing w:after="0" w:line="203" w:lineRule="exact"/>
              <w:rPr>
                <w:rFonts w:ascii="Arial" w:cs="Arial" w:eastAsia="Arial" w:hAnsi="Arial"/>
                <w:sz w:val="20"/>
                <w:szCs w:val="20"/>
                <w:color w:val="0000EE"/>
                <w:highlight w:val="white"/>
                <w:w w:val="90"/>
              </w:rPr>
            </w:pPr>
            <w:hyperlink w:anchor="page91">
              <w:r>
                <w:rPr>
                  <w:rFonts w:ascii="Arial" w:cs="Arial" w:eastAsia="Arial" w:hAnsi="Arial"/>
                  <w:sz w:val="20"/>
                  <w:szCs w:val="20"/>
                  <w:color w:val="0000EE"/>
                  <w:highlight w:val="white"/>
                  <w:w w:val="90"/>
                </w:rPr>
                <w:t>Affiliate Transactions</w:t>
              </w:r>
            </w:hyperlink>
          </w:p>
        </w:tc>
        <w:tc>
          <w:tcPr>
            <w:tcW w:w="456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1">
              <w:r>
                <w:rPr>
                  <w:rFonts w:ascii="Arial" w:cs="Arial" w:eastAsia="Arial" w:hAnsi="Arial"/>
                  <w:sz w:val="20"/>
                  <w:szCs w:val="20"/>
                  <w:color w:val="0000EE"/>
                  <w:w w:val="80"/>
                </w:rPr>
                <w:t>42</w:t>
              </w:r>
            </w:hyperlink>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Section 6.15.</w:t>
              </w:r>
            </w:hyperlink>
          </w:p>
        </w:tc>
        <w:tc>
          <w:tcPr>
            <w:tcW w:w="200" w:type="dxa"/>
            <w:vAlign w:val="bottom"/>
          </w:tcPr>
          <w:p>
            <w:pPr>
              <w:spacing w:after="0"/>
              <w:rPr>
                <w:sz w:val="17"/>
                <w:szCs w:val="17"/>
                <w:color w:val="auto"/>
              </w:rPr>
            </w:pPr>
          </w:p>
        </w:tc>
        <w:tc>
          <w:tcPr>
            <w:tcW w:w="1680" w:type="dxa"/>
            <w:vAlign w:val="bottom"/>
            <w:tcBorders>
              <w:bottom w:val="single" w:sz="8" w:color="0000EE"/>
            </w:tcBorders>
            <w:gridSpan w:val="17"/>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Investment Company</w:t>
              </w:r>
            </w:hyperlink>
          </w:p>
        </w:tc>
        <w:tc>
          <w:tcPr>
            <w:tcW w:w="4580" w:type="dxa"/>
            <w:vAlign w:val="bottom"/>
            <w:gridSpan w:val="20"/>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1">
              <w:r>
                <w:rPr>
                  <w:rFonts w:ascii="Arial" w:cs="Arial" w:eastAsia="Arial" w:hAnsi="Arial"/>
                  <w:sz w:val="20"/>
                  <w:szCs w:val="20"/>
                  <w:color w:val="0000EE"/>
                  <w:w w:val="80"/>
                </w:rPr>
                <w:t>42</w:t>
              </w:r>
            </w:hyperlink>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1">
              <w:r>
                <w:rPr>
                  <w:rFonts w:ascii="Arial" w:cs="Arial" w:eastAsia="Arial" w:hAnsi="Arial"/>
                  <w:sz w:val="20"/>
                  <w:szCs w:val="20"/>
                  <w:color w:val="0000EE"/>
                  <w:highlight w:val="white"/>
                  <w:w w:val="87"/>
                </w:rPr>
                <w:t>Section 6.16.</w:t>
              </w:r>
            </w:hyperlink>
          </w:p>
        </w:tc>
        <w:tc>
          <w:tcPr>
            <w:tcW w:w="200" w:type="dxa"/>
            <w:vAlign w:val="bottom"/>
          </w:tcPr>
          <w:p>
            <w:pPr>
              <w:spacing w:after="0"/>
              <w:rPr>
                <w:sz w:val="17"/>
                <w:szCs w:val="17"/>
                <w:color w:val="auto"/>
              </w:rPr>
            </w:pPr>
          </w:p>
        </w:tc>
        <w:tc>
          <w:tcPr>
            <w:tcW w:w="560" w:type="dxa"/>
            <w:vAlign w:val="bottom"/>
            <w:tcBorders>
              <w:bottom w:val="single" w:sz="8" w:color="0000EE"/>
            </w:tcBorders>
            <w:gridSpan w:val="5"/>
          </w:tcPr>
          <w:p>
            <w:pPr>
              <w:spacing w:after="0" w:line="203" w:lineRule="exact"/>
              <w:rPr>
                <w:rFonts w:ascii="Arial" w:cs="Arial" w:eastAsia="Arial" w:hAnsi="Arial"/>
                <w:sz w:val="20"/>
                <w:szCs w:val="20"/>
                <w:color w:val="0000EE"/>
                <w:highlight w:val="white"/>
                <w:w w:val="89"/>
              </w:rPr>
            </w:pPr>
            <w:hyperlink w:anchor="page91">
              <w:r>
                <w:rPr>
                  <w:rFonts w:ascii="Arial" w:cs="Arial" w:eastAsia="Arial" w:hAnsi="Arial"/>
                  <w:sz w:val="20"/>
                  <w:szCs w:val="20"/>
                  <w:color w:val="0000EE"/>
                  <w:highlight w:val="white"/>
                  <w:w w:val="89"/>
                </w:rPr>
                <w:t>ERISA</w:t>
              </w:r>
            </w:hyperlink>
          </w:p>
        </w:tc>
        <w:tc>
          <w:tcPr>
            <w:tcW w:w="5700" w:type="dxa"/>
            <w:vAlign w:val="bottom"/>
            <w:gridSpan w:val="32"/>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1">
              <w:r>
                <w:rPr>
                  <w:rFonts w:ascii="Arial" w:cs="Arial" w:eastAsia="Arial" w:hAnsi="Arial"/>
                  <w:sz w:val="20"/>
                  <w:szCs w:val="20"/>
                  <w:color w:val="0000EE"/>
                  <w:w w:val="80"/>
                </w:rPr>
                <w:t>42</w:t>
              </w:r>
            </w:hyperlink>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1">
              <w:r>
                <w:rPr>
                  <w:rFonts w:ascii="Arial" w:cs="Arial" w:eastAsia="Arial" w:hAnsi="Arial"/>
                  <w:sz w:val="20"/>
                  <w:szCs w:val="20"/>
                  <w:color w:val="0000EE"/>
                  <w:highlight w:val="white"/>
                </w:rPr>
                <w:t>Section 6.17.  Compliance with Laws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1">
              <w:r>
                <w:rPr>
                  <w:rFonts w:ascii="Arial" w:cs="Arial" w:eastAsia="Arial" w:hAnsi="Arial"/>
                  <w:sz w:val="20"/>
                  <w:szCs w:val="20"/>
                  <w:color w:val="0000EE"/>
                </w:rPr>
                <w:t>42</w:t>
              </w:r>
            </w:hyperlink>
          </w:p>
        </w:tc>
      </w:tr>
      <w:tr>
        <w:trPr>
          <w:trHeight w:val="203"/>
        </w:trPr>
        <w:tc>
          <w:tcPr>
            <w:tcW w:w="300" w:type="dxa"/>
            <w:vAlign w:val="bottom"/>
          </w:tcPr>
          <w:p>
            <w:pPr>
              <w:spacing w:after="0"/>
              <w:rPr>
                <w:sz w:val="17"/>
                <w:szCs w:val="17"/>
                <w:color w:val="auto"/>
              </w:rPr>
            </w:pPr>
          </w:p>
        </w:tc>
        <w:tc>
          <w:tcPr>
            <w:tcW w:w="1060" w:type="dxa"/>
            <w:vAlign w:val="bottom"/>
            <w:tcBorders>
              <w:top w:val="single" w:sz="8" w:color="0000EE"/>
            </w:tcBorders>
            <w:gridSpan w:val="3"/>
          </w:tcPr>
          <w:p>
            <w:pPr>
              <w:spacing w:after="0" w:line="203" w:lineRule="exact"/>
              <w:rPr>
                <w:rFonts w:ascii="Arial" w:cs="Arial" w:eastAsia="Arial" w:hAnsi="Arial"/>
                <w:sz w:val="20"/>
                <w:szCs w:val="20"/>
                <w:color w:val="0000EE"/>
                <w:highlight w:val="white"/>
                <w:w w:val="87"/>
              </w:rPr>
            </w:pPr>
            <w:hyperlink w:anchor="page92">
              <w:r>
                <w:rPr>
                  <w:rFonts w:ascii="Arial" w:cs="Arial" w:eastAsia="Arial" w:hAnsi="Arial"/>
                  <w:sz w:val="20"/>
                  <w:szCs w:val="20"/>
                  <w:color w:val="0000EE"/>
                  <w:highlight w:val="white"/>
                  <w:w w:val="87"/>
                </w:rPr>
                <w:t>Section 6.18.</w:t>
              </w:r>
            </w:hyperlink>
          </w:p>
        </w:tc>
        <w:tc>
          <w:tcPr>
            <w:tcW w:w="200" w:type="dxa"/>
            <w:vAlign w:val="bottom"/>
          </w:tcPr>
          <w:p>
            <w:pPr>
              <w:spacing w:after="0"/>
              <w:rPr>
                <w:sz w:val="17"/>
                <w:szCs w:val="17"/>
                <w:color w:val="auto"/>
              </w:rPr>
            </w:pPr>
          </w:p>
        </w:tc>
        <w:tc>
          <w:tcPr>
            <w:tcW w:w="1820" w:type="dxa"/>
            <w:vAlign w:val="bottom"/>
            <w:tcBorders>
              <w:top w:val="single" w:sz="8" w:color="0000EE"/>
            </w:tcBorders>
            <w:gridSpan w:val="21"/>
          </w:tcPr>
          <w:p>
            <w:pPr>
              <w:spacing w:after="0" w:line="203" w:lineRule="exact"/>
              <w:rPr>
                <w:rFonts w:ascii="Arial" w:cs="Arial" w:eastAsia="Arial" w:hAnsi="Arial"/>
                <w:sz w:val="20"/>
                <w:szCs w:val="20"/>
                <w:color w:val="0000EE"/>
                <w:highlight w:val="white"/>
              </w:rPr>
            </w:pPr>
            <w:hyperlink w:anchor="page92">
              <w:r>
                <w:rPr>
                  <w:rFonts w:ascii="Arial" w:cs="Arial" w:eastAsia="Arial" w:hAnsi="Arial"/>
                  <w:sz w:val="20"/>
                  <w:szCs w:val="20"/>
                  <w:color w:val="0000EE"/>
                  <w:highlight w:val="white"/>
                </w:rPr>
                <w:t>OFAC</w:t>
              </w:r>
            </w:hyperlink>
          </w:p>
        </w:tc>
        <w:tc>
          <w:tcPr>
            <w:tcW w:w="4440" w:type="dxa"/>
            <w:vAlign w:val="bottom"/>
            <w:gridSpan w:val="16"/>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92">
              <w:r>
                <w:rPr>
                  <w:rFonts w:ascii="Arial" w:cs="Arial" w:eastAsia="Arial" w:hAnsi="Arial"/>
                  <w:sz w:val="20"/>
                  <w:szCs w:val="20"/>
                  <w:color w:val="0000EE"/>
                  <w:w w:val="80"/>
                </w:rPr>
                <w:t>44</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gridSpan w:val="3"/>
          </w:tcPr>
          <w:p>
            <w:pPr>
              <w:spacing w:after="0" w:line="203" w:lineRule="exact"/>
              <w:rPr>
                <w:rFonts w:ascii="Arial" w:cs="Arial" w:eastAsia="Arial" w:hAnsi="Arial"/>
                <w:sz w:val="20"/>
                <w:szCs w:val="20"/>
                <w:color w:val="0000EE"/>
                <w:highlight w:val="white"/>
                <w:w w:val="87"/>
              </w:rPr>
            </w:pPr>
            <w:hyperlink w:anchor="page93">
              <w:r>
                <w:rPr>
                  <w:rFonts w:ascii="Arial" w:cs="Arial" w:eastAsia="Arial" w:hAnsi="Arial"/>
                  <w:sz w:val="20"/>
                  <w:szCs w:val="20"/>
                  <w:color w:val="0000EE"/>
                  <w:highlight w:val="white"/>
                  <w:w w:val="87"/>
                </w:rPr>
                <w:t>Section 6.19.</w:t>
              </w:r>
            </w:hyperlink>
          </w:p>
        </w:tc>
        <w:tc>
          <w:tcPr>
            <w:tcW w:w="200" w:type="dxa"/>
            <w:vAlign w:val="bottom"/>
          </w:tcPr>
          <w:p>
            <w:pPr>
              <w:spacing w:after="0"/>
              <w:rPr>
                <w:sz w:val="17"/>
                <w:szCs w:val="17"/>
                <w:color w:val="auto"/>
              </w:rPr>
            </w:pPr>
          </w:p>
        </w:tc>
        <w:tc>
          <w:tcPr>
            <w:tcW w:w="6260" w:type="dxa"/>
            <w:vAlign w:val="bottom"/>
            <w:gridSpan w:val="37"/>
          </w:tcPr>
          <w:p>
            <w:pPr>
              <w:spacing w:after="0" w:line="203" w:lineRule="exact"/>
              <w:rPr>
                <w:rFonts w:ascii="Arial" w:cs="Arial" w:eastAsia="Arial" w:hAnsi="Arial"/>
                <w:sz w:val="20"/>
                <w:szCs w:val="20"/>
                <w:color w:val="0000EE"/>
                <w:highlight w:val="white"/>
              </w:rPr>
            </w:pPr>
            <w:hyperlink w:anchor="page93">
              <w:r>
                <w:rPr>
                  <w:rFonts w:ascii="Arial" w:cs="Arial" w:eastAsia="Arial" w:hAnsi="Arial"/>
                  <w:sz w:val="20"/>
                  <w:szCs w:val="20"/>
                  <w:color w:val="0000EE"/>
                  <w:highlight w:val="white"/>
                </w:rPr>
                <w:t>Other Agreements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3">
              <w:r>
                <w:rPr>
                  <w:rFonts w:ascii="Arial" w:cs="Arial" w:eastAsia="Arial" w:hAnsi="Arial"/>
                  <w:sz w:val="20"/>
                  <w:szCs w:val="20"/>
                  <w:color w:val="0000EE"/>
                </w:rPr>
                <w:t>44</w:t>
              </w:r>
            </w:hyperlink>
          </w:p>
        </w:tc>
      </w:tr>
      <w:tr>
        <w:trPr>
          <w:trHeight w:val="203"/>
        </w:trPr>
        <w:tc>
          <w:tcPr>
            <w:tcW w:w="300" w:type="dxa"/>
            <w:vAlign w:val="bottom"/>
          </w:tcPr>
          <w:p>
            <w:pPr>
              <w:spacing w:after="0"/>
              <w:rPr>
                <w:sz w:val="17"/>
                <w:szCs w:val="17"/>
                <w:color w:val="auto"/>
              </w:rPr>
            </w:pPr>
          </w:p>
        </w:tc>
        <w:tc>
          <w:tcPr>
            <w:tcW w:w="1060" w:type="dxa"/>
            <w:vAlign w:val="bottom"/>
            <w:tcBorders>
              <w:top w:val="single" w:sz="8" w:color="0000EE"/>
            </w:tcBorders>
            <w:gridSpan w:val="3"/>
          </w:tcPr>
          <w:p>
            <w:pPr>
              <w:spacing w:after="0" w:line="203" w:lineRule="exact"/>
              <w:rPr>
                <w:rFonts w:ascii="Arial" w:cs="Arial" w:eastAsia="Arial" w:hAnsi="Arial"/>
                <w:sz w:val="20"/>
                <w:szCs w:val="20"/>
                <w:color w:val="0000EE"/>
                <w:highlight w:val="white"/>
                <w:w w:val="87"/>
              </w:rPr>
            </w:pPr>
            <w:hyperlink w:anchor="page93">
              <w:r>
                <w:rPr>
                  <w:rFonts w:ascii="Arial" w:cs="Arial" w:eastAsia="Arial" w:hAnsi="Arial"/>
                  <w:sz w:val="20"/>
                  <w:szCs w:val="20"/>
                  <w:color w:val="0000EE"/>
                  <w:highlight w:val="white"/>
                  <w:w w:val="87"/>
                </w:rPr>
                <w:t>Section 6.20.</w:t>
              </w:r>
            </w:hyperlink>
          </w:p>
        </w:tc>
        <w:tc>
          <w:tcPr>
            <w:tcW w:w="200" w:type="dxa"/>
            <w:vAlign w:val="bottom"/>
          </w:tcPr>
          <w:p>
            <w:pPr>
              <w:spacing w:after="0"/>
              <w:rPr>
                <w:sz w:val="17"/>
                <w:szCs w:val="17"/>
                <w:color w:val="auto"/>
              </w:rPr>
            </w:pPr>
          </w:p>
        </w:tc>
        <w:tc>
          <w:tcPr>
            <w:tcW w:w="1420" w:type="dxa"/>
            <w:vAlign w:val="bottom"/>
            <w:tcBorders>
              <w:top w:val="single" w:sz="8" w:color="0000EE"/>
            </w:tcBorders>
            <w:gridSpan w:val="16"/>
          </w:tcPr>
          <w:p>
            <w:pPr>
              <w:spacing w:after="0" w:line="203" w:lineRule="exact"/>
              <w:rPr>
                <w:rFonts w:ascii="Arial" w:cs="Arial" w:eastAsia="Arial" w:hAnsi="Arial"/>
                <w:sz w:val="20"/>
                <w:szCs w:val="20"/>
                <w:color w:val="0000EE"/>
                <w:highlight w:val="white"/>
              </w:rPr>
            </w:pPr>
            <w:hyperlink w:anchor="page93">
              <w:r>
                <w:rPr>
                  <w:rFonts w:ascii="Arial" w:cs="Arial" w:eastAsia="Arial" w:hAnsi="Arial"/>
                  <w:sz w:val="20"/>
                  <w:szCs w:val="20"/>
                  <w:color w:val="0000EE"/>
                  <w:highlight w:val="white"/>
                </w:rPr>
                <w:t>Solvency</w:t>
              </w:r>
            </w:hyperlink>
          </w:p>
        </w:tc>
        <w:tc>
          <w:tcPr>
            <w:tcW w:w="4840" w:type="dxa"/>
            <w:vAlign w:val="bottom"/>
            <w:gridSpan w:val="21"/>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93">
              <w:r>
                <w:rPr>
                  <w:rFonts w:ascii="Arial" w:cs="Arial" w:eastAsia="Arial" w:hAnsi="Arial"/>
                  <w:sz w:val="20"/>
                  <w:szCs w:val="20"/>
                  <w:color w:val="0000EE"/>
                  <w:w w:val="80"/>
                </w:rPr>
                <w:t>44</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3">
              <w:r>
                <w:rPr>
                  <w:rFonts w:ascii="Arial" w:cs="Arial" w:eastAsia="Arial" w:hAnsi="Arial"/>
                  <w:sz w:val="20"/>
                  <w:szCs w:val="20"/>
                  <w:color w:val="0000EE"/>
                  <w:highlight w:val="white"/>
                  <w:w w:val="87"/>
                </w:rPr>
                <w:t>Section 6.21.</w:t>
              </w:r>
            </w:hyperlink>
          </w:p>
        </w:tc>
        <w:tc>
          <w:tcPr>
            <w:tcW w:w="200" w:type="dxa"/>
            <w:vAlign w:val="bottom"/>
          </w:tcPr>
          <w:p>
            <w:pPr>
              <w:spacing w:after="0"/>
              <w:rPr>
                <w:sz w:val="17"/>
                <w:szCs w:val="17"/>
                <w:color w:val="auto"/>
              </w:rPr>
            </w:pPr>
          </w:p>
        </w:tc>
        <w:tc>
          <w:tcPr>
            <w:tcW w:w="860" w:type="dxa"/>
            <w:vAlign w:val="bottom"/>
            <w:tcBorders>
              <w:bottom w:val="single" w:sz="8" w:color="0000EE"/>
            </w:tcBorders>
            <w:gridSpan w:val="10"/>
          </w:tcPr>
          <w:p>
            <w:pPr>
              <w:spacing w:after="0" w:line="203" w:lineRule="exact"/>
              <w:rPr>
                <w:rFonts w:ascii="Arial" w:cs="Arial" w:eastAsia="Arial" w:hAnsi="Arial"/>
                <w:sz w:val="20"/>
                <w:szCs w:val="20"/>
                <w:color w:val="0000EE"/>
                <w:highlight w:val="white"/>
                <w:w w:val="88"/>
              </w:rPr>
            </w:pPr>
            <w:hyperlink w:anchor="page93">
              <w:r>
                <w:rPr>
                  <w:rFonts w:ascii="Arial" w:cs="Arial" w:eastAsia="Arial" w:hAnsi="Arial"/>
                  <w:sz w:val="20"/>
                  <w:szCs w:val="20"/>
                  <w:color w:val="0000EE"/>
                  <w:highlight w:val="white"/>
                  <w:w w:val="88"/>
                </w:rPr>
                <w:t>No Default</w:t>
              </w:r>
            </w:hyperlink>
          </w:p>
        </w:tc>
        <w:tc>
          <w:tcPr>
            <w:tcW w:w="5400" w:type="dxa"/>
            <w:vAlign w:val="bottom"/>
            <w:gridSpan w:val="27"/>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3">
              <w:r>
                <w:rPr>
                  <w:rFonts w:ascii="Arial" w:cs="Arial" w:eastAsia="Arial" w:hAnsi="Arial"/>
                  <w:sz w:val="20"/>
                  <w:szCs w:val="20"/>
                  <w:color w:val="0000EE"/>
                  <w:w w:val="80"/>
                </w:rPr>
                <w:t>44</w:t>
              </w:r>
            </w:hyperlink>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3">
              <w:r>
                <w:rPr>
                  <w:rFonts w:ascii="Arial" w:cs="Arial" w:eastAsia="Arial" w:hAnsi="Arial"/>
                  <w:sz w:val="20"/>
                  <w:szCs w:val="20"/>
                  <w:color w:val="0000EE"/>
                  <w:highlight w:val="white"/>
                </w:rPr>
                <w:t>Section 6.22.  No Broker Fees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3">
              <w:r>
                <w:rPr>
                  <w:rFonts w:ascii="Arial" w:cs="Arial" w:eastAsia="Arial" w:hAnsi="Arial"/>
                  <w:sz w:val="20"/>
                  <w:szCs w:val="20"/>
                  <w:color w:val="0000EE"/>
                </w:rPr>
                <w:t>44</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3">
              <w:r>
                <w:rPr>
                  <w:rFonts w:ascii="Arial" w:cs="Arial" w:eastAsia="Arial" w:hAnsi="Arial"/>
                  <w:sz w:val="20"/>
                  <w:szCs w:val="20"/>
                  <w:color w:val="0000EE"/>
                  <w:highlight w:val="white"/>
                </w:rPr>
                <w:t>Section 6.23.  Condition of Property; Casualties; Condemnation</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3">
              <w:r>
                <w:rPr>
                  <w:rFonts w:ascii="Arial" w:cs="Arial" w:eastAsia="Arial" w:hAnsi="Arial"/>
                  <w:sz w:val="20"/>
                  <w:szCs w:val="20"/>
                  <w:color w:val="0000EE"/>
                </w:rPr>
                <w:t>44</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4">
              <w:r>
                <w:rPr>
                  <w:rFonts w:ascii="Arial" w:cs="Arial" w:eastAsia="Arial" w:hAnsi="Arial"/>
                  <w:sz w:val="20"/>
                  <w:szCs w:val="20"/>
                  <w:color w:val="0000EE"/>
                  <w:highlight w:val="white"/>
                </w:rPr>
                <w:t>Section 6.24.  Legal Requirements and Zoning</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4">
              <w:r>
                <w:rPr>
                  <w:rFonts w:ascii="Arial" w:cs="Arial" w:eastAsia="Arial" w:hAnsi="Arial"/>
                  <w:sz w:val="20"/>
                  <w:szCs w:val="20"/>
                  <w:color w:val="0000EE"/>
                </w:rPr>
                <w:t>45</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4">
              <w:r>
                <w:rPr>
                  <w:rFonts w:ascii="Arial" w:cs="Arial" w:eastAsia="Arial" w:hAnsi="Arial"/>
                  <w:sz w:val="20"/>
                  <w:szCs w:val="20"/>
                  <w:color w:val="0000EE"/>
                  <w:highlight w:val="white"/>
                </w:rPr>
                <w:t>Section 6.25.  No Defaults; Landlord is in Compliance with Leases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4">
              <w:r>
                <w:rPr>
                  <w:rFonts w:ascii="Arial" w:cs="Arial" w:eastAsia="Arial" w:hAnsi="Arial"/>
                  <w:sz w:val="20"/>
                  <w:szCs w:val="20"/>
                  <w:color w:val="0000EE"/>
                </w:rPr>
                <w:t>45</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4">
              <w:r>
                <w:rPr>
                  <w:rFonts w:ascii="Arial" w:cs="Arial" w:eastAsia="Arial" w:hAnsi="Arial"/>
                  <w:sz w:val="20"/>
                  <w:szCs w:val="20"/>
                  <w:color w:val="0000EE"/>
                  <w:highlight w:val="white"/>
                </w:rPr>
                <w:t>Section 6.26.  Affected Financial Institution</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4">
              <w:r>
                <w:rPr>
                  <w:rFonts w:ascii="Arial" w:cs="Arial" w:eastAsia="Arial" w:hAnsi="Arial"/>
                  <w:sz w:val="20"/>
                  <w:szCs w:val="20"/>
                  <w:color w:val="0000EE"/>
                </w:rPr>
                <w:t>45</w:t>
              </w:r>
            </w:hyperlink>
          </w:p>
        </w:tc>
      </w:tr>
      <w:tr>
        <w:trPr>
          <w:trHeight w:val="203"/>
        </w:trPr>
        <w:tc>
          <w:tcPr>
            <w:tcW w:w="300" w:type="dxa"/>
            <w:vAlign w:val="bottom"/>
          </w:tcPr>
          <w:p>
            <w:pPr>
              <w:spacing w:after="0"/>
              <w:rPr>
                <w:sz w:val="17"/>
                <w:szCs w:val="17"/>
                <w:color w:val="auto"/>
              </w:rPr>
            </w:pPr>
          </w:p>
        </w:tc>
        <w:tc>
          <w:tcPr>
            <w:tcW w:w="1060" w:type="dxa"/>
            <w:vAlign w:val="bottom"/>
            <w:tcBorders>
              <w:top w:val="single" w:sz="8" w:color="0000EE"/>
            </w:tcBorders>
            <w:gridSpan w:val="3"/>
          </w:tcPr>
          <w:p>
            <w:pPr>
              <w:spacing w:after="0" w:line="203" w:lineRule="exact"/>
              <w:rPr>
                <w:rFonts w:ascii="Arial" w:cs="Arial" w:eastAsia="Arial" w:hAnsi="Arial"/>
                <w:sz w:val="20"/>
                <w:szCs w:val="20"/>
                <w:color w:val="0000EE"/>
                <w:highlight w:val="white"/>
                <w:w w:val="87"/>
              </w:rPr>
            </w:pPr>
            <w:hyperlink w:anchor="page94">
              <w:r>
                <w:rPr>
                  <w:rFonts w:ascii="Arial" w:cs="Arial" w:eastAsia="Arial" w:hAnsi="Arial"/>
                  <w:sz w:val="20"/>
                  <w:szCs w:val="20"/>
                  <w:color w:val="0000EE"/>
                  <w:highlight w:val="white"/>
                  <w:w w:val="87"/>
                </w:rPr>
                <w:t>Section 6.27.</w:t>
              </w:r>
            </w:hyperlink>
          </w:p>
        </w:tc>
        <w:tc>
          <w:tcPr>
            <w:tcW w:w="200" w:type="dxa"/>
            <w:vAlign w:val="bottom"/>
          </w:tcPr>
          <w:p>
            <w:pPr>
              <w:spacing w:after="0"/>
              <w:rPr>
                <w:sz w:val="17"/>
                <w:szCs w:val="17"/>
                <w:color w:val="auto"/>
              </w:rPr>
            </w:pPr>
          </w:p>
        </w:tc>
        <w:tc>
          <w:tcPr>
            <w:tcW w:w="2320" w:type="dxa"/>
            <w:vAlign w:val="bottom"/>
            <w:tcBorders>
              <w:top w:val="single" w:sz="8" w:color="0000EE"/>
            </w:tcBorders>
            <w:gridSpan w:val="26"/>
          </w:tcPr>
          <w:p>
            <w:pPr>
              <w:spacing w:after="0" w:line="203" w:lineRule="exact"/>
              <w:rPr>
                <w:rFonts w:ascii="Arial" w:cs="Arial" w:eastAsia="Arial" w:hAnsi="Arial"/>
                <w:sz w:val="20"/>
                <w:szCs w:val="20"/>
                <w:color w:val="0000EE"/>
                <w:highlight w:val="white"/>
              </w:rPr>
            </w:pPr>
            <w:hyperlink w:anchor="page94">
              <w:r>
                <w:rPr>
                  <w:rFonts w:ascii="Arial" w:cs="Arial" w:eastAsia="Arial" w:hAnsi="Arial"/>
                  <w:sz w:val="20"/>
                  <w:szCs w:val="20"/>
                  <w:color w:val="0000EE"/>
                  <w:highlight w:val="white"/>
                </w:rPr>
                <w:t>REIT Status</w:t>
              </w:r>
            </w:hyperlink>
          </w:p>
        </w:tc>
        <w:tc>
          <w:tcPr>
            <w:tcW w:w="39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94">
              <w:r>
                <w:rPr>
                  <w:rFonts w:ascii="Arial" w:cs="Arial" w:eastAsia="Arial" w:hAnsi="Arial"/>
                  <w:sz w:val="20"/>
                  <w:szCs w:val="20"/>
                  <w:color w:val="0000EE"/>
                  <w:w w:val="80"/>
                </w:rPr>
                <w:t>45</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94">
              <w:r>
                <w:rPr>
                  <w:rFonts w:ascii="Arial" w:cs="Arial" w:eastAsia="Arial" w:hAnsi="Arial"/>
                  <w:sz w:val="20"/>
                  <w:szCs w:val="20"/>
                  <w:color w:val="0000EE"/>
                  <w:highlight w:val="white"/>
                  <w:w w:val="87"/>
                </w:rPr>
                <w:t>Section 6.28.</w:t>
              </w:r>
            </w:hyperlink>
          </w:p>
        </w:tc>
        <w:tc>
          <w:tcPr>
            <w:tcW w:w="200" w:type="dxa"/>
            <w:vAlign w:val="bottom"/>
          </w:tcPr>
          <w:p>
            <w:pPr>
              <w:spacing w:after="0"/>
              <w:rPr>
                <w:sz w:val="17"/>
                <w:szCs w:val="17"/>
                <w:color w:val="auto"/>
              </w:rPr>
            </w:pPr>
          </w:p>
        </w:tc>
        <w:tc>
          <w:tcPr>
            <w:tcW w:w="1300" w:type="dxa"/>
            <w:vAlign w:val="bottom"/>
            <w:tcBorders>
              <w:bottom w:val="single" w:sz="8" w:color="0000EE"/>
            </w:tcBorders>
            <w:gridSpan w:val="14"/>
          </w:tcPr>
          <w:p>
            <w:pPr>
              <w:spacing w:after="0" w:line="203" w:lineRule="exact"/>
              <w:rPr>
                <w:rFonts w:ascii="Arial" w:cs="Arial" w:eastAsia="Arial" w:hAnsi="Arial"/>
                <w:sz w:val="20"/>
                <w:szCs w:val="20"/>
                <w:color w:val="0000EE"/>
                <w:highlight w:val="white"/>
                <w:w w:val="87"/>
              </w:rPr>
            </w:pPr>
            <w:hyperlink w:anchor="page94">
              <w:r>
                <w:rPr>
                  <w:rFonts w:ascii="Arial" w:cs="Arial" w:eastAsia="Arial" w:hAnsi="Arial"/>
                  <w:sz w:val="20"/>
                  <w:szCs w:val="20"/>
                  <w:color w:val="0000EE"/>
                  <w:highlight w:val="white"/>
                  <w:w w:val="87"/>
                </w:rPr>
                <w:t>Covered Entities</w:t>
              </w:r>
            </w:hyperlink>
          </w:p>
        </w:tc>
        <w:tc>
          <w:tcPr>
            <w:tcW w:w="496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94">
              <w:r>
                <w:rPr>
                  <w:rFonts w:ascii="Arial" w:cs="Arial" w:eastAsia="Arial" w:hAnsi="Arial"/>
                  <w:sz w:val="20"/>
                  <w:szCs w:val="20"/>
                  <w:color w:val="0000EE"/>
                  <w:w w:val="80"/>
                </w:rPr>
                <w:t>45</w:t>
              </w:r>
            </w:hyperlink>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94">
              <w:r>
                <w:rPr>
                  <w:rFonts w:ascii="Arial" w:cs="Arial" w:eastAsia="Arial" w:hAnsi="Arial"/>
                  <w:sz w:val="20"/>
                  <w:szCs w:val="20"/>
                  <w:color w:val="0000EE"/>
                  <w:w w:val="91"/>
                </w:rPr>
                <w:t>SECTION 7.</w:t>
              </w:r>
            </w:hyperlink>
          </w:p>
        </w:tc>
        <w:tc>
          <w:tcPr>
            <w:tcW w:w="520" w:type="dxa"/>
            <w:vAlign w:val="bottom"/>
            <w:gridSpan w:val="3"/>
          </w:tcPr>
          <w:p>
            <w:pPr>
              <w:spacing w:after="0"/>
              <w:rPr>
                <w:sz w:val="24"/>
                <w:szCs w:val="24"/>
                <w:color w:val="auto"/>
              </w:rPr>
            </w:pPr>
          </w:p>
        </w:tc>
        <w:tc>
          <w:tcPr>
            <w:tcW w:w="6260" w:type="dxa"/>
            <w:vAlign w:val="bottom"/>
            <w:gridSpan w:val="37"/>
          </w:tcPr>
          <w:p>
            <w:pPr>
              <w:spacing w:after="0"/>
              <w:rPr>
                <w:rFonts w:ascii="Arial" w:cs="Arial" w:eastAsia="Arial" w:hAnsi="Arial"/>
                <w:sz w:val="20"/>
                <w:szCs w:val="20"/>
                <w:color w:val="0000EE"/>
              </w:rPr>
            </w:pPr>
            <w:hyperlink w:anchor="page94">
              <w:r>
                <w:rPr>
                  <w:rFonts w:ascii="Arial" w:cs="Arial" w:eastAsia="Arial" w:hAnsi="Arial"/>
                  <w:sz w:val="20"/>
                  <w:szCs w:val="20"/>
                  <w:color w:val="0000EE"/>
                </w:rPr>
                <w:t>Conditions Precedent.</w:t>
              </w:r>
            </w:hyperlink>
          </w:p>
        </w:tc>
        <w:tc>
          <w:tcPr>
            <w:tcW w:w="780" w:type="dxa"/>
            <w:vAlign w:val="bottom"/>
            <w:gridSpan w:val="2"/>
          </w:tcPr>
          <w:p>
            <w:pPr>
              <w:jc w:val="right"/>
              <w:spacing w:after="0"/>
              <w:rPr>
                <w:rFonts w:ascii="Arial" w:cs="Arial" w:eastAsia="Arial" w:hAnsi="Arial"/>
                <w:sz w:val="20"/>
                <w:szCs w:val="20"/>
                <w:color w:val="0000EE"/>
              </w:rPr>
            </w:pPr>
            <w:hyperlink w:anchor="page94">
              <w:r>
                <w:rPr>
                  <w:rFonts w:ascii="Arial" w:cs="Arial" w:eastAsia="Arial" w:hAnsi="Arial"/>
                  <w:sz w:val="20"/>
                  <w:szCs w:val="20"/>
                  <w:color w:val="0000EE"/>
                </w:rPr>
                <w:t>46</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940" w:type="dxa"/>
            <w:vAlign w:val="bottom"/>
            <w:tcBorders>
              <w:bottom w:val="single" w:sz="8" w:color="0000EE"/>
            </w:tcBorders>
            <w:gridSpan w:val="2"/>
          </w:tcPr>
          <w:p>
            <w:pPr>
              <w:spacing w:after="0"/>
              <w:rPr>
                <w:rFonts w:ascii="Arial" w:cs="Arial" w:eastAsia="Arial" w:hAnsi="Arial"/>
                <w:sz w:val="20"/>
                <w:szCs w:val="20"/>
                <w:color w:val="0000EE"/>
                <w:highlight w:val="white"/>
                <w:w w:val="85"/>
              </w:rPr>
            </w:pPr>
            <w:hyperlink w:anchor="page94">
              <w:r>
                <w:rPr>
                  <w:rFonts w:ascii="Arial" w:cs="Arial" w:eastAsia="Arial" w:hAnsi="Arial"/>
                  <w:sz w:val="20"/>
                  <w:szCs w:val="20"/>
                  <w:color w:val="0000EE"/>
                  <w:highlight w:val="white"/>
                  <w:w w:val="85"/>
                </w:rPr>
                <w:t>Section 7.1.</w:t>
              </w:r>
            </w:hyperlink>
          </w:p>
        </w:tc>
        <w:tc>
          <w:tcPr>
            <w:tcW w:w="320" w:type="dxa"/>
            <w:vAlign w:val="bottom"/>
            <w:gridSpan w:val="2"/>
          </w:tcPr>
          <w:p>
            <w:pPr>
              <w:spacing w:after="0"/>
              <w:rPr>
                <w:sz w:val="24"/>
                <w:szCs w:val="24"/>
                <w:color w:val="auto"/>
              </w:rPr>
            </w:pPr>
          </w:p>
        </w:tc>
        <w:tc>
          <w:tcPr>
            <w:tcW w:w="1220" w:type="dxa"/>
            <w:vAlign w:val="bottom"/>
            <w:tcBorders>
              <w:bottom w:val="single" w:sz="8" w:color="0000EE"/>
            </w:tcBorders>
            <w:gridSpan w:val="13"/>
          </w:tcPr>
          <w:p>
            <w:pPr>
              <w:spacing w:after="0"/>
              <w:rPr>
                <w:rFonts w:ascii="Arial" w:cs="Arial" w:eastAsia="Arial" w:hAnsi="Arial"/>
                <w:sz w:val="20"/>
                <w:szCs w:val="20"/>
                <w:color w:val="0000EE"/>
                <w:highlight w:val="white"/>
                <w:w w:val="92"/>
              </w:rPr>
            </w:pPr>
            <w:hyperlink w:anchor="page94">
              <w:r>
                <w:rPr>
                  <w:rFonts w:ascii="Arial" w:cs="Arial" w:eastAsia="Arial" w:hAnsi="Arial"/>
                  <w:sz w:val="20"/>
                  <w:szCs w:val="20"/>
                  <w:color w:val="0000EE"/>
                  <w:highlight w:val="white"/>
                  <w:w w:val="92"/>
                </w:rPr>
                <w:t>All Borrowings</w:t>
              </w:r>
            </w:hyperlink>
          </w:p>
        </w:tc>
        <w:tc>
          <w:tcPr>
            <w:tcW w:w="5040" w:type="dxa"/>
            <w:vAlign w:val="bottom"/>
            <w:gridSpan w:val="24"/>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94">
              <w:r>
                <w:rPr>
                  <w:rFonts w:ascii="Arial" w:cs="Arial" w:eastAsia="Arial" w:hAnsi="Arial"/>
                  <w:sz w:val="20"/>
                  <w:szCs w:val="20"/>
                  <w:color w:val="0000EE"/>
                  <w:w w:val="80"/>
                </w:rPr>
                <w:t>46</w:t>
              </w:r>
            </w:hyperlink>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5">
              <w:r>
                <w:rPr>
                  <w:rFonts w:ascii="Arial" w:cs="Arial" w:eastAsia="Arial" w:hAnsi="Arial"/>
                  <w:sz w:val="20"/>
                  <w:szCs w:val="20"/>
                  <w:color w:val="0000EE"/>
                  <w:highlight w:val="white"/>
                </w:rPr>
                <w:t>Section 7.2.   Closing Date Term Loan</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5">
              <w:r>
                <w:rPr>
                  <w:rFonts w:ascii="Arial" w:cs="Arial" w:eastAsia="Arial" w:hAnsi="Arial"/>
                  <w:sz w:val="20"/>
                  <w:szCs w:val="20"/>
                  <w:color w:val="0000EE"/>
                </w:rPr>
                <w:t>46</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7">
              <w:r>
                <w:rPr>
                  <w:rFonts w:ascii="Arial" w:cs="Arial" w:eastAsia="Arial" w:hAnsi="Arial"/>
                  <w:sz w:val="20"/>
                  <w:szCs w:val="20"/>
                  <w:color w:val="0000EE"/>
                  <w:highlight w:val="white"/>
                </w:rPr>
                <w:t>Section 7.3.   Eligible Property Additions and Deletions to the Borrowing Base</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7">
              <w:r>
                <w:rPr>
                  <w:rFonts w:ascii="Arial" w:cs="Arial" w:eastAsia="Arial" w:hAnsi="Arial"/>
                  <w:sz w:val="20"/>
                  <w:szCs w:val="20"/>
                  <w:color w:val="0000EE"/>
                </w:rPr>
                <w:t>48</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97">
              <w:r>
                <w:rPr>
                  <w:rFonts w:ascii="Arial" w:cs="Arial" w:eastAsia="Arial" w:hAnsi="Arial"/>
                  <w:sz w:val="20"/>
                  <w:szCs w:val="20"/>
                  <w:color w:val="0000EE"/>
                  <w:w w:val="91"/>
                </w:rPr>
                <w:t>SECTION 8.</w:t>
              </w:r>
            </w:hyperlink>
          </w:p>
        </w:tc>
        <w:tc>
          <w:tcPr>
            <w:tcW w:w="520" w:type="dxa"/>
            <w:vAlign w:val="bottom"/>
            <w:gridSpan w:val="3"/>
          </w:tcPr>
          <w:p>
            <w:pPr>
              <w:spacing w:after="0"/>
              <w:rPr>
                <w:sz w:val="24"/>
                <w:szCs w:val="24"/>
                <w:color w:val="auto"/>
              </w:rPr>
            </w:pPr>
          </w:p>
        </w:tc>
        <w:tc>
          <w:tcPr>
            <w:tcW w:w="6260" w:type="dxa"/>
            <w:vAlign w:val="bottom"/>
            <w:gridSpan w:val="37"/>
          </w:tcPr>
          <w:p>
            <w:pPr>
              <w:spacing w:after="0"/>
              <w:rPr>
                <w:rFonts w:ascii="Arial" w:cs="Arial" w:eastAsia="Arial" w:hAnsi="Arial"/>
                <w:sz w:val="20"/>
                <w:szCs w:val="20"/>
                <w:color w:val="0000EE"/>
              </w:rPr>
            </w:pPr>
            <w:hyperlink w:anchor="page97">
              <w:r>
                <w:rPr>
                  <w:rFonts w:ascii="Arial" w:cs="Arial" w:eastAsia="Arial" w:hAnsi="Arial"/>
                  <w:sz w:val="20"/>
                  <w:szCs w:val="20"/>
                  <w:color w:val="0000EE"/>
                </w:rPr>
                <w:t>Covenants.</w:t>
              </w:r>
            </w:hyperlink>
          </w:p>
        </w:tc>
        <w:tc>
          <w:tcPr>
            <w:tcW w:w="780" w:type="dxa"/>
            <w:vAlign w:val="bottom"/>
            <w:gridSpan w:val="2"/>
          </w:tcPr>
          <w:p>
            <w:pPr>
              <w:jc w:val="right"/>
              <w:spacing w:after="0"/>
              <w:rPr>
                <w:rFonts w:ascii="Arial" w:cs="Arial" w:eastAsia="Arial" w:hAnsi="Arial"/>
                <w:sz w:val="20"/>
                <w:szCs w:val="20"/>
                <w:color w:val="0000EE"/>
              </w:rPr>
            </w:pPr>
            <w:hyperlink w:anchor="page97">
              <w:r>
                <w:rPr>
                  <w:rFonts w:ascii="Arial" w:cs="Arial" w:eastAsia="Arial" w:hAnsi="Arial"/>
                  <w:sz w:val="20"/>
                  <w:szCs w:val="20"/>
                  <w:color w:val="0000EE"/>
                </w:rPr>
                <w:t>49</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520" w:type="dxa"/>
            <w:vAlign w:val="bottom"/>
            <w:gridSpan w:val="41"/>
          </w:tcPr>
          <w:p>
            <w:pPr>
              <w:spacing w:after="0"/>
              <w:rPr>
                <w:rFonts w:ascii="Arial" w:cs="Arial" w:eastAsia="Arial" w:hAnsi="Arial"/>
                <w:sz w:val="20"/>
                <w:szCs w:val="20"/>
                <w:color w:val="0000EE"/>
                <w:highlight w:val="white"/>
              </w:rPr>
            </w:pPr>
            <w:hyperlink w:anchor="page98">
              <w:r>
                <w:rPr>
                  <w:rFonts w:ascii="Arial" w:cs="Arial" w:eastAsia="Arial" w:hAnsi="Arial"/>
                  <w:sz w:val="20"/>
                  <w:szCs w:val="20"/>
                  <w:color w:val="0000EE"/>
                  <w:highlight w:val="white"/>
                </w:rPr>
                <w:t>Section 8.1.   Maintenance of Existence</w:t>
              </w:r>
            </w:hyperlink>
          </w:p>
        </w:tc>
        <w:tc>
          <w:tcPr>
            <w:tcW w:w="780" w:type="dxa"/>
            <w:vAlign w:val="bottom"/>
            <w:gridSpan w:val="2"/>
          </w:tcPr>
          <w:p>
            <w:pPr>
              <w:jc w:val="right"/>
              <w:spacing w:after="0"/>
              <w:rPr>
                <w:rFonts w:ascii="Arial" w:cs="Arial" w:eastAsia="Arial" w:hAnsi="Arial"/>
                <w:sz w:val="20"/>
                <w:szCs w:val="20"/>
                <w:color w:val="0000EE"/>
              </w:rPr>
            </w:pPr>
            <w:hyperlink w:anchor="page98">
              <w:r>
                <w:rPr>
                  <w:rFonts w:ascii="Arial" w:cs="Arial" w:eastAsia="Arial" w:hAnsi="Arial"/>
                  <w:sz w:val="20"/>
                  <w:szCs w:val="20"/>
                  <w:color w:val="0000EE"/>
                </w:rPr>
                <w:t>49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8">
              <w:r>
                <w:rPr>
                  <w:rFonts w:ascii="Arial" w:cs="Arial" w:eastAsia="Arial" w:hAnsi="Arial"/>
                  <w:sz w:val="20"/>
                  <w:szCs w:val="20"/>
                  <w:color w:val="0000EE"/>
                  <w:highlight w:val="white"/>
                </w:rPr>
                <w:t>Section 8.2.   Maintenance of Properties, Agreements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8">
              <w:r>
                <w:rPr>
                  <w:rFonts w:ascii="Arial" w:cs="Arial" w:eastAsia="Arial" w:hAnsi="Arial"/>
                  <w:sz w:val="20"/>
                  <w:szCs w:val="20"/>
                  <w:color w:val="0000EE"/>
                </w:rPr>
                <w:t>49</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98">
              <w:r>
                <w:rPr>
                  <w:rFonts w:ascii="Arial" w:cs="Arial" w:eastAsia="Arial" w:hAnsi="Arial"/>
                  <w:sz w:val="20"/>
                  <w:szCs w:val="20"/>
                  <w:color w:val="0000EE"/>
                  <w:highlight w:val="white"/>
                </w:rPr>
                <w:t>Section 8.3.   Taxes and Assessments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8">
              <w:r>
                <w:rPr>
                  <w:rFonts w:ascii="Arial" w:cs="Arial" w:eastAsia="Arial" w:hAnsi="Arial"/>
                  <w:sz w:val="20"/>
                  <w:szCs w:val="20"/>
                  <w:color w:val="0000EE"/>
                </w:rPr>
                <w:t>49</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203" w:lineRule="exact"/>
              <w:rPr>
                <w:rFonts w:ascii="Arial" w:cs="Arial" w:eastAsia="Arial" w:hAnsi="Arial"/>
                <w:sz w:val="20"/>
                <w:szCs w:val="20"/>
                <w:color w:val="0000EE"/>
                <w:highlight w:val="white"/>
                <w:w w:val="85"/>
              </w:rPr>
            </w:pPr>
            <w:hyperlink w:anchor="page98">
              <w:r>
                <w:rPr>
                  <w:rFonts w:ascii="Arial" w:cs="Arial" w:eastAsia="Arial" w:hAnsi="Arial"/>
                  <w:sz w:val="20"/>
                  <w:szCs w:val="20"/>
                  <w:color w:val="0000EE"/>
                  <w:highlight w:val="white"/>
                  <w:w w:val="85"/>
                </w:rPr>
                <w:t>Section 8.4.</w:t>
              </w:r>
            </w:hyperlink>
          </w:p>
        </w:tc>
        <w:tc>
          <w:tcPr>
            <w:tcW w:w="320" w:type="dxa"/>
            <w:vAlign w:val="bottom"/>
            <w:gridSpan w:val="2"/>
          </w:tcPr>
          <w:p>
            <w:pPr>
              <w:spacing w:after="0"/>
              <w:rPr>
                <w:sz w:val="17"/>
                <w:szCs w:val="17"/>
                <w:color w:val="auto"/>
              </w:rPr>
            </w:pPr>
          </w:p>
        </w:tc>
        <w:tc>
          <w:tcPr>
            <w:tcW w:w="720" w:type="dxa"/>
            <w:vAlign w:val="bottom"/>
            <w:tcBorders>
              <w:top w:val="single" w:sz="8" w:color="0000EE"/>
              <w:bottom w:val="single" w:sz="8" w:color="0000EE"/>
            </w:tcBorders>
            <w:gridSpan w:val="7"/>
          </w:tcPr>
          <w:p>
            <w:pPr>
              <w:spacing w:after="0" w:line="203" w:lineRule="exact"/>
              <w:rPr>
                <w:rFonts w:ascii="Arial" w:cs="Arial" w:eastAsia="Arial" w:hAnsi="Arial"/>
                <w:sz w:val="20"/>
                <w:szCs w:val="20"/>
                <w:color w:val="0000EE"/>
                <w:highlight w:val="white"/>
                <w:w w:val="79"/>
              </w:rPr>
            </w:pPr>
            <w:hyperlink w:anchor="page98">
              <w:r>
                <w:rPr>
                  <w:rFonts w:ascii="Arial" w:cs="Arial" w:eastAsia="Arial" w:hAnsi="Arial"/>
                  <w:sz w:val="20"/>
                  <w:szCs w:val="20"/>
                  <w:color w:val="0000EE"/>
                  <w:highlight w:val="white"/>
                  <w:w w:val="79"/>
                </w:rPr>
                <w:t>Insurance</w:t>
              </w:r>
            </w:hyperlink>
          </w:p>
        </w:tc>
        <w:tc>
          <w:tcPr>
            <w:tcW w:w="1080" w:type="dxa"/>
            <w:vAlign w:val="bottom"/>
            <w:tcBorders>
              <w:top w:val="single" w:sz="8" w:color="0000EE"/>
            </w:tcBorders>
            <w:gridSpan w:val="13"/>
          </w:tcPr>
          <w:p>
            <w:pPr>
              <w:spacing w:after="0"/>
              <w:rPr>
                <w:sz w:val="17"/>
                <w:szCs w:val="17"/>
                <w:color w:val="auto"/>
              </w:rPr>
            </w:pPr>
          </w:p>
        </w:tc>
        <w:tc>
          <w:tcPr>
            <w:tcW w:w="4460" w:type="dxa"/>
            <w:vAlign w:val="bottom"/>
            <w:gridSpan w:val="17"/>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98">
              <w:r>
                <w:rPr>
                  <w:rFonts w:ascii="Arial" w:cs="Arial" w:eastAsia="Arial" w:hAnsi="Arial"/>
                  <w:sz w:val="20"/>
                  <w:szCs w:val="20"/>
                  <w:color w:val="0000EE"/>
                  <w:w w:val="80"/>
                </w:rPr>
                <w:t>50</w:t>
              </w:r>
            </w:hyperlink>
          </w:p>
        </w:tc>
      </w:tr>
      <w:tr>
        <w:trPr>
          <w:trHeight w:val="203"/>
        </w:trPr>
        <w:tc>
          <w:tcPr>
            <w:tcW w:w="300" w:type="dxa"/>
            <w:vAlign w:val="bottom"/>
          </w:tcPr>
          <w:p>
            <w:pPr>
              <w:spacing w:after="0"/>
              <w:rPr>
                <w:sz w:val="17"/>
                <w:szCs w:val="17"/>
                <w:color w:val="auto"/>
              </w:rPr>
            </w:pPr>
          </w:p>
        </w:tc>
        <w:tc>
          <w:tcPr>
            <w:tcW w:w="940" w:type="dxa"/>
            <w:vAlign w:val="bottom"/>
            <w:gridSpan w:val="2"/>
          </w:tcPr>
          <w:p>
            <w:pPr>
              <w:spacing w:after="0" w:line="203" w:lineRule="exact"/>
              <w:rPr>
                <w:rFonts w:ascii="Arial" w:cs="Arial" w:eastAsia="Arial" w:hAnsi="Arial"/>
                <w:sz w:val="20"/>
                <w:szCs w:val="20"/>
                <w:color w:val="0000EE"/>
                <w:highlight w:val="white"/>
                <w:w w:val="85"/>
              </w:rPr>
            </w:pPr>
            <w:hyperlink w:anchor="page99">
              <w:r>
                <w:rPr>
                  <w:rFonts w:ascii="Arial" w:cs="Arial" w:eastAsia="Arial" w:hAnsi="Arial"/>
                  <w:sz w:val="20"/>
                  <w:szCs w:val="20"/>
                  <w:color w:val="0000EE"/>
                  <w:highlight w:val="white"/>
                  <w:w w:val="85"/>
                </w:rPr>
                <w:t>Section 8.5.</w:t>
              </w:r>
            </w:hyperlink>
          </w:p>
        </w:tc>
        <w:tc>
          <w:tcPr>
            <w:tcW w:w="320" w:type="dxa"/>
            <w:vAlign w:val="bottom"/>
            <w:gridSpan w:val="2"/>
          </w:tcPr>
          <w:p>
            <w:pPr>
              <w:spacing w:after="0"/>
              <w:rPr>
                <w:sz w:val="17"/>
                <w:szCs w:val="17"/>
                <w:color w:val="auto"/>
              </w:rPr>
            </w:pPr>
          </w:p>
        </w:tc>
        <w:tc>
          <w:tcPr>
            <w:tcW w:w="6260" w:type="dxa"/>
            <w:vAlign w:val="bottom"/>
            <w:gridSpan w:val="37"/>
          </w:tcPr>
          <w:p>
            <w:pPr>
              <w:spacing w:after="0" w:line="203" w:lineRule="exact"/>
              <w:rPr>
                <w:rFonts w:ascii="Arial" w:cs="Arial" w:eastAsia="Arial" w:hAnsi="Arial"/>
                <w:sz w:val="20"/>
                <w:szCs w:val="20"/>
                <w:color w:val="0000EE"/>
                <w:highlight w:val="white"/>
              </w:rPr>
            </w:pPr>
            <w:hyperlink w:anchor="page99">
              <w:r>
                <w:rPr>
                  <w:rFonts w:ascii="Arial" w:cs="Arial" w:eastAsia="Arial" w:hAnsi="Arial"/>
                  <w:sz w:val="20"/>
                  <w:szCs w:val="20"/>
                  <w:color w:val="0000EE"/>
                  <w:highlight w:val="white"/>
                </w:rPr>
                <w:t>Financial Reports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99">
              <w:r>
                <w:rPr>
                  <w:rFonts w:ascii="Arial" w:cs="Arial" w:eastAsia="Arial" w:hAnsi="Arial"/>
                  <w:sz w:val="20"/>
                  <w:szCs w:val="20"/>
                  <w:color w:val="0000EE"/>
                </w:rPr>
                <w:t>50</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101">
              <w:r>
                <w:rPr>
                  <w:rFonts w:ascii="Arial" w:cs="Arial" w:eastAsia="Arial" w:hAnsi="Arial"/>
                  <w:sz w:val="20"/>
                  <w:szCs w:val="20"/>
                  <w:color w:val="0000EE"/>
                  <w:highlight w:val="white"/>
                  <w:w w:val="85"/>
                </w:rPr>
                <w:t>Section 8.6.</w:t>
              </w:r>
            </w:hyperlink>
          </w:p>
        </w:tc>
        <w:tc>
          <w:tcPr>
            <w:tcW w:w="320" w:type="dxa"/>
            <w:vAlign w:val="bottom"/>
            <w:gridSpan w:val="2"/>
          </w:tcPr>
          <w:p>
            <w:pPr>
              <w:spacing w:after="0"/>
              <w:rPr>
                <w:sz w:val="17"/>
                <w:szCs w:val="17"/>
                <w:color w:val="auto"/>
              </w:rPr>
            </w:pPr>
          </w:p>
        </w:tc>
        <w:tc>
          <w:tcPr>
            <w:tcW w:w="1340" w:type="dxa"/>
            <w:vAlign w:val="bottom"/>
            <w:tcBorders>
              <w:top w:val="single" w:sz="8" w:color="0000EE"/>
            </w:tcBorders>
            <w:gridSpan w:val="15"/>
          </w:tcPr>
          <w:p>
            <w:pPr>
              <w:spacing w:after="0" w:line="203" w:lineRule="exact"/>
              <w:rPr>
                <w:rFonts w:ascii="Arial" w:cs="Arial" w:eastAsia="Arial" w:hAnsi="Arial"/>
                <w:sz w:val="20"/>
                <w:szCs w:val="20"/>
                <w:color w:val="0000EE"/>
                <w:highlight w:val="white"/>
              </w:rPr>
            </w:pPr>
            <w:hyperlink w:anchor="page101">
              <w:r>
                <w:rPr>
                  <w:rFonts w:ascii="Arial" w:cs="Arial" w:eastAsia="Arial" w:hAnsi="Arial"/>
                  <w:sz w:val="20"/>
                  <w:szCs w:val="20"/>
                  <w:color w:val="0000EE"/>
                  <w:highlight w:val="white"/>
                </w:rPr>
                <w:t>Inspection</w:t>
              </w:r>
            </w:hyperlink>
          </w:p>
        </w:tc>
        <w:tc>
          <w:tcPr>
            <w:tcW w:w="4920" w:type="dxa"/>
            <w:vAlign w:val="bottom"/>
            <w:gridSpan w:val="22"/>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01">
              <w:r>
                <w:rPr>
                  <w:rFonts w:ascii="Arial" w:cs="Arial" w:eastAsia="Arial" w:hAnsi="Arial"/>
                  <w:sz w:val="20"/>
                  <w:szCs w:val="20"/>
                  <w:color w:val="0000EE"/>
                  <w:w w:val="80"/>
                </w:rPr>
                <w:t>52</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5"/>
              </w:rPr>
            </w:pPr>
            <w:hyperlink w:anchor="page101">
              <w:r>
                <w:rPr>
                  <w:rFonts w:ascii="Arial" w:cs="Arial" w:eastAsia="Arial" w:hAnsi="Arial"/>
                  <w:sz w:val="20"/>
                  <w:szCs w:val="20"/>
                  <w:color w:val="0000EE"/>
                  <w:highlight w:val="white"/>
                  <w:w w:val="85"/>
                </w:rPr>
                <w:t>Section 8.7.</w:t>
              </w:r>
            </w:hyperlink>
          </w:p>
        </w:tc>
        <w:tc>
          <w:tcPr>
            <w:tcW w:w="320" w:type="dxa"/>
            <w:vAlign w:val="bottom"/>
            <w:gridSpan w:val="2"/>
          </w:tcPr>
          <w:p>
            <w:pPr>
              <w:spacing w:after="0"/>
              <w:rPr>
                <w:sz w:val="17"/>
                <w:szCs w:val="17"/>
                <w:color w:val="auto"/>
              </w:rPr>
            </w:pPr>
          </w:p>
        </w:tc>
        <w:tc>
          <w:tcPr>
            <w:tcW w:w="760" w:type="dxa"/>
            <w:vAlign w:val="bottom"/>
            <w:tcBorders>
              <w:top w:val="single" w:sz="8" w:color="0000EE"/>
            </w:tcBorders>
            <w:gridSpan w:val="8"/>
          </w:tcPr>
          <w:p>
            <w:pPr>
              <w:spacing w:after="0" w:line="203" w:lineRule="exact"/>
              <w:rPr>
                <w:rFonts w:ascii="Arial" w:cs="Arial" w:eastAsia="Arial" w:hAnsi="Arial"/>
                <w:sz w:val="20"/>
                <w:szCs w:val="20"/>
                <w:color w:val="0000EE"/>
                <w:highlight w:val="white"/>
              </w:rPr>
            </w:pPr>
            <w:hyperlink w:anchor="page101">
              <w:r>
                <w:rPr>
                  <w:rFonts w:ascii="Arial" w:cs="Arial" w:eastAsia="Arial" w:hAnsi="Arial"/>
                  <w:sz w:val="20"/>
                  <w:szCs w:val="20"/>
                  <w:color w:val="0000EE"/>
                  <w:highlight w:val="white"/>
                </w:rPr>
                <w:t>Liens</w:t>
              </w:r>
            </w:hyperlink>
          </w:p>
        </w:tc>
        <w:tc>
          <w:tcPr>
            <w:tcW w:w="5500" w:type="dxa"/>
            <w:vAlign w:val="bottom"/>
            <w:gridSpan w:val="29"/>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01">
              <w:r>
                <w:rPr>
                  <w:rFonts w:ascii="Arial" w:cs="Arial" w:eastAsia="Arial" w:hAnsi="Arial"/>
                  <w:sz w:val="20"/>
                  <w:szCs w:val="20"/>
                  <w:color w:val="0000EE"/>
                  <w:w w:val="80"/>
                </w:rPr>
                <w:t>52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80" w:type="dxa"/>
            <w:vAlign w:val="bottom"/>
            <w:gridSpan w:val="2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1">
              <w:r>
                <w:rPr>
                  <w:rFonts w:ascii="Arial" w:cs="Arial" w:eastAsia="Arial" w:hAnsi="Arial"/>
                  <w:sz w:val="20"/>
                  <w:szCs w:val="20"/>
                  <w:color w:val="0000EE"/>
                  <w:highlight w:val="white"/>
                </w:rPr>
                <w:t>Section 8.8.   Investments, Acquisitions, Loans and Advances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1">
              <w:r>
                <w:rPr>
                  <w:rFonts w:ascii="Arial" w:cs="Arial" w:eastAsia="Arial" w:hAnsi="Arial"/>
                  <w:sz w:val="20"/>
                  <w:szCs w:val="20"/>
                  <w:color w:val="0000EE"/>
                </w:rPr>
                <w:t>52</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80" w:type="dxa"/>
            <w:vAlign w:val="bottom"/>
            <w:gridSpan w:val="20"/>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3">
              <w:r>
                <w:rPr>
                  <w:rFonts w:ascii="Arial" w:cs="Arial" w:eastAsia="Arial" w:hAnsi="Arial"/>
                  <w:sz w:val="20"/>
                  <w:szCs w:val="20"/>
                  <w:color w:val="0000EE"/>
                  <w:highlight w:val="white"/>
                </w:rPr>
                <w:t>Section 8.9.   Mergers, Consolidations and Sales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3">
              <w:r>
                <w:rPr>
                  <w:rFonts w:ascii="Arial" w:cs="Arial" w:eastAsia="Arial" w:hAnsi="Arial"/>
                  <w:sz w:val="20"/>
                  <w:szCs w:val="20"/>
                  <w:color w:val="0000EE"/>
                </w:rPr>
                <w:t>54</w:t>
              </w:r>
            </w:hyperlink>
          </w:p>
        </w:tc>
      </w:tr>
      <w:tr>
        <w:trPr>
          <w:trHeight w:val="20"/>
        </w:trPr>
        <w:tc>
          <w:tcPr>
            <w:tcW w:w="3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gridSpan w:val="2"/>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80" w:type="dxa"/>
            <w:vAlign w:val="bottom"/>
            <w:gridSpan w:val="20"/>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3">
              <w:r>
                <w:rPr>
                  <w:rFonts w:ascii="Arial" w:cs="Arial" w:eastAsia="Arial" w:hAnsi="Arial"/>
                  <w:sz w:val="20"/>
                  <w:szCs w:val="20"/>
                  <w:color w:val="0000EE"/>
                  <w:highlight w:val="white"/>
                </w:rPr>
                <w:t>Section 8.10.  Maintenance of Subsidiaries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3">
              <w:r>
                <w:rPr>
                  <w:rFonts w:ascii="Arial" w:cs="Arial" w:eastAsia="Arial" w:hAnsi="Arial"/>
                  <w:sz w:val="20"/>
                  <w:szCs w:val="20"/>
                  <w:color w:val="0000EE"/>
                </w:rPr>
                <w:t>55</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80" w:type="dxa"/>
            <w:vAlign w:val="bottom"/>
            <w:gridSpan w:val="20"/>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04">
              <w:r>
                <w:rPr>
                  <w:rFonts w:ascii="Arial" w:cs="Arial" w:eastAsia="Arial" w:hAnsi="Arial"/>
                  <w:sz w:val="20"/>
                  <w:szCs w:val="20"/>
                  <w:color w:val="0000EE"/>
                  <w:highlight w:val="white"/>
                  <w:w w:val="87"/>
                </w:rPr>
                <w:t>Section 8.11.</w:t>
              </w:r>
            </w:hyperlink>
          </w:p>
        </w:tc>
        <w:tc>
          <w:tcPr>
            <w:tcW w:w="200" w:type="dxa"/>
            <w:vAlign w:val="bottom"/>
          </w:tcPr>
          <w:p>
            <w:pPr>
              <w:spacing w:after="0"/>
              <w:rPr>
                <w:sz w:val="17"/>
                <w:szCs w:val="17"/>
                <w:color w:val="auto"/>
              </w:rPr>
            </w:pPr>
          </w:p>
        </w:tc>
        <w:tc>
          <w:tcPr>
            <w:tcW w:w="540" w:type="dxa"/>
            <w:vAlign w:val="bottom"/>
            <w:tcBorders>
              <w:bottom w:val="single" w:sz="8" w:color="0000EE"/>
            </w:tcBorders>
            <w:gridSpan w:val="4"/>
          </w:tcPr>
          <w:p>
            <w:pPr>
              <w:spacing w:after="0" w:line="203" w:lineRule="exact"/>
              <w:rPr>
                <w:rFonts w:ascii="Arial" w:cs="Arial" w:eastAsia="Arial" w:hAnsi="Arial"/>
                <w:sz w:val="20"/>
                <w:szCs w:val="20"/>
                <w:color w:val="0000EE"/>
                <w:highlight w:val="white"/>
                <w:w w:val="86"/>
              </w:rPr>
            </w:pPr>
            <w:hyperlink w:anchor="page104">
              <w:r>
                <w:rPr>
                  <w:rFonts w:ascii="Arial" w:cs="Arial" w:eastAsia="Arial" w:hAnsi="Arial"/>
                  <w:sz w:val="20"/>
                  <w:szCs w:val="20"/>
                  <w:color w:val="0000EE"/>
                  <w:highlight w:val="white"/>
                  <w:w w:val="86"/>
                </w:rPr>
                <w:t>ERISA</w:t>
              </w:r>
            </w:hyperlink>
          </w:p>
        </w:tc>
        <w:tc>
          <w:tcPr>
            <w:tcW w:w="5720" w:type="dxa"/>
            <w:vAlign w:val="bottom"/>
            <w:gridSpan w:val="33"/>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04">
              <w:r>
                <w:rPr>
                  <w:rFonts w:ascii="Arial" w:cs="Arial" w:eastAsia="Arial" w:hAnsi="Arial"/>
                  <w:sz w:val="20"/>
                  <w:szCs w:val="20"/>
                  <w:color w:val="0000EE"/>
                  <w:w w:val="80"/>
                </w:rPr>
                <w:t>55</w:t>
              </w:r>
            </w:hyperlink>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4">
              <w:r>
                <w:rPr>
                  <w:rFonts w:ascii="Arial" w:cs="Arial" w:eastAsia="Arial" w:hAnsi="Arial"/>
                  <w:sz w:val="20"/>
                  <w:szCs w:val="20"/>
                  <w:color w:val="0000EE"/>
                  <w:highlight w:val="white"/>
                </w:rPr>
                <w:t>Section 8.12.  Compliance with Laws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4">
              <w:r>
                <w:rPr>
                  <w:rFonts w:ascii="Arial" w:cs="Arial" w:eastAsia="Arial" w:hAnsi="Arial"/>
                  <w:sz w:val="20"/>
                  <w:szCs w:val="20"/>
                  <w:color w:val="0000EE"/>
                </w:rPr>
                <w:t>55</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1820" w:type="dxa"/>
            <w:vAlign w:val="bottom"/>
            <w:gridSpan w:val="21"/>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w w:val="99"/>
              </w:rPr>
            </w:pPr>
            <w:hyperlink w:anchor="page105">
              <w:r>
                <w:rPr>
                  <w:rFonts w:ascii="Arial" w:cs="Arial" w:eastAsia="Arial" w:hAnsi="Arial"/>
                  <w:sz w:val="20"/>
                  <w:szCs w:val="20"/>
                  <w:color w:val="0000EE"/>
                  <w:highlight w:val="white"/>
                  <w:w w:val="99"/>
                </w:rPr>
                <w:t>Section 8.13.  Compliance with OFAC Sanctions Programs and Anti-Corruption Laws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5">
              <w:r>
                <w:rPr>
                  <w:rFonts w:ascii="Arial" w:cs="Arial" w:eastAsia="Arial" w:hAnsi="Arial"/>
                  <w:sz w:val="20"/>
                  <w:szCs w:val="20"/>
                  <w:color w:val="0000EE"/>
                </w:rPr>
                <w:t>56</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2020" w:type="dxa"/>
            <w:vAlign w:val="bottom"/>
            <w:gridSpan w:val="24"/>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66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6">
              <w:r>
                <w:rPr>
                  <w:rFonts w:ascii="Arial" w:cs="Arial" w:eastAsia="Arial" w:hAnsi="Arial"/>
                  <w:sz w:val="20"/>
                  <w:szCs w:val="20"/>
                  <w:color w:val="0000EE"/>
                  <w:highlight w:val="white"/>
                </w:rPr>
                <w:t>Section 8.14.  Burdensome Contracts With Affiliates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6">
              <w:r>
                <w:rPr>
                  <w:rFonts w:ascii="Arial" w:cs="Arial" w:eastAsia="Arial" w:hAnsi="Arial"/>
                  <w:sz w:val="20"/>
                  <w:szCs w:val="20"/>
                  <w:color w:val="0000EE"/>
                </w:rPr>
                <w:t>57</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2020" w:type="dxa"/>
            <w:vAlign w:val="bottom"/>
            <w:gridSpan w:val="24"/>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6">
              <w:r>
                <w:rPr>
                  <w:rFonts w:ascii="Arial" w:cs="Arial" w:eastAsia="Arial" w:hAnsi="Arial"/>
                  <w:sz w:val="20"/>
                  <w:szCs w:val="20"/>
                  <w:color w:val="0000EE"/>
                  <w:highlight w:val="white"/>
                </w:rPr>
                <w:t>Section 8.15.  No Changes in Fiscal Year</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6">
              <w:r>
                <w:rPr>
                  <w:rFonts w:ascii="Arial" w:cs="Arial" w:eastAsia="Arial" w:hAnsi="Arial"/>
                  <w:sz w:val="20"/>
                  <w:szCs w:val="20"/>
                  <w:color w:val="0000EE"/>
                </w:rPr>
                <w:t>57</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2020" w:type="dxa"/>
            <w:vAlign w:val="bottom"/>
            <w:gridSpan w:val="24"/>
            <w:shd w:val="clear" w:color="auto" w:fill="0000EE"/>
          </w:tcPr>
          <w:p>
            <w:pPr>
              <w:spacing w:after="0" w:line="20" w:lineRule="exact"/>
              <w:rPr>
                <w:sz w:val="1"/>
                <w:szCs w:val="1"/>
                <w:color w:val="auto"/>
              </w:rPr>
            </w:pPr>
          </w:p>
        </w:tc>
        <w:tc>
          <w:tcPr>
            <w:tcW w:w="600" w:type="dxa"/>
            <w:vAlign w:val="bottom"/>
            <w:tcBorders>
              <w:left w:val="single" w:sz="8" w:color="0000EE"/>
            </w:tcBorders>
            <w:gridSpan w:val="4"/>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520" w:type="dxa"/>
            <w:vAlign w:val="bottom"/>
            <w:gridSpan w:val="41"/>
          </w:tcPr>
          <w:p>
            <w:pPr>
              <w:spacing w:after="0" w:line="203" w:lineRule="exact"/>
              <w:rPr>
                <w:rFonts w:ascii="Arial" w:cs="Arial" w:eastAsia="Arial" w:hAnsi="Arial"/>
                <w:sz w:val="20"/>
                <w:szCs w:val="20"/>
                <w:color w:val="0000EE"/>
                <w:highlight w:val="white"/>
              </w:rPr>
            </w:pPr>
            <w:hyperlink w:anchor="page106">
              <w:r>
                <w:rPr>
                  <w:rFonts w:ascii="Arial" w:cs="Arial" w:eastAsia="Arial" w:hAnsi="Arial"/>
                  <w:sz w:val="20"/>
                  <w:szCs w:val="20"/>
                  <w:color w:val="0000EE"/>
                  <w:highlight w:val="white"/>
                </w:rPr>
                <w:t>Section 8.16.  Formation of Subsidiaries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6">
              <w:r>
                <w:rPr>
                  <w:rFonts w:ascii="Arial" w:cs="Arial" w:eastAsia="Arial" w:hAnsi="Arial"/>
                  <w:sz w:val="20"/>
                  <w:szCs w:val="20"/>
                  <w:color w:val="0000EE"/>
                </w:rPr>
                <w:t>57</w:t>
              </w:r>
            </w:hyperlink>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2020" w:type="dxa"/>
            <w:vAlign w:val="bottom"/>
            <w:gridSpan w:val="2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60" w:type="dxa"/>
            <w:vAlign w:val="bottom"/>
            <w:gridSpan w:val="3"/>
          </w:tcPr>
          <w:p>
            <w:pPr>
              <w:spacing w:after="0" w:line="203" w:lineRule="exact"/>
              <w:rPr>
                <w:rFonts w:ascii="Arial" w:cs="Arial" w:eastAsia="Arial" w:hAnsi="Arial"/>
                <w:sz w:val="20"/>
                <w:szCs w:val="20"/>
                <w:color w:val="0000EE"/>
                <w:highlight w:val="white"/>
                <w:w w:val="87"/>
              </w:rPr>
            </w:pPr>
            <w:hyperlink w:anchor="page106">
              <w:r>
                <w:rPr>
                  <w:rFonts w:ascii="Arial" w:cs="Arial" w:eastAsia="Arial" w:hAnsi="Arial"/>
                  <w:sz w:val="20"/>
                  <w:szCs w:val="20"/>
                  <w:color w:val="0000EE"/>
                  <w:highlight w:val="white"/>
                  <w:w w:val="87"/>
                </w:rPr>
                <w:t>Section 8.17.</w:t>
              </w:r>
            </w:hyperlink>
          </w:p>
        </w:tc>
        <w:tc>
          <w:tcPr>
            <w:tcW w:w="200" w:type="dxa"/>
            <w:vAlign w:val="bottom"/>
          </w:tcPr>
          <w:p>
            <w:pPr>
              <w:spacing w:after="0"/>
              <w:rPr>
                <w:sz w:val="17"/>
                <w:szCs w:val="17"/>
                <w:color w:val="auto"/>
              </w:rPr>
            </w:pPr>
          </w:p>
        </w:tc>
        <w:tc>
          <w:tcPr>
            <w:tcW w:w="6260" w:type="dxa"/>
            <w:vAlign w:val="bottom"/>
            <w:gridSpan w:val="37"/>
          </w:tcPr>
          <w:p>
            <w:pPr>
              <w:spacing w:after="0" w:line="203" w:lineRule="exact"/>
              <w:rPr>
                <w:rFonts w:ascii="Arial" w:cs="Arial" w:eastAsia="Arial" w:hAnsi="Arial"/>
                <w:sz w:val="20"/>
                <w:szCs w:val="20"/>
                <w:color w:val="0000EE"/>
                <w:highlight w:val="white"/>
              </w:rPr>
            </w:pPr>
            <w:hyperlink w:anchor="page106">
              <w:r>
                <w:rPr>
                  <w:rFonts w:ascii="Arial" w:cs="Arial" w:eastAsia="Arial" w:hAnsi="Arial"/>
                  <w:sz w:val="20"/>
                  <w:szCs w:val="20"/>
                  <w:color w:val="0000EE"/>
                  <w:highlight w:val="white"/>
                </w:rPr>
                <w:t>Change in the Nature of Business</w:t>
              </w:r>
            </w:hyperlink>
          </w:p>
        </w:tc>
        <w:tc>
          <w:tcPr>
            <w:tcW w:w="780" w:type="dxa"/>
            <w:vAlign w:val="bottom"/>
            <w:gridSpan w:val="2"/>
          </w:tcPr>
          <w:p>
            <w:pPr>
              <w:jc w:val="right"/>
              <w:spacing w:after="0" w:line="203" w:lineRule="exact"/>
              <w:rPr>
                <w:rFonts w:ascii="Arial" w:cs="Arial" w:eastAsia="Arial" w:hAnsi="Arial"/>
                <w:sz w:val="20"/>
                <w:szCs w:val="20"/>
                <w:color w:val="0000EE"/>
              </w:rPr>
            </w:pPr>
            <w:hyperlink w:anchor="page106">
              <w:r>
                <w:rPr>
                  <w:rFonts w:ascii="Arial" w:cs="Arial" w:eastAsia="Arial" w:hAnsi="Arial"/>
                  <w:sz w:val="20"/>
                  <w:szCs w:val="20"/>
                  <w:color w:val="0000EE"/>
                </w:rPr>
                <w:t>57</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-6356985</wp:posOffset>
            </wp:positionV>
            <wp:extent cx="76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1182370</wp:posOffset>
            </wp:positionH>
            <wp:positionV relativeFrom="paragraph">
              <wp:posOffset>-6356985</wp:posOffset>
            </wp:positionV>
            <wp:extent cx="76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-6356985</wp:posOffset>
            </wp:positionV>
            <wp:extent cx="76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-6356985</wp:posOffset>
            </wp:positionV>
            <wp:extent cx="76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-6356985</wp:posOffset>
            </wp:positionV>
            <wp:extent cx="76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-6356985</wp:posOffset>
            </wp:positionV>
            <wp:extent cx="76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-6356985</wp:posOffset>
            </wp:positionV>
            <wp:extent cx="76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-6356985</wp:posOffset>
            </wp:positionV>
            <wp:extent cx="76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-6356985</wp:posOffset>
            </wp:positionV>
            <wp:extent cx="76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-6356985</wp:posOffset>
            </wp:positionV>
            <wp:extent cx="76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-6356985</wp:posOffset>
            </wp:positionV>
            <wp:extent cx="762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-6356985</wp:posOffset>
            </wp:positionV>
            <wp:extent cx="76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-6356985</wp:posOffset>
            </wp:positionV>
            <wp:extent cx="762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-6356985</wp:posOffset>
            </wp:positionV>
            <wp:extent cx="762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-6356985</wp:posOffset>
            </wp:positionV>
            <wp:extent cx="762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-6356985</wp:posOffset>
            </wp:positionV>
            <wp:extent cx="762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-6356985</wp:posOffset>
            </wp:positionV>
            <wp:extent cx="762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-6356985</wp:posOffset>
            </wp:positionV>
            <wp:extent cx="762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-6356985</wp:posOffset>
            </wp:positionV>
            <wp:extent cx="762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-6356985</wp:posOffset>
            </wp:positionV>
            <wp:extent cx="76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-6356985</wp:posOffset>
            </wp:positionV>
            <wp:extent cx="76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-6356985</wp:posOffset>
            </wp:positionV>
            <wp:extent cx="762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-6356985</wp:posOffset>
            </wp:positionV>
            <wp:extent cx="76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-6356985</wp:posOffset>
            </wp:positionV>
            <wp:extent cx="762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-6356985</wp:posOffset>
            </wp:positionV>
            <wp:extent cx="762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-6356985</wp:posOffset>
            </wp:positionV>
            <wp:extent cx="762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-6356985</wp:posOffset>
            </wp:positionV>
            <wp:extent cx="762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-6356985</wp:posOffset>
            </wp:positionV>
            <wp:extent cx="76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-6356985</wp:posOffset>
            </wp:positionV>
            <wp:extent cx="76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-6356985</wp:posOffset>
            </wp:positionV>
            <wp:extent cx="76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-6356985</wp:posOffset>
            </wp:positionV>
            <wp:extent cx="76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-6356985</wp:posOffset>
            </wp:positionV>
            <wp:extent cx="762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-6356985</wp:posOffset>
            </wp:positionV>
            <wp:extent cx="762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-6356985</wp:posOffset>
            </wp:positionV>
            <wp:extent cx="762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-6356985</wp:posOffset>
            </wp:positionV>
            <wp:extent cx="762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-6356985</wp:posOffset>
            </wp:positionV>
            <wp:extent cx="762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-6356985</wp:posOffset>
            </wp:positionV>
            <wp:extent cx="762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-6356985</wp:posOffset>
            </wp:positionV>
            <wp:extent cx="762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-6356985</wp:posOffset>
            </wp:positionV>
            <wp:extent cx="762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-6356985</wp:posOffset>
            </wp:positionV>
            <wp:extent cx="76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-6356985</wp:posOffset>
            </wp:positionV>
            <wp:extent cx="76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-6356985</wp:posOffset>
            </wp:positionV>
            <wp:extent cx="76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-6356985</wp:posOffset>
            </wp:positionV>
            <wp:extent cx="76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-6356985</wp:posOffset>
            </wp:positionV>
            <wp:extent cx="76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-6356985</wp:posOffset>
            </wp:positionV>
            <wp:extent cx="762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-6356985</wp:posOffset>
            </wp:positionV>
            <wp:extent cx="762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-6356985</wp:posOffset>
            </wp:positionV>
            <wp:extent cx="762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-6356985</wp:posOffset>
            </wp:positionV>
            <wp:extent cx="762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-6356985</wp:posOffset>
            </wp:positionV>
            <wp:extent cx="762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-6356985</wp:posOffset>
            </wp:positionV>
            <wp:extent cx="76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-6356985</wp:posOffset>
            </wp:positionV>
            <wp:extent cx="76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-6356985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-6356985</wp:posOffset>
            </wp:positionV>
            <wp:extent cx="762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-6356985</wp:posOffset>
            </wp:positionV>
            <wp:extent cx="762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-6356985</wp:posOffset>
            </wp:positionV>
            <wp:extent cx="762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-6356985</wp:posOffset>
            </wp:positionV>
            <wp:extent cx="762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-6356985</wp:posOffset>
            </wp:positionV>
            <wp:extent cx="76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-6356985</wp:posOffset>
            </wp:positionV>
            <wp:extent cx="76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-6356985</wp:posOffset>
            </wp:positionV>
            <wp:extent cx="762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-6356985</wp:posOffset>
            </wp:positionV>
            <wp:extent cx="762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-6356985</wp:posOffset>
            </wp:positionV>
            <wp:extent cx="762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-6356985</wp:posOffset>
            </wp:positionV>
            <wp:extent cx="762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-6356985</wp:posOffset>
            </wp:positionV>
            <wp:extent cx="762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-6356985</wp:posOffset>
            </wp:positionV>
            <wp:extent cx="762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-6356985</wp:posOffset>
            </wp:positionV>
            <wp:extent cx="762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-6356985</wp:posOffset>
            </wp:positionV>
            <wp:extent cx="762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-6356985</wp:posOffset>
            </wp:positionV>
            <wp:extent cx="762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-6356985</wp:posOffset>
            </wp:positionV>
            <wp:extent cx="762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-6356985</wp:posOffset>
            </wp:positionV>
            <wp:extent cx="76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-6356985</wp:posOffset>
            </wp:positionV>
            <wp:extent cx="76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-6356985</wp:posOffset>
            </wp:positionV>
            <wp:extent cx="762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-6356985</wp:posOffset>
            </wp:positionV>
            <wp:extent cx="762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-6356985</wp:posOffset>
            </wp:positionV>
            <wp:extent cx="762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-6356985</wp:posOffset>
            </wp:positionV>
            <wp:extent cx="762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-6356985</wp:posOffset>
            </wp:positionV>
            <wp:extent cx="762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-6356985</wp:posOffset>
            </wp:positionV>
            <wp:extent cx="762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-6356985</wp:posOffset>
            </wp:positionV>
            <wp:extent cx="762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-6356985</wp:posOffset>
            </wp:positionV>
            <wp:extent cx="762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-6356985</wp:posOffset>
            </wp:positionV>
            <wp:extent cx="762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-6356985</wp:posOffset>
            </wp:positionV>
            <wp:extent cx="762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-6356985</wp:posOffset>
            </wp:positionV>
            <wp:extent cx="762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-6356985</wp:posOffset>
            </wp:positionV>
            <wp:extent cx="762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-6356985</wp:posOffset>
            </wp:positionV>
            <wp:extent cx="762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-6356985</wp:posOffset>
            </wp:positionV>
            <wp:extent cx="762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-6356985</wp:posOffset>
            </wp:positionV>
            <wp:extent cx="762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-6356985</wp:posOffset>
            </wp:positionV>
            <wp:extent cx="762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-6356985</wp:posOffset>
            </wp:positionV>
            <wp:extent cx="762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-6356985</wp:posOffset>
            </wp:positionV>
            <wp:extent cx="762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-6356985</wp:posOffset>
            </wp:positionV>
            <wp:extent cx="762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-6356985</wp:posOffset>
            </wp:positionV>
            <wp:extent cx="762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-6356985</wp:posOffset>
            </wp:positionV>
            <wp:extent cx="762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-6356985</wp:posOffset>
            </wp:positionV>
            <wp:extent cx="76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-6356985</wp:posOffset>
            </wp:positionV>
            <wp:extent cx="76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-6356985</wp:posOffset>
            </wp:positionV>
            <wp:extent cx="762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-6356985</wp:posOffset>
            </wp:positionV>
            <wp:extent cx="76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-6356985</wp:posOffset>
            </wp:positionV>
            <wp:extent cx="762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-6356985</wp:posOffset>
            </wp:positionV>
            <wp:extent cx="762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-6356985</wp:posOffset>
            </wp:positionV>
            <wp:extent cx="762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-6356985</wp:posOffset>
            </wp:positionV>
            <wp:extent cx="762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-6356985</wp:posOffset>
            </wp:positionV>
            <wp:extent cx="76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-6356985</wp:posOffset>
            </wp:positionV>
            <wp:extent cx="76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-6356985</wp:posOffset>
            </wp:positionV>
            <wp:extent cx="76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-6356985</wp:posOffset>
            </wp:positionV>
            <wp:extent cx="76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-6356985</wp:posOffset>
            </wp:positionV>
            <wp:extent cx="76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-6356985</wp:posOffset>
            </wp:positionV>
            <wp:extent cx="76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-6356985</wp:posOffset>
            </wp:positionV>
            <wp:extent cx="7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-6356985</wp:posOffset>
            </wp:positionV>
            <wp:extent cx="7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-6356985</wp:posOffset>
            </wp:positionV>
            <wp:extent cx="762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-6356985</wp:posOffset>
            </wp:positionV>
            <wp:extent cx="762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-6356985</wp:posOffset>
            </wp:positionV>
            <wp:extent cx="76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-6356985</wp:posOffset>
            </wp:positionV>
            <wp:extent cx="762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-6356985</wp:posOffset>
            </wp:positionV>
            <wp:extent cx="76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-6356985</wp:posOffset>
            </wp:positionV>
            <wp:extent cx="762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-6356985</wp:posOffset>
            </wp:positionV>
            <wp:extent cx="762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-6356985</wp:posOffset>
            </wp:positionV>
            <wp:extent cx="762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-6356985</wp:posOffset>
            </wp:positionV>
            <wp:extent cx="762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-6356985</wp:posOffset>
            </wp:positionV>
            <wp:extent cx="762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-6356985</wp:posOffset>
            </wp:positionV>
            <wp:extent cx="762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-6356985</wp:posOffset>
            </wp:positionV>
            <wp:extent cx="762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-6356985</wp:posOffset>
            </wp:positionV>
            <wp:extent cx="762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-6356985</wp:posOffset>
            </wp:positionV>
            <wp:extent cx="762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-6356985</wp:posOffset>
            </wp:positionV>
            <wp:extent cx="762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-6356985</wp:posOffset>
            </wp:positionV>
            <wp:extent cx="762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-6356985</wp:posOffset>
            </wp:positionV>
            <wp:extent cx="762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-6356985</wp:posOffset>
            </wp:positionV>
            <wp:extent cx="76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-6356985</wp:posOffset>
            </wp:positionV>
            <wp:extent cx="762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-6356985</wp:posOffset>
            </wp:positionV>
            <wp:extent cx="76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-6356985</wp:posOffset>
            </wp:positionV>
            <wp:extent cx="76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-6356985</wp:posOffset>
            </wp:positionV>
            <wp:extent cx="76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-6356985</wp:posOffset>
            </wp:positionV>
            <wp:extent cx="762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-6356985</wp:posOffset>
            </wp:positionV>
            <wp:extent cx="76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-6356985</wp:posOffset>
            </wp:positionV>
            <wp:extent cx="762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-6356985</wp:posOffset>
            </wp:positionV>
            <wp:extent cx="762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-6356985</wp:posOffset>
            </wp:positionV>
            <wp:extent cx="762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-6356985</wp:posOffset>
            </wp:positionV>
            <wp:extent cx="762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-6356985</wp:posOffset>
            </wp:positionV>
            <wp:extent cx="762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-6356985</wp:posOffset>
            </wp:positionV>
            <wp:extent cx="762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-6356985</wp:posOffset>
            </wp:positionV>
            <wp:extent cx="762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-6356985</wp:posOffset>
            </wp:positionV>
            <wp:extent cx="762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-6356985</wp:posOffset>
            </wp:positionV>
            <wp:extent cx="76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-6356985</wp:posOffset>
            </wp:positionV>
            <wp:extent cx="762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-6356985</wp:posOffset>
            </wp:positionV>
            <wp:extent cx="76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-6356985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-6356985</wp:posOffset>
            </wp:positionV>
            <wp:extent cx="76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-6356985</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-6356985</wp:posOffset>
            </wp:positionV>
            <wp:extent cx="76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-6356985</wp:posOffset>
            </wp:positionV>
            <wp:extent cx="76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-6356985</wp:posOffset>
            </wp:positionV>
            <wp:extent cx="7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-6356985</wp:posOffset>
            </wp:positionV>
            <wp:extent cx="762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-6356985</wp:posOffset>
            </wp:positionV>
            <wp:extent cx="76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-6356985</wp:posOffset>
            </wp:positionV>
            <wp:extent cx="76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-6356985</wp:posOffset>
            </wp:positionV>
            <wp:extent cx="76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-6356985</wp:posOffset>
            </wp:positionV>
            <wp:extent cx="76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-6356985</wp:posOffset>
            </wp:positionV>
            <wp:extent cx="76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-6356985</wp:posOffset>
            </wp:positionV>
            <wp:extent cx="76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-6356985</wp:posOffset>
            </wp:positionV>
            <wp:extent cx="76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-6356985</wp:posOffset>
            </wp:positionV>
            <wp:extent cx="76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-6356985</wp:posOffset>
            </wp:positionV>
            <wp:extent cx="76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-6356985</wp:posOffset>
            </wp:positionV>
            <wp:extent cx="76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-6356985</wp:posOffset>
            </wp:positionV>
            <wp:extent cx="76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-6356985</wp:posOffset>
            </wp:positionV>
            <wp:extent cx="76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-6356985</wp:posOffset>
            </wp:positionV>
            <wp:extent cx="76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-6356985</wp:posOffset>
            </wp:positionV>
            <wp:extent cx="7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-6356985</wp:posOffset>
            </wp:positionV>
            <wp:extent cx="76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-6356985</wp:posOffset>
            </wp:positionV>
            <wp:extent cx="76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-6356985</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-6356985</wp:posOffset>
            </wp:positionV>
            <wp:extent cx="762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-6356985</wp:posOffset>
            </wp:positionV>
            <wp:extent cx="76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-6356985</wp:posOffset>
            </wp:positionV>
            <wp:extent cx="76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-6356985</wp:posOffset>
            </wp:positionV>
            <wp:extent cx="76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-6356985</wp:posOffset>
            </wp:positionV>
            <wp:extent cx="762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-6356985</wp:posOffset>
            </wp:positionV>
            <wp:extent cx="7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-6356985</wp:posOffset>
            </wp:positionV>
            <wp:extent cx="762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-6356985</wp:posOffset>
            </wp:positionV>
            <wp:extent cx="76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-6356985</wp:posOffset>
            </wp:positionV>
            <wp:extent cx="76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-6356985</wp:posOffset>
            </wp:positionV>
            <wp:extent cx="762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-6356985</wp:posOffset>
            </wp:positionV>
            <wp:extent cx="76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-6356985</wp:posOffset>
            </wp:positionV>
            <wp:extent cx="76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-6356985</wp:posOffset>
            </wp:positionV>
            <wp:extent cx="762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-6356985</wp:posOffset>
            </wp:positionV>
            <wp:extent cx="762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-6356985</wp:posOffset>
            </wp:positionV>
            <wp:extent cx="762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-6356985</wp:posOffset>
            </wp:positionV>
            <wp:extent cx="762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-6356985</wp:posOffset>
            </wp:positionV>
            <wp:extent cx="76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-6356985</wp:posOffset>
            </wp:positionV>
            <wp:extent cx="76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-6356985</wp:posOffset>
            </wp:positionV>
            <wp:extent cx="76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-6356985</wp:posOffset>
            </wp:positionV>
            <wp:extent cx="762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-6356985</wp:posOffset>
            </wp:positionV>
            <wp:extent cx="76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-6356985</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-6356985</wp:posOffset>
            </wp:positionV>
            <wp:extent cx="76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-6356985</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-6356985</wp:posOffset>
            </wp:positionV>
            <wp:extent cx="76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-6356985</wp:posOffset>
            </wp:positionV>
            <wp:extent cx="762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-6356985</wp:posOffset>
            </wp:positionV>
            <wp:extent cx="76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-6356985</wp:posOffset>
            </wp:positionV>
            <wp:extent cx="762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-6356985</wp:posOffset>
            </wp:positionV>
            <wp:extent cx="762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-6356985</wp:posOffset>
            </wp:positionV>
            <wp:extent cx="762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-6356985</wp:posOffset>
            </wp:positionV>
            <wp:extent cx="762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-6356985</wp:posOffset>
            </wp:positionV>
            <wp:extent cx="76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-6356985</wp:posOffset>
            </wp:positionV>
            <wp:extent cx="762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-6356985</wp:posOffset>
            </wp:positionV>
            <wp:extent cx="762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-6356985</wp:posOffset>
            </wp:positionV>
            <wp:extent cx="762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-6356985</wp:posOffset>
            </wp:positionV>
            <wp:extent cx="762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-6356985</wp:posOffset>
            </wp:positionV>
            <wp:extent cx="762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-6356985</wp:posOffset>
            </wp:positionV>
            <wp:extent cx="762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-6356985</wp:posOffset>
            </wp:positionV>
            <wp:extent cx="76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-6356985</wp:posOffset>
            </wp:positionV>
            <wp:extent cx="762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-6356985</wp:posOffset>
            </wp:positionV>
            <wp:extent cx="762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-6356985</wp:posOffset>
            </wp:positionV>
            <wp:extent cx="762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-6356985</wp:posOffset>
            </wp:positionV>
            <wp:extent cx="762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-6356985</wp:posOffset>
            </wp:positionV>
            <wp:extent cx="762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-6356985</wp:posOffset>
            </wp:positionV>
            <wp:extent cx="762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-6356985</wp:posOffset>
            </wp:positionV>
            <wp:extent cx="76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-6356985</wp:posOffset>
            </wp:positionV>
            <wp:extent cx="762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-6356985</wp:posOffset>
            </wp:positionV>
            <wp:extent cx="762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-6356985</wp:posOffset>
            </wp:positionV>
            <wp:extent cx="762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-6356985</wp:posOffset>
            </wp:positionV>
            <wp:extent cx="762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-6356985</wp:posOffset>
            </wp:positionV>
            <wp:extent cx="762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-6356985</wp:posOffset>
            </wp:positionV>
            <wp:extent cx="762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-6356985</wp:posOffset>
            </wp:positionV>
            <wp:extent cx="762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-6356985</wp:posOffset>
            </wp:positionV>
            <wp:extent cx="762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-6356985</wp:posOffset>
            </wp:positionV>
            <wp:extent cx="762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-6356985</wp:posOffset>
            </wp:positionV>
            <wp:extent cx="762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-6356985</wp:posOffset>
            </wp:positionV>
            <wp:extent cx="762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-6356985</wp:posOffset>
            </wp:positionV>
            <wp:extent cx="762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-6356985</wp:posOffset>
            </wp:positionV>
            <wp:extent cx="76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-6356985</wp:posOffset>
            </wp:positionV>
            <wp:extent cx="762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-6356985</wp:posOffset>
            </wp:positionV>
            <wp:extent cx="76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-6356985</wp:posOffset>
            </wp:positionV>
            <wp:extent cx="762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-6356985</wp:posOffset>
            </wp:positionV>
            <wp:extent cx="762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-6356985</wp:posOffset>
            </wp:positionV>
            <wp:extent cx="762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-6356985</wp:posOffset>
            </wp:positionV>
            <wp:extent cx="762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-6356985</wp:posOffset>
            </wp:positionV>
            <wp:extent cx="762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-6356985</wp:posOffset>
            </wp:positionV>
            <wp:extent cx="762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-6356985</wp:posOffset>
            </wp:positionV>
            <wp:extent cx="762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-6356985</wp:posOffset>
            </wp:positionV>
            <wp:extent cx="76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-6356985</wp:posOffset>
            </wp:positionV>
            <wp:extent cx="762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-6356985</wp:posOffset>
            </wp:positionV>
            <wp:extent cx="76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-6356985</wp:posOffset>
            </wp:positionV>
            <wp:extent cx="762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-6356985</wp:posOffset>
            </wp:positionV>
            <wp:extent cx="762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-6356985</wp:posOffset>
            </wp:positionV>
            <wp:extent cx="762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-6356985</wp:posOffset>
            </wp:positionV>
            <wp:extent cx="762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-6356985</wp:posOffset>
            </wp:positionV>
            <wp:extent cx="762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-6356985</wp:posOffset>
            </wp:positionV>
            <wp:extent cx="76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-6356985</wp:posOffset>
            </wp:positionV>
            <wp:extent cx="762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-6356985</wp:posOffset>
            </wp:positionV>
            <wp:extent cx="76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-6356985</wp:posOffset>
            </wp:positionV>
            <wp:extent cx="762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-6356985</wp:posOffset>
            </wp:positionV>
            <wp:extent cx="762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-6356985</wp:posOffset>
            </wp:positionV>
            <wp:extent cx="76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-6356985</wp:posOffset>
            </wp:positionV>
            <wp:extent cx="762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-6356985</wp:posOffset>
            </wp:positionV>
            <wp:extent cx="762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-6356985</wp:posOffset>
            </wp:positionV>
            <wp:extent cx="762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-6356985</wp:posOffset>
            </wp:positionV>
            <wp:extent cx="762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-6356985</wp:posOffset>
            </wp:positionV>
            <wp:extent cx="762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-6356985</wp:posOffset>
            </wp:positionV>
            <wp:extent cx="762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-6356985</wp:posOffset>
            </wp:positionV>
            <wp:extent cx="762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-6356985</wp:posOffset>
            </wp:positionV>
            <wp:extent cx="76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-6356985</wp:posOffset>
            </wp:positionV>
            <wp:extent cx="762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-6356985</wp:posOffset>
            </wp:positionV>
            <wp:extent cx="762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-6356985</wp:posOffset>
            </wp:positionV>
            <wp:extent cx="76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-6356985</wp:posOffset>
            </wp:positionV>
            <wp:extent cx="762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-6356985</wp:posOffset>
            </wp:positionV>
            <wp:extent cx="76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-6356985</wp:posOffset>
            </wp:positionV>
            <wp:extent cx="762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-6356985</wp:posOffset>
            </wp:positionV>
            <wp:extent cx="762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-6356985</wp:posOffset>
            </wp:positionV>
            <wp:extent cx="762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-6356985</wp:posOffset>
            </wp:positionV>
            <wp:extent cx="762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-6356985</wp:posOffset>
            </wp:positionV>
            <wp:extent cx="762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-6356985</wp:posOffset>
            </wp:positionV>
            <wp:extent cx="76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-6356985</wp:posOffset>
            </wp:positionV>
            <wp:extent cx="76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-6356985</wp:posOffset>
            </wp:positionV>
            <wp:extent cx="762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-6459220</wp:posOffset>
            </wp:positionV>
            <wp:extent cx="5461635" cy="64757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5461635" cy="647573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-6459220</wp:posOffset>
            </wp:positionV>
            <wp:extent cx="5461635" cy="64757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5461635" cy="647573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321945</wp:posOffset>
            </wp:positionV>
            <wp:extent cx="5461635" cy="234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46" w:name="page47"/>
    <w:bookmarkEnd w:id="46"/>
    <w:tbl>
      <w:tblPr>
        <w:tblLayout w:type="fixed"/>
        <w:tblInd w:w="20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7760" w:type="dxa"/>
            <w:vAlign w:val="bottom"/>
            <w:gridSpan w:val="39"/>
          </w:tcPr>
          <w:p>
            <w:pPr>
              <w:spacing w:after="0"/>
              <w:rPr>
                <w:rFonts w:ascii="Arial" w:cs="Arial" w:eastAsia="Arial" w:hAnsi="Arial"/>
                <w:sz w:val="20"/>
                <w:szCs w:val="20"/>
                <w:color w:val="0000EE"/>
                <w:highlight w:val="white"/>
              </w:rPr>
            </w:pPr>
            <w:hyperlink w:anchor="page106">
              <w:r>
                <w:rPr>
                  <w:rFonts w:ascii="Arial" w:cs="Arial" w:eastAsia="Arial" w:hAnsi="Arial"/>
                  <w:sz w:val="20"/>
                  <w:szCs w:val="20"/>
                  <w:color w:val="0000EE"/>
                  <w:highlight w:val="white"/>
                </w:rPr>
                <w:t>Section 8.18.  Use of Proceeds</w:t>
              </w:r>
            </w:hyperlink>
          </w:p>
        </w:tc>
        <w:tc>
          <w:tcPr>
            <w:tcW w:w="540" w:type="dxa"/>
            <w:vAlign w:val="bottom"/>
            <w:gridSpan w:val="2"/>
          </w:tcPr>
          <w:p>
            <w:pPr>
              <w:jc w:val="right"/>
              <w:spacing w:after="0"/>
              <w:rPr>
                <w:rFonts w:ascii="Arial" w:cs="Arial" w:eastAsia="Arial" w:hAnsi="Arial"/>
                <w:sz w:val="20"/>
                <w:szCs w:val="20"/>
                <w:color w:val="0000EE"/>
              </w:rPr>
            </w:pPr>
            <w:hyperlink w:anchor="page106">
              <w:r>
                <w:rPr>
                  <w:rFonts w:ascii="Arial" w:cs="Arial" w:eastAsia="Arial" w:hAnsi="Arial"/>
                  <w:sz w:val="20"/>
                  <w:szCs w:val="20"/>
                  <w:color w:val="0000EE"/>
                </w:rPr>
                <w:t>57</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06">
              <w:r>
                <w:rPr>
                  <w:rFonts w:ascii="Arial" w:cs="Arial" w:eastAsia="Arial" w:hAnsi="Arial"/>
                  <w:sz w:val="20"/>
                  <w:szCs w:val="20"/>
                  <w:color w:val="0000EE"/>
                  <w:highlight w:val="white"/>
                  <w:w w:val="85"/>
                </w:rPr>
                <w:t>Section 8.19.</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5"/>
          </w:tcPr>
          <w:p>
            <w:pPr>
              <w:spacing w:after="0" w:line="203" w:lineRule="exact"/>
              <w:rPr>
                <w:rFonts w:ascii="Arial" w:cs="Arial" w:eastAsia="Arial" w:hAnsi="Arial"/>
                <w:sz w:val="20"/>
                <w:szCs w:val="20"/>
                <w:color w:val="0000EE"/>
                <w:highlight w:val="white"/>
                <w:w w:val="86"/>
              </w:rPr>
            </w:pPr>
            <w:hyperlink w:anchor="page106">
              <w:r>
                <w:rPr>
                  <w:rFonts w:ascii="Arial" w:cs="Arial" w:eastAsia="Arial" w:hAnsi="Arial"/>
                  <w:sz w:val="20"/>
                  <w:szCs w:val="20"/>
                  <w:color w:val="0000EE"/>
                  <w:highlight w:val="white"/>
                  <w:w w:val="86"/>
                </w:rPr>
                <w:t>No Restrictions</w:t>
              </w:r>
            </w:hyperlink>
          </w:p>
        </w:tc>
        <w:tc>
          <w:tcPr>
            <w:tcW w:w="20" w:type="dxa"/>
            <w:vAlign w:val="bottom"/>
            <w:tcBorders>
              <w:top w:val="single" w:sz="8" w:color="0000EE"/>
            </w:tcBorders>
          </w:tcPr>
          <w:p>
            <w:pPr>
              <w:spacing w:after="0"/>
              <w:rPr>
                <w:sz w:val="17"/>
                <w:szCs w:val="17"/>
                <w:color w:val="auto"/>
              </w:rPr>
            </w:pPr>
          </w:p>
        </w:tc>
        <w:tc>
          <w:tcPr>
            <w:tcW w:w="5260" w:type="dxa"/>
            <w:vAlign w:val="bottom"/>
            <w:gridSpan w:val="26"/>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06">
              <w:r>
                <w:rPr>
                  <w:rFonts w:ascii="Arial" w:cs="Arial" w:eastAsia="Arial" w:hAnsi="Arial"/>
                  <w:sz w:val="20"/>
                  <w:szCs w:val="20"/>
                  <w:color w:val="0000EE"/>
                  <w:w w:val="80"/>
                </w:rPr>
                <w:t>58</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07">
              <w:r>
                <w:rPr>
                  <w:rFonts w:ascii="Arial" w:cs="Arial" w:eastAsia="Arial" w:hAnsi="Arial"/>
                  <w:sz w:val="20"/>
                  <w:szCs w:val="20"/>
                  <w:color w:val="0000EE"/>
                  <w:highlight w:val="white"/>
                  <w:w w:val="85"/>
                </w:rPr>
                <w:t>Section 8.20.</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203" w:lineRule="exact"/>
              <w:rPr>
                <w:rFonts w:ascii="Arial" w:cs="Arial" w:eastAsia="Arial" w:hAnsi="Arial"/>
                <w:sz w:val="20"/>
                <w:szCs w:val="20"/>
                <w:color w:val="0000EE"/>
                <w:highlight w:val="white"/>
                <w:w w:val="86"/>
              </w:rPr>
            </w:pPr>
            <w:hyperlink w:anchor="page107">
              <w:r>
                <w:rPr>
                  <w:rFonts w:ascii="Arial" w:cs="Arial" w:eastAsia="Arial" w:hAnsi="Arial"/>
                  <w:sz w:val="20"/>
                  <w:szCs w:val="20"/>
                  <w:color w:val="0000EE"/>
                  <w:highlight w:val="white"/>
                  <w:w w:val="86"/>
                </w:rPr>
                <w:t>Financial Covenants</w:t>
              </w:r>
            </w:hyperlink>
          </w:p>
        </w:tc>
        <w:tc>
          <w:tcPr>
            <w:tcW w:w="4900" w:type="dxa"/>
            <w:vAlign w:val="bottom"/>
            <w:gridSpan w:val="21"/>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07">
              <w:r>
                <w:rPr>
                  <w:rFonts w:ascii="Arial" w:cs="Arial" w:eastAsia="Arial" w:hAnsi="Arial"/>
                  <w:sz w:val="20"/>
                  <w:szCs w:val="20"/>
                  <w:color w:val="0000EE"/>
                  <w:w w:val="80"/>
                </w:rPr>
                <w:t>58</w:t>
              </w:r>
            </w:hyperlink>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07">
              <w:r>
                <w:rPr>
                  <w:rFonts w:ascii="Arial" w:cs="Arial" w:eastAsia="Arial" w:hAnsi="Arial"/>
                  <w:sz w:val="20"/>
                  <w:szCs w:val="20"/>
                  <w:color w:val="0000EE"/>
                  <w:highlight w:val="white"/>
                </w:rPr>
                <w:t>Section 8.21.  Borrowing Base Covenant</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07">
              <w:r>
                <w:rPr>
                  <w:rFonts w:ascii="Arial" w:cs="Arial" w:eastAsia="Arial" w:hAnsi="Arial"/>
                  <w:sz w:val="20"/>
                  <w:szCs w:val="20"/>
                  <w:color w:val="0000EE"/>
                </w:rPr>
                <w:t>58</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07">
              <w:r>
                <w:rPr>
                  <w:rFonts w:ascii="Arial" w:cs="Arial" w:eastAsia="Arial" w:hAnsi="Arial"/>
                  <w:sz w:val="20"/>
                  <w:szCs w:val="20"/>
                  <w:color w:val="0000EE"/>
                  <w:highlight w:val="white"/>
                </w:rPr>
                <w:t>Section 8.22.  Electronic Delivery of Certain Information</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07">
              <w:r>
                <w:rPr>
                  <w:rFonts w:ascii="Arial" w:cs="Arial" w:eastAsia="Arial" w:hAnsi="Arial"/>
                  <w:sz w:val="20"/>
                  <w:szCs w:val="20"/>
                  <w:color w:val="0000EE"/>
                </w:rPr>
                <w:t>59</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09">
              <w:r>
                <w:rPr>
                  <w:rFonts w:ascii="Arial" w:cs="Arial" w:eastAsia="Arial" w:hAnsi="Arial"/>
                  <w:sz w:val="20"/>
                  <w:szCs w:val="20"/>
                  <w:color w:val="0000EE"/>
                  <w:highlight w:val="white"/>
                </w:rPr>
                <w:t>Section 8.23.  Evidence of Payment of Florida Intangibles Tax</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09">
              <w:r>
                <w:rPr>
                  <w:rFonts w:ascii="Arial" w:cs="Arial" w:eastAsia="Arial" w:hAnsi="Arial"/>
                  <w:sz w:val="20"/>
                  <w:szCs w:val="20"/>
                  <w:color w:val="0000EE"/>
                </w:rPr>
                <w:t>60</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tcBorders>
            <w:gridSpan w:val="5"/>
          </w:tcPr>
          <w:p>
            <w:pPr>
              <w:spacing w:after="0" w:line="203" w:lineRule="exact"/>
              <w:rPr>
                <w:rFonts w:ascii="Arial" w:cs="Arial" w:eastAsia="Arial" w:hAnsi="Arial"/>
                <w:sz w:val="20"/>
                <w:szCs w:val="20"/>
                <w:color w:val="0000EE"/>
                <w:highlight w:val="white"/>
                <w:w w:val="85"/>
              </w:rPr>
            </w:pPr>
            <w:hyperlink w:anchor="page109">
              <w:r>
                <w:rPr>
                  <w:rFonts w:ascii="Arial" w:cs="Arial" w:eastAsia="Arial" w:hAnsi="Arial"/>
                  <w:sz w:val="20"/>
                  <w:szCs w:val="20"/>
                  <w:color w:val="0000EE"/>
                  <w:highlight w:val="white"/>
                  <w:w w:val="85"/>
                </w:rPr>
                <w:t>Section 8.24.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60" w:type="dxa"/>
            <w:vAlign w:val="bottom"/>
            <w:tcBorders>
              <w:top w:val="single" w:sz="8" w:color="0000EE"/>
            </w:tcBorders>
            <w:gridSpan w:val="25"/>
          </w:tcPr>
          <w:p>
            <w:pPr>
              <w:spacing w:after="0" w:line="203" w:lineRule="exact"/>
              <w:rPr>
                <w:rFonts w:ascii="Arial" w:cs="Arial" w:eastAsia="Arial" w:hAnsi="Arial"/>
                <w:sz w:val="20"/>
                <w:szCs w:val="20"/>
                <w:color w:val="0000EE"/>
                <w:highlight w:val="white"/>
              </w:rPr>
            </w:pPr>
            <w:hyperlink w:anchor="page109">
              <w:r>
                <w:rPr>
                  <w:rFonts w:ascii="Arial" w:cs="Arial" w:eastAsia="Arial" w:hAnsi="Arial"/>
                  <w:sz w:val="20"/>
                  <w:szCs w:val="20"/>
                  <w:color w:val="0000EE"/>
                  <w:highlight w:val="white"/>
                </w:rPr>
                <w:t>REIT Status</w:t>
              </w:r>
            </w:hyperlink>
          </w:p>
        </w:tc>
        <w:tc>
          <w:tcPr>
            <w:tcW w:w="272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09">
              <w:r>
                <w:rPr>
                  <w:rFonts w:ascii="Arial" w:cs="Arial" w:eastAsia="Arial" w:hAnsi="Arial"/>
                  <w:sz w:val="20"/>
                  <w:szCs w:val="20"/>
                  <w:color w:val="0000EE"/>
                  <w:w w:val="80"/>
                </w:rPr>
                <w:t>60</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09">
              <w:r>
                <w:rPr>
                  <w:rFonts w:ascii="Arial" w:cs="Arial" w:eastAsia="Arial" w:hAnsi="Arial"/>
                  <w:sz w:val="20"/>
                  <w:szCs w:val="20"/>
                  <w:color w:val="0000EE"/>
                  <w:highlight w:val="white"/>
                  <w:w w:val="85"/>
                </w:rPr>
                <w:t>Section 8.25.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203" w:lineRule="exact"/>
              <w:rPr>
                <w:rFonts w:ascii="Arial" w:cs="Arial" w:eastAsia="Arial" w:hAnsi="Arial"/>
                <w:sz w:val="20"/>
                <w:szCs w:val="20"/>
                <w:color w:val="0000EE"/>
                <w:highlight w:val="white"/>
                <w:w w:val="84"/>
              </w:rPr>
            </w:pPr>
            <w:hyperlink w:anchor="page109">
              <w:r>
                <w:rPr>
                  <w:rFonts w:ascii="Arial" w:cs="Arial" w:eastAsia="Arial" w:hAnsi="Arial"/>
                  <w:sz w:val="20"/>
                  <w:szCs w:val="20"/>
                  <w:color w:val="0000EE"/>
                  <w:highlight w:val="white"/>
                  <w:w w:val="84"/>
                </w:rPr>
                <w:t>Restricted Payments</w:t>
              </w:r>
            </w:hyperlink>
          </w:p>
        </w:tc>
        <w:tc>
          <w:tcPr>
            <w:tcW w:w="4900" w:type="dxa"/>
            <w:vAlign w:val="bottom"/>
            <w:gridSpan w:val="21"/>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09">
              <w:r>
                <w:rPr>
                  <w:rFonts w:ascii="Arial" w:cs="Arial" w:eastAsia="Arial" w:hAnsi="Arial"/>
                  <w:sz w:val="20"/>
                  <w:szCs w:val="20"/>
                  <w:color w:val="0000EE"/>
                  <w:w w:val="80"/>
                </w:rPr>
                <w:t>60</w:t>
              </w:r>
            </w:hyperlink>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10">
              <w:r>
                <w:rPr>
                  <w:rFonts w:ascii="Arial" w:cs="Arial" w:eastAsia="Arial" w:hAnsi="Arial"/>
                  <w:sz w:val="20"/>
                  <w:szCs w:val="20"/>
                  <w:color w:val="0000EE"/>
                  <w:highlight w:val="white"/>
                </w:rPr>
                <w:t>Section 8.26.  Other Unsecured Indebtedness Guarantees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0">
              <w:r>
                <w:rPr>
                  <w:rFonts w:ascii="Arial" w:cs="Arial" w:eastAsia="Arial" w:hAnsi="Arial"/>
                  <w:sz w:val="20"/>
                  <w:szCs w:val="20"/>
                  <w:color w:val="0000EE"/>
                </w:rPr>
                <w:t>61</w:t>
              </w:r>
            </w:hyperlink>
          </w:p>
        </w:tc>
      </w:tr>
      <w:tr>
        <w:trPr>
          <w:trHeight w:val="20"/>
        </w:trPr>
        <w:tc>
          <w:tcPr>
            <w:tcW w:w="3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1040" w:type="dxa"/>
            <w:vAlign w:val="bottom"/>
            <w:gridSpan w:val="2"/>
          </w:tcPr>
          <w:p>
            <w:pPr>
              <w:spacing w:after="0"/>
              <w:rPr>
                <w:rFonts w:ascii="Arial" w:cs="Arial" w:eastAsia="Arial" w:hAnsi="Arial"/>
                <w:sz w:val="20"/>
                <w:szCs w:val="20"/>
                <w:color w:val="0000EE"/>
                <w:w w:val="91"/>
              </w:rPr>
            </w:pPr>
            <w:hyperlink w:anchor="page110">
              <w:r>
                <w:rPr>
                  <w:rFonts w:ascii="Arial" w:cs="Arial" w:eastAsia="Arial" w:hAnsi="Arial"/>
                  <w:sz w:val="20"/>
                  <w:szCs w:val="20"/>
                  <w:color w:val="0000EE"/>
                  <w:w w:val="91"/>
                </w:rPr>
                <w:t>SECTION 9.</w:t>
              </w:r>
            </w:hyperlink>
          </w:p>
        </w:tc>
        <w:tc>
          <w:tcPr>
            <w:tcW w:w="3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32"/>
          </w:tcPr>
          <w:p>
            <w:pPr>
              <w:spacing w:after="0"/>
              <w:rPr>
                <w:rFonts w:ascii="Arial" w:cs="Arial" w:eastAsia="Arial" w:hAnsi="Arial"/>
                <w:sz w:val="20"/>
                <w:szCs w:val="20"/>
                <w:color w:val="0000EE"/>
              </w:rPr>
            </w:pPr>
            <w:hyperlink w:anchor="page110">
              <w:r>
                <w:rPr>
                  <w:rFonts w:ascii="Arial" w:cs="Arial" w:eastAsia="Arial" w:hAnsi="Arial"/>
                  <w:sz w:val="20"/>
                  <w:szCs w:val="20"/>
                  <w:color w:val="0000EE"/>
                </w:rPr>
                <w:t>Events of Default and Remedies</w:t>
              </w:r>
            </w:hyperlink>
          </w:p>
        </w:tc>
        <w:tc>
          <w:tcPr>
            <w:tcW w:w="540" w:type="dxa"/>
            <w:vAlign w:val="bottom"/>
            <w:gridSpan w:val="2"/>
          </w:tcPr>
          <w:p>
            <w:pPr>
              <w:jc w:val="right"/>
              <w:spacing w:after="0"/>
              <w:rPr>
                <w:rFonts w:ascii="Arial" w:cs="Arial" w:eastAsia="Arial" w:hAnsi="Arial"/>
                <w:sz w:val="20"/>
                <w:szCs w:val="20"/>
                <w:color w:val="0000EE"/>
              </w:rPr>
            </w:pPr>
            <w:hyperlink w:anchor="page110">
              <w:r>
                <w:rPr>
                  <w:rFonts w:ascii="Arial" w:cs="Arial" w:eastAsia="Arial" w:hAnsi="Arial"/>
                  <w:sz w:val="20"/>
                  <w:szCs w:val="20"/>
                  <w:color w:val="0000EE"/>
                </w:rPr>
                <w:t>61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760" w:type="dxa"/>
            <w:vAlign w:val="bottom"/>
            <w:gridSpan w:val="39"/>
          </w:tcPr>
          <w:p>
            <w:pPr>
              <w:spacing w:after="0"/>
              <w:rPr>
                <w:rFonts w:ascii="Arial" w:cs="Arial" w:eastAsia="Arial" w:hAnsi="Arial"/>
                <w:sz w:val="20"/>
                <w:szCs w:val="20"/>
                <w:color w:val="0000EE"/>
                <w:highlight w:val="white"/>
              </w:rPr>
            </w:pPr>
            <w:hyperlink w:anchor="page110">
              <w:r>
                <w:rPr>
                  <w:rFonts w:ascii="Arial" w:cs="Arial" w:eastAsia="Arial" w:hAnsi="Arial"/>
                  <w:sz w:val="20"/>
                  <w:szCs w:val="20"/>
                  <w:color w:val="0000EE"/>
                  <w:highlight w:val="white"/>
                </w:rPr>
                <w:t>Section 9.1.   Events of Default</w:t>
              </w:r>
            </w:hyperlink>
          </w:p>
        </w:tc>
        <w:tc>
          <w:tcPr>
            <w:tcW w:w="540" w:type="dxa"/>
            <w:vAlign w:val="bottom"/>
            <w:gridSpan w:val="2"/>
          </w:tcPr>
          <w:p>
            <w:pPr>
              <w:jc w:val="right"/>
              <w:spacing w:after="0"/>
              <w:rPr>
                <w:rFonts w:ascii="Arial" w:cs="Arial" w:eastAsia="Arial" w:hAnsi="Arial"/>
                <w:sz w:val="20"/>
                <w:szCs w:val="20"/>
                <w:color w:val="0000EE"/>
              </w:rPr>
            </w:pPr>
            <w:hyperlink w:anchor="page110">
              <w:r>
                <w:rPr>
                  <w:rFonts w:ascii="Arial" w:cs="Arial" w:eastAsia="Arial" w:hAnsi="Arial"/>
                  <w:sz w:val="20"/>
                  <w:szCs w:val="20"/>
                  <w:color w:val="0000EE"/>
                </w:rPr>
                <w:t>61</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940" w:type="dxa"/>
            <w:vAlign w:val="bottom"/>
            <w:gridSpan w:val="4"/>
          </w:tcPr>
          <w:p>
            <w:pPr>
              <w:spacing w:after="0" w:line="203" w:lineRule="exact"/>
              <w:rPr>
                <w:rFonts w:ascii="Arial" w:cs="Arial" w:eastAsia="Arial" w:hAnsi="Arial"/>
                <w:sz w:val="20"/>
                <w:szCs w:val="20"/>
                <w:color w:val="0000EE"/>
                <w:highlight w:val="white"/>
                <w:w w:val="85"/>
              </w:rPr>
            </w:pPr>
            <w:hyperlink w:anchor="page112">
              <w:r>
                <w:rPr>
                  <w:rFonts w:ascii="Arial" w:cs="Arial" w:eastAsia="Arial" w:hAnsi="Arial"/>
                  <w:sz w:val="20"/>
                  <w:szCs w:val="20"/>
                  <w:color w:val="0000EE"/>
                  <w:highlight w:val="white"/>
                  <w:w w:val="85"/>
                </w:rPr>
                <w:t>Section 9.2.</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80" w:type="dxa"/>
            <w:vAlign w:val="bottom"/>
            <w:gridSpan w:val="32"/>
          </w:tcPr>
          <w:p>
            <w:pPr>
              <w:spacing w:after="0" w:line="203" w:lineRule="exact"/>
              <w:rPr>
                <w:rFonts w:ascii="Arial" w:cs="Arial" w:eastAsia="Arial" w:hAnsi="Arial"/>
                <w:sz w:val="20"/>
                <w:szCs w:val="20"/>
                <w:color w:val="0000EE"/>
                <w:highlight w:val="white"/>
              </w:rPr>
            </w:pPr>
            <w:hyperlink w:anchor="page112">
              <w:r>
                <w:rPr>
                  <w:rFonts w:ascii="Arial" w:cs="Arial" w:eastAsia="Arial" w:hAnsi="Arial"/>
                  <w:sz w:val="20"/>
                  <w:szCs w:val="20"/>
                  <w:color w:val="0000EE"/>
                  <w:highlight w:val="white"/>
                </w:rPr>
                <w:t>NonBankruptcy Defaults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2">
              <w:r>
                <w:rPr>
                  <w:rFonts w:ascii="Arial" w:cs="Arial" w:eastAsia="Arial" w:hAnsi="Arial"/>
                  <w:sz w:val="20"/>
                  <w:szCs w:val="20"/>
                  <w:color w:val="0000EE"/>
                </w:rPr>
                <w:t>64</w:t>
              </w:r>
            </w:hyperlink>
          </w:p>
        </w:tc>
      </w:tr>
      <w:tr>
        <w:trPr>
          <w:trHeight w:val="203"/>
        </w:trPr>
        <w:tc>
          <w:tcPr>
            <w:tcW w:w="300" w:type="dxa"/>
            <w:vAlign w:val="bottom"/>
          </w:tcPr>
          <w:p>
            <w:pPr>
              <w:spacing w:after="0"/>
              <w:rPr>
                <w:sz w:val="17"/>
                <w:szCs w:val="17"/>
                <w:color w:val="auto"/>
              </w:rPr>
            </w:pPr>
          </w:p>
        </w:tc>
        <w:tc>
          <w:tcPr>
            <w:tcW w:w="940" w:type="dxa"/>
            <w:vAlign w:val="bottom"/>
            <w:tcBorders>
              <w:top w:val="single" w:sz="8" w:color="0000EE"/>
            </w:tcBorders>
            <w:gridSpan w:val="4"/>
          </w:tcPr>
          <w:p>
            <w:pPr>
              <w:spacing w:after="0" w:line="203" w:lineRule="exact"/>
              <w:rPr>
                <w:rFonts w:ascii="Arial" w:cs="Arial" w:eastAsia="Arial" w:hAnsi="Arial"/>
                <w:sz w:val="20"/>
                <w:szCs w:val="20"/>
                <w:color w:val="0000EE"/>
                <w:highlight w:val="white"/>
                <w:w w:val="85"/>
              </w:rPr>
            </w:pPr>
            <w:hyperlink w:anchor="page113">
              <w:r>
                <w:rPr>
                  <w:rFonts w:ascii="Arial" w:cs="Arial" w:eastAsia="Arial" w:hAnsi="Arial"/>
                  <w:sz w:val="20"/>
                  <w:szCs w:val="20"/>
                  <w:color w:val="0000EE"/>
                  <w:highlight w:val="white"/>
                  <w:w w:val="85"/>
                </w:rPr>
                <w:t>Section 9.3.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top w:val="single" w:sz="8" w:color="0000EE"/>
            </w:tcBorders>
            <w:gridSpan w:val="13"/>
          </w:tcPr>
          <w:p>
            <w:pPr>
              <w:spacing w:after="0" w:line="203" w:lineRule="exact"/>
              <w:rPr>
                <w:rFonts w:ascii="Arial" w:cs="Arial" w:eastAsia="Arial" w:hAnsi="Arial"/>
                <w:sz w:val="20"/>
                <w:szCs w:val="20"/>
                <w:color w:val="0000EE"/>
                <w:highlight w:val="white"/>
              </w:rPr>
            </w:pPr>
            <w:hyperlink w:anchor="page113">
              <w:r>
                <w:rPr>
                  <w:rFonts w:ascii="Arial" w:cs="Arial" w:eastAsia="Arial" w:hAnsi="Arial"/>
                  <w:sz w:val="20"/>
                  <w:szCs w:val="20"/>
                  <w:color w:val="0000EE"/>
                  <w:highlight w:val="white"/>
                </w:rPr>
                <w:t>Bankruptcy Defaults</w:t>
              </w:r>
            </w:hyperlink>
          </w:p>
        </w:tc>
        <w:tc>
          <w:tcPr>
            <w:tcW w:w="4580" w:type="dxa"/>
            <w:vAlign w:val="bottom"/>
            <w:gridSpan w:val="19"/>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13">
              <w:r>
                <w:rPr>
                  <w:rFonts w:ascii="Arial" w:cs="Arial" w:eastAsia="Arial" w:hAnsi="Arial"/>
                  <w:sz w:val="20"/>
                  <w:szCs w:val="20"/>
                  <w:color w:val="0000EE"/>
                  <w:w w:val="80"/>
                </w:rPr>
                <w:t>64</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13">
              <w:r>
                <w:rPr>
                  <w:rFonts w:ascii="Arial" w:cs="Arial" w:eastAsia="Arial" w:hAnsi="Arial"/>
                  <w:sz w:val="20"/>
                  <w:szCs w:val="20"/>
                  <w:color w:val="0000EE"/>
                  <w:highlight w:val="white"/>
                </w:rPr>
                <w:t>Section 9.4.   Notice of Default</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3">
              <w:r>
                <w:rPr>
                  <w:rFonts w:ascii="Arial" w:cs="Arial" w:eastAsia="Arial" w:hAnsi="Arial"/>
                  <w:sz w:val="20"/>
                  <w:szCs w:val="20"/>
                  <w:color w:val="0000EE"/>
                </w:rPr>
                <w:t>64</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1140" w:type="dxa"/>
            <w:vAlign w:val="bottom"/>
            <w:tcBorders>
              <w:bottom w:val="single" w:sz="8" w:color="0000EE"/>
            </w:tcBorders>
            <w:gridSpan w:val="4"/>
          </w:tcPr>
          <w:p>
            <w:pPr>
              <w:spacing w:after="0"/>
              <w:rPr>
                <w:rFonts w:ascii="Arial" w:cs="Arial" w:eastAsia="Arial" w:hAnsi="Arial"/>
                <w:sz w:val="20"/>
                <w:szCs w:val="20"/>
                <w:color w:val="0000EE"/>
                <w:w w:val="91"/>
              </w:rPr>
            </w:pPr>
            <w:hyperlink w:anchor="page113">
              <w:r>
                <w:rPr>
                  <w:rFonts w:ascii="Arial" w:cs="Arial" w:eastAsia="Arial" w:hAnsi="Arial"/>
                  <w:sz w:val="20"/>
                  <w:szCs w:val="20"/>
                  <w:color w:val="0000EE"/>
                  <w:w w:val="91"/>
                </w:rPr>
                <w:t>SECTION 10.</w:t>
              </w:r>
            </w:hyperlink>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14"/>
          </w:tcPr>
          <w:p>
            <w:pPr>
              <w:spacing w:after="0"/>
              <w:rPr>
                <w:rFonts w:ascii="Arial" w:cs="Arial" w:eastAsia="Arial" w:hAnsi="Arial"/>
                <w:sz w:val="20"/>
                <w:szCs w:val="20"/>
                <w:color w:val="0000EE"/>
                <w:w w:val="86"/>
              </w:rPr>
            </w:pPr>
            <w:hyperlink w:anchor="page113">
              <w:r>
                <w:rPr>
                  <w:rFonts w:ascii="Arial" w:cs="Arial" w:eastAsia="Arial" w:hAnsi="Arial"/>
                  <w:sz w:val="20"/>
                  <w:szCs w:val="20"/>
                  <w:color w:val="0000EE"/>
                  <w:w w:val="86"/>
                </w:rPr>
                <w:t>Change in Circumstances.</w:t>
              </w:r>
            </w:hyperlink>
          </w:p>
        </w:tc>
        <w:tc>
          <w:tcPr>
            <w:tcW w:w="4420" w:type="dxa"/>
            <w:vAlign w:val="bottom"/>
            <w:gridSpan w:val="18"/>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13">
              <w:r>
                <w:rPr>
                  <w:rFonts w:ascii="Arial" w:cs="Arial" w:eastAsia="Arial" w:hAnsi="Arial"/>
                  <w:sz w:val="20"/>
                  <w:szCs w:val="20"/>
                  <w:color w:val="0000EE"/>
                  <w:w w:val="80"/>
                </w:rPr>
                <w:t>64</w:t>
              </w:r>
            </w:hyperlink>
          </w:p>
        </w:tc>
      </w:tr>
      <w:tr>
        <w:trPr>
          <w:trHeight w:val="302"/>
        </w:trPr>
        <w:tc>
          <w:tcPr>
            <w:tcW w:w="30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rFonts w:ascii="Arial" w:cs="Arial" w:eastAsia="Arial" w:hAnsi="Arial"/>
                <w:sz w:val="20"/>
                <w:szCs w:val="20"/>
                <w:color w:val="0000EE"/>
                <w:highlight w:val="white"/>
                <w:w w:val="85"/>
              </w:rPr>
            </w:pPr>
            <w:hyperlink w:anchor="page113">
              <w:r>
                <w:rPr>
                  <w:rFonts w:ascii="Arial" w:cs="Arial" w:eastAsia="Arial" w:hAnsi="Arial"/>
                  <w:sz w:val="20"/>
                  <w:szCs w:val="20"/>
                  <w:color w:val="0000EE"/>
                  <w:highlight w:val="white"/>
                  <w:w w:val="85"/>
                </w:rPr>
                <w:t>Section 10.1.</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Borders>
              <w:bottom w:val="single" w:sz="8" w:color="0000EE"/>
            </w:tcBorders>
            <w:gridSpan w:val="4"/>
          </w:tcPr>
          <w:p>
            <w:pPr>
              <w:spacing w:after="0"/>
              <w:rPr>
                <w:rFonts w:ascii="Arial" w:cs="Arial" w:eastAsia="Arial" w:hAnsi="Arial"/>
                <w:sz w:val="20"/>
                <w:szCs w:val="20"/>
                <w:color w:val="0000EE"/>
                <w:highlight w:val="white"/>
                <w:w w:val="86"/>
              </w:rPr>
            </w:pPr>
            <w:hyperlink w:anchor="page113">
              <w:r>
                <w:rPr>
                  <w:rFonts w:ascii="Arial" w:cs="Arial" w:eastAsia="Arial" w:hAnsi="Arial"/>
                  <w:sz w:val="20"/>
                  <w:szCs w:val="20"/>
                  <w:color w:val="0000EE"/>
                  <w:highlight w:val="white"/>
                  <w:w w:val="86"/>
                </w:rPr>
                <w:t>Change of Law</w:t>
              </w:r>
            </w:hyperlink>
          </w:p>
        </w:tc>
        <w:tc>
          <w:tcPr>
            <w:tcW w:w="5300" w:type="dxa"/>
            <w:vAlign w:val="bottom"/>
            <w:gridSpan w:val="28"/>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13">
              <w:r>
                <w:rPr>
                  <w:rFonts w:ascii="Arial" w:cs="Arial" w:eastAsia="Arial" w:hAnsi="Arial"/>
                  <w:sz w:val="20"/>
                  <w:szCs w:val="20"/>
                  <w:color w:val="0000EE"/>
                  <w:w w:val="80"/>
                </w:rPr>
                <w:t>64</w:t>
              </w:r>
            </w:hyperlink>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w w:val="97"/>
              </w:rPr>
            </w:pPr>
            <w:hyperlink w:anchor="page113">
              <w:r>
                <w:rPr>
                  <w:rFonts w:ascii="Arial" w:cs="Arial" w:eastAsia="Arial" w:hAnsi="Arial"/>
                  <w:sz w:val="20"/>
                  <w:szCs w:val="20"/>
                  <w:color w:val="0000EE"/>
                  <w:highlight w:val="white"/>
                  <w:w w:val="97"/>
                </w:rPr>
                <w:t>Section 10.2.  Unavailability of Deposits or Inability to Ascertain, or Inadequacy of, LIBOR</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3">
              <w:r>
                <w:rPr>
                  <w:rFonts w:ascii="Arial" w:cs="Arial" w:eastAsia="Arial" w:hAnsi="Arial"/>
                  <w:sz w:val="20"/>
                  <w:szCs w:val="20"/>
                  <w:color w:val="0000EE"/>
                </w:rPr>
                <w:t>64</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14">
              <w:r>
                <w:rPr>
                  <w:rFonts w:ascii="Arial" w:cs="Arial" w:eastAsia="Arial" w:hAnsi="Arial"/>
                  <w:sz w:val="20"/>
                  <w:szCs w:val="20"/>
                  <w:color w:val="0000EE"/>
                  <w:highlight w:val="white"/>
                </w:rPr>
                <w:t>Section 10.3.  Increased Cost and Reduced Return</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4">
              <w:r>
                <w:rPr>
                  <w:rFonts w:ascii="Arial" w:cs="Arial" w:eastAsia="Arial" w:hAnsi="Arial"/>
                  <w:sz w:val="20"/>
                  <w:szCs w:val="20"/>
                  <w:color w:val="0000EE"/>
                </w:rPr>
                <w:t>65</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tcBorders>
            <w:gridSpan w:val="5"/>
          </w:tcPr>
          <w:p>
            <w:pPr>
              <w:spacing w:after="0" w:line="203" w:lineRule="exact"/>
              <w:rPr>
                <w:rFonts w:ascii="Arial" w:cs="Arial" w:eastAsia="Arial" w:hAnsi="Arial"/>
                <w:sz w:val="20"/>
                <w:szCs w:val="20"/>
                <w:color w:val="0000EE"/>
                <w:highlight w:val="white"/>
                <w:w w:val="85"/>
              </w:rPr>
            </w:pPr>
            <w:hyperlink w:anchor="page115">
              <w:r>
                <w:rPr>
                  <w:rFonts w:ascii="Arial" w:cs="Arial" w:eastAsia="Arial" w:hAnsi="Arial"/>
                  <w:sz w:val="20"/>
                  <w:szCs w:val="20"/>
                  <w:color w:val="0000EE"/>
                  <w:highlight w:val="white"/>
                  <w:w w:val="85"/>
                </w:rPr>
                <w:t>Section 10.4.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top w:val="single" w:sz="8" w:color="0000EE"/>
            </w:tcBorders>
            <w:gridSpan w:val="21"/>
          </w:tcPr>
          <w:p>
            <w:pPr>
              <w:spacing w:after="0" w:line="203" w:lineRule="exact"/>
              <w:rPr>
                <w:rFonts w:ascii="Arial" w:cs="Arial" w:eastAsia="Arial" w:hAnsi="Arial"/>
                <w:sz w:val="20"/>
                <w:szCs w:val="20"/>
                <w:color w:val="0000EE"/>
                <w:highlight w:val="white"/>
              </w:rPr>
            </w:pPr>
            <w:hyperlink w:anchor="page115">
              <w:r>
                <w:rPr>
                  <w:rFonts w:ascii="Arial" w:cs="Arial" w:eastAsia="Arial" w:hAnsi="Arial"/>
                  <w:sz w:val="20"/>
                  <w:szCs w:val="20"/>
                  <w:color w:val="0000EE"/>
                  <w:highlight w:val="white"/>
                </w:rPr>
                <w:t>Lending Offices</w:t>
              </w:r>
            </w:hyperlink>
          </w:p>
        </w:tc>
        <w:tc>
          <w:tcPr>
            <w:tcW w:w="3700" w:type="dxa"/>
            <w:vAlign w:val="bottom"/>
            <w:gridSpan w:val="11"/>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15">
              <w:r>
                <w:rPr>
                  <w:rFonts w:ascii="Arial" w:cs="Arial" w:eastAsia="Arial" w:hAnsi="Arial"/>
                  <w:sz w:val="20"/>
                  <w:szCs w:val="20"/>
                  <w:color w:val="0000EE"/>
                  <w:w w:val="80"/>
                </w:rPr>
                <w:t>66</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15">
              <w:r>
                <w:rPr>
                  <w:rFonts w:ascii="Arial" w:cs="Arial" w:eastAsia="Arial" w:hAnsi="Arial"/>
                  <w:sz w:val="20"/>
                  <w:szCs w:val="20"/>
                  <w:color w:val="0000EE"/>
                  <w:highlight w:val="white"/>
                </w:rPr>
                <w:t>Section 10.5.  Discretion of Lender as to Manner of Funding</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5">
              <w:r>
                <w:rPr>
                  <w:rFonts w:ascii="Arial" w:cs="Arial" w:eastAsia="Arial" w:hAnsi="Arial"/>
                  <w:sz w:val="20"/>
                  <w:szCs w:val="20"/>
                  <w:color w:val="0000EE"/>
                </w:rPr>
                <w:t>66</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15">
              <w:r>
                <w:rPr>
                  <w:rFonts w:ascii="Arial" w:cs="Arial" w:eastAsia="Arial" w:hAnsi="Arial"/>
                  <w:sz w:val="20"/>
                  <w:szCs w:val="20"/>
                  <w:color w:val="0000EE"/>
                  <w:highlight w:val="white"/>
                </w:rPr>
                <w:t>Section 10.6.  Benchmark Replacement Setting</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15">
              <w:r>
                <w:rPr>
                  <w:rFonts w:ascii="Arial" w:cs="Arial" w:eastAsia="Arial" w:hAnsi="Arial"/>
                  <w:sz w:val="20"/>
                  <w:szCs w:val="20"/>
                  <w:color w:val="0000EE"/>
                </w:rPr>
                <w:t>66</w:t>
              </w:r>
            </w:hyperlink>
          </w:p>
        </w:tc>
      </w:tr>
      <w:tr>
        <w:trPr>
          <w:trHeight w:val="20"/>
        </w:trPr>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1340" w:type="dxa"/>
            <w:vAlign w:val="bottom"/>
            <w:gridSpan w:val="6"/>
          </w:tcPr>
          <w:p>
            <w:pPr>
              <w:spacing w:after="0"/>
              <w:rPr>
                <w:rFonts w:ascii="Arial" w:cs="Arial" w:eastAsia="Arial" w:hAnsi="Arial"/>
                <w:sz w:val="20"/>
                <w:szCs w:val="20"/>
                <w:color w:val="0000EE"/>
              </w:rPr>
            </w:pPr>
            <w:hyperlink w:anchor="page120">
              <w:r>
                <w:rPr>
                  <w:rFonts w:ascii="Arial" w:cs="Arial" w:eastAsia="Arial" w:hAnsi="Arial"/>
                  <w:sz w:val="20"/>
                  <w:szCs w:val="20"/>
                  <w:color w:val="0000EE"/>
                </w:rPr>
                <w:t>SECTION 11.</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32"/>
          </w:tcPr>
          <w:p>
            <w:pPr>
              <w:spacing w:after="0"/>
              <w:rPr>
                <w:rFonts w:ascii="Arial" w:cs="Arial" w:eastAsia="Arial" w:hAnsi="Arial"/>
                <w:sz w:val="20"/>
                <w:szCs w:val="20"/>
                <w:color w:val="0000EE"/>
              </w:rPr>
            </w:pPr>
            <w:hyperlink w:anchor="page120">
              <w:r>
                <w:rPr>
                  <w:rFonts w:ascii="Arial" w:cs="Arial" w:eastAsia="Arial" w:hAnsi="Arial"/>
                  <w:sz w:val="20"/>
                  <w:szCs w:val="20"/>
                  <w:color w:val="0000EE"/>
                </w:rPr>
                <w:t>The Administrative Agent.</w:t>
              </w:r>
            </w:hyperlink>
          </w:p>
        </w:tc>
        <w:tc>
          <w:tcPr>
            <w:tcW w:w="540" w:type="dxa"/>
            <w:vAlign w:val="bottom"/>
            <w:gridSpan w:val="2"/>
          </w:tcPr>
          <w:p>
            <w:pPr>
              <w:jc w:val="right"/>
              <w:spacing w:after="0"/>
              <w:rPr>
                <w:rFonts w:ascii="Arial" w:cs="Arial" w:eastAsia="Arial" w:hAnsi="Arial"/>
                <w:sz w:val="20"/>
                <w:szCs w:val="20"/>
                <w:color w:val="0000EE"/>
              </w:rPr>
            </w:pPr>
            <w:hyperlink w:anchor="page120">
              <w:r>
                <w:rPr>
                  <w:rFonts w:ascii="Arial" w:cs="Arial" w:eastAsia="Arial" w:hAnsi="Arial"/>
                  <w:sz w:val="20"/>
                  <w:szCs w:val="20"/>
                  <w:color w:val="0000EE"/>
                </w:rPr>
                <w:t>71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7760" w:type="dxa"/>
            <w:vAlign w:val="bottom"/>
            <w:gridSpan w:val="39"/>
          </w:tcPr>
          <w:p>
            <w:pPr>
              <w:spacing w:after="0"/>
              <w:rPr>
                <w:rFonts w:ascii="Arial" w:cs="Arial" w:eastAsia="Arial" w:hAnsi="Arial"/>
                <w:sz w:val="20"/>
                <w:szCs w:val="20"/>
                <w:color w:val="0000EE"/>
                <w:highlight w:val="white"/>
              </w:rPr>
            </w:pPr>
            <w:hyperlink w:anchor="page120">
              <w:r>
                <w:rPr>
                  <w:rFonts w:ascii="Arial" w:cs="Arial" w:eastAsia="Arial" w:hAnsi="Arial"/>
                  <w:sz w:val="20"/>
                  <w:szCs w:val="20"/>
                  <w:color w:val="0000EE"/>
                  <w:highlight w:val="white"/>
                </w:rPr>
                <w:t>Section 11.1.  Appointment and Authority</w:t>
              </w:r>
            </w:hyperlink>
          </w:p>
        </w:tc>
        <w:tc>
          <w:tcPr>
            <w:tcW w:w="540" w:type="dxa"/>
            <w:vAlign w:val="bottom"/>
            <w:gridSpan w:val="2"/>
          </w:tcPr>
          <w:p>
            <w:pPr>
              <w:jc w:val="right"/>
              <w:spacing w:after="0"/>
              <w:rPr>
                <w:rFonts w:ascii="Arial" w:cs="Arial" w:eastAsia="Arial" w:hAnsi="Arial"/>
                <w:sz w:val="20"/>
                <w:szCs w:val="20"/>
                <w:color w:val="0000EE"/>
              </w:rPr>
            </w:pPr>
            <w:hyperlink w:anchor="page120">
              <w:r>
                <w:rPr>
                  <w:rFonts w:ascii="Arial" w:cs="Arial" w:eastAsia="Arial" w:hAnsi="Arial"/>
                  <w:sz w:val="20"/>
                  <w:szCs w:val="20"/>
                  <w:color w:val="0000EE"/>
                </w:rPr>
                <w:t>71</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0">
              <w:r>
                <w:rPr>
                  <w:rFonts w:ascii="Arial" w:cs="Arial" w:eastAsia="Arial" w:hAnsi="Arial"/>
                  <w:sz w:val="20"/>
                  <w:szCs w:val="20"/>
                  <w:color w:val="0000EE"/>
                  <w:highlight w:val="white"/>
                </w:rPr>
                <w:t>Section 11.2.  Rights as a Lender</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0">
              <w:r>
                <w:rPr>
                  <w:rFonts w:ascii="Arial" w:cs="Arial" w:eastAsia="Arial" w:hAnsi="Arial"/>
                  <w:sz w:val="20"/>
                  <w:szCs w:val="20"/>
                  <w:color w:val="0000EE"/>
                </w:rPr>
                <w:t>71</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0">
              <w:r>
                <w:rPr>
                  <w:rFonts w:ascii="Arial" w:cs="Arial" w:eastAsia="Arial" w:hAnsi="Arial"/>
                  <w:sz w:val="20"/>
                  <w:szCs w:val="20"/>
                  <w:color w:val="0000EE"/>
                  <w:highlight w:val="white"/>
                </w:rPr>
                <w:t>Section 11.3.  Action by Administrative Agent; Exculpatory Provisions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0">
              <w:r>
                <w:rPr>
                  <w:rFonts w:ascii="Arial" w:cs="Arial" w:eastAsia="Arial" w:hAnsi="Arial"/>
                  <w:sz w:val="20"/>
                  <w:szCs w:val="20"/>
                  <w:color w:val="0000EE"/>
                </w:rPr>
                <w:t>72</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2">
              <w:r>
                <w:rPr>
                  <w:rFonts w:ascii="Arial" w:cs="Arial" w:eastAsia="Arial" w:hAnsi="Arial"/>
                  <w:sz w:val="20"/>
                  <w:szCs w:val="20"/>
                  <w:color w:val="0000EE"/>
                  <w:highlight w:val="white"/>
                </w:rPr>
                <w:t>Section 11.4.  Reliance by Administrative Agent</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2">
              <w:r>
                <w:rPr>
                  <w:rFonts w:ascii="Arial" w:cs="Arial" w:eastAsia="Arial" w:hAnsi="Arial"/>
                  <w:sz w:val="20"/>
                  <w:szCs w:val="20"/>
                  <w:color w:val="0000EE"/>
                </w:rPr>
                <w:t>73</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2">
              <w:r>
                <w:rPr>
                  <w:rFonts w:ascii="Arial" w:cs="Arial" w:eastAsia="Arial" w:hAnsi="Arial"/>
                  <w:sz w:val="20"/>
                  <w:szCs w:val="20"/>
                  <w:color w:val="0000EE"/>
                  <w:highlight w:val="white"/>
                </w:rPr>
                <w:t>Section 11.5.  Delegation of Duties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2">
              <w:r>
                <w:rPr>
                  <w:rFonts w:ascii="Arial" w:cs="Arial" w:eastAsia="Arial" w:hAnsi="Arial"/>
                  <w:sz w:val="20"/>
                  <w:szCs w:val="20"/>
                  <w:color w:val="0000EE"/>
                </w:rPr>
                <w:t>73</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2">
              <w:r>
                <w:rPr>
                  <w:rFonts w:ascii="Arial" w:cs="Arial" w:eastAsia="Arial" w:hAnsi="Arial"/>
                  <w:sz w:val="20"/>
                  <w:szCs w:val="20"/>
                  <w:color w:val="0000EE"/>
                  <w:highlight w:val="white"/>
                </w:rPr>
                <w:t>Section 11.6.  Resignation of Administrative Agent; Removal of Administrative Agent</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2">
              <w:r>
                <w:rPr>
                  <w:rFonts w:ascii="Arial" w:cs="Arial" w:eastAsia="Arial" w:hAnsi="Arial"/>
                  <w:sz w:val="20"/>
                  <w:szCs w:val="20"/>
                  <w:color w:val="0000EE"/>
                </w:rPr>
                <w:t>73</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3">
              <w:r>
                <w:rPr>
                  <w:rFonts w:ascii="Arial" w:cs="Arial" w:eastAsia="Arial" w:hAnsi="Arial"/>
                  <w:sz w:val="20"/>
                  <w:szCs w:val="20"/>
                  <w:color w:val="0000EE"/>
                  <w:highlight w:val="white"/>
                </w:rPr>
                <w:t>Section 11.7.  NonReliance on Administrative Agent and Other Lenders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3">
              <w:r>
                <w:rPr>
                  <w:rFonts w:ascii="Arial" w:cs="Arial" w:eastAsia="Arial" w:hAnsi="Arial"/>
                  <w:sz w:val="20"/>
                  <w:szCs w:val="20"/>
                  <w:color w:val="0000EE"/>
                </w:rPr>
                <w:t>74</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tcBorders>
            <w:gridSpan w:val="5"/>
          </w:tcPr>
          <w:p>
            <w:pPr>
              <w:spacing w:after="0" w:line="203" w:lineRule="exact"/>
              <w:rPr>
                <w:rFonts w:ascii="Arial" w:cs="Arial" w:eastAsia="Arial" w:hAnsi="Arial"/>
                <w:sz w:val="20"/>
                <w:szCs w:val="20"/>
                <w:color w:val="0000EE"/>
                <w:highlight w:val="white"/>
                <w:w w:val="85"/>
              </w:rPr>
            </w:pPr>
            <w:hyperlink w:anchor="page124">
              <w:r>
                <w:rPr>
                  <w:rFonts w:ascii="Arial" w:cs="Arial" w:eastAsia="Arial" w:hAnsi="Arial"/>
                  <w:sz w:val="20"/>
                  <w:szCs w:val="20"/>
                  <w:color w:val="0000EE"/>
                  <w:highlight w:val="white"/>
                  <w:w w:val="85"/>
                </w:rPr>
                <w:t>Section 11.8.</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top w:val="single" w:sz="8" w:color="0000EE"/>
            </w:tcBorders>
            <w:gridSpan w:val="27"/>
          </w:tcPr>
          <w:p>
            <w:pPr>
              <w:spacing w:after="0" w:line="203" w:lineRule="exact"/>
              <w:rPr>
                <w:rFonts w:ascii="Arial" w:cs="Arial" w:eastAsia="Arial" w:hAnsi="Arial"/>
                <w:sz w:val="20"/>
                <w:szCs w:val="20"/>
                <w:color w:val="0000EE"/>
                <w:highlight w:val="white"/>
              </w:rPr>
            </w:pPr>
            <w:hyperlink w:anchor="page124">
              <w:r>
                <w:rPr>
                  <w:rFonts w:ascii="Arial" w:cs="Arial" w:eastAsia="Arial" w:hAnsi="Arial"/>
                  <w:sz w:val="20"/>
                  <w:szCs w:val="20"/>
                  <w:color w:val="0000EE"/>
                  <w:highlight w:val="white"/>
                </w:rPr>
                <w:t>Reserved</w:t>
              </w:r>
            </w:hyperlink>
          </w:p>
        </w:tc>
        <w:tc>
          <w:tcPr>
            <w:tcW w:w="196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24">
              <w:r>
                <w:rPr>
                  <w:rFonts w:ascii="Arial" w:cs="Arial" w:eastAsia="Arial" w:hAnsi="Arial"/>
                  <w:sz w:val="20"/>
                  <w:szCs w:val="20"/>
                  <w:color w:val="0000EE"/>
                  <w:w w:val="80"/>
                </w:rPr>
                <w:t>75</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4">
              <w:r>
                <w:rPr>
                  <w:rFonts w:ascii="Arial" w:cs="Arial" w:eastAsia="Arial" w:hAnsi="Arial"/>
                  <w:sz w:val="20"/>
                  <w:szCs w:val="20"/>
                  <w:color w:val="0000EE"/>
                  <w:highlight w:val="white"/>
                </w:rPr>
                <w:t>Section 11.9.  Hedging Liability and Funds Transfer and Deposit Account Liability</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4">
              <w:r>
                <w:rPr>
                  <w:rFonts w:ascii="Arial" w:cs="Arial" w:eastAsia="Arial" w:hAnsi="Arial"/>
                  <w:sz w:val="20"/>
                  <w:szCs w:val="20"/>
                  <w:color w:val="0000EE"/>
                </w:rPr>
                <w:t>75</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4">
              <w:r>
                <w:rPr>
                  <w:rFonts w:ascii="Arial" w:cs="Arial" w:eastAsia="Arial" w:hAnsi="Arial"/>
                  <w:sz w:val="20"/>
                  <w:szCs w:val="20"/>
                  <w:color w:val="0000EE"/>
                  <w:highlight w:val="white"/>
                </w:rPr>
                <w:t>Section 11.10.  Designation of Additional Agents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4">
              <w:r>
                <w:rPr>
                  <w:rFonts w:ascii="Arial" w:cs="Arial" w:eastAsia="Arial" w:hAnsi="Arial"/>
                  <w:sz w:val="20"/>
                  <w:szCs w:val="20"/>
                  <w:color w:val="0000EE"/>
                </w:rPr>
                <w:t>76</w:t>
              </w:r>
            </w:hyperlink>
          </w:p>
        </w:tc>
      </w:tr>
      <w:tr>
        <w:trPr>
          <w:trHeight w:val="20"/>
        </w:trPr>
        <w:tc>
          <w:tcPr>
            <w:tcW w:w="30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5">
              <w:r>
                <w:rPr>
                  <w:rFonts w:ascii="Arial" w:cs="Arial" w:eastAsia="Arial" w:hAnsi="Arial"/>
                  <w:sz w:val="20"/>
                  <w:szCs w:val="20"/>
                  <w:color w:val="0000EE"/>
                  <w:highlight w:val="white"/>
                </w:rPr>
                <w:t>Section 11.11.  Reserved</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5">
              <w:r>
                <w:rPr>
                  <w:rFonts w:ascii="Arial" w:cs="Arial" w:eastAsia="Arial" w:hAnsi="Arial"/>
                  <w:sz w:val="20"/>
                  <w:szCs w:val="20"/>
                  <w:color w:val="0000EE"/>
                </w:rPr>
                <w:t>76</w:t>
              </w:r>
            </w:hyperlink>
          </w:p>
        </w:tc>
      </w:tr>
      <w:tr>
        <w:trPr>
          <w:trHeight w:val="20"/>
        </w:trPr>
        <w:tc>
          <w:tcPr>
            <w:tcW w:w="30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5">
              <w:r>
                <w:rPr>
                  <w:rFonts w:ascii="Arial" w:cs="Arial" w:eastAsia="Arial" w:hAnsi="Arial"/>
                  <w:sz w:val="20"/>
                  <w:szCs w:val="20"/>
                  <w:color w:val="0000EE"/>
                  <w:highlight w:val="white"/>
                </w:rPr>
                <w:t>Section 11.12.  Authorization to Release Guaranties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5">
              <w:r>
                <w:rPr>
                  <w:rFonts w:ascii="Arial" w:cs="Arial" w:eastAsia="Arial" w:hAnsi="Arial"/>
                  <w:sz w:val="20"/>
                  <w:szCs w:val="20"/>
                  <w:color w:val="0000EE"/>
                </w:rPr>
                <w:t>76</w:t>
              </w:r>
            </w:hyperlink>
          </w:p>
        </w:tc>
      </w:tr>
      <w:tr>
        <w:trPr>
          <w:trHeight w:val="20"/>
        </w:trPr>
        <w:tc>
          <w:tcPr>
            <w:tcW w:w="30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5">
              <w:r>
                <w:rPr>
                  <w:rFonts w:ascii="Arial" w:cs="Arial" w:eastAsia="Arial" w:hAnsi="Arial"/>
                  <w:sz w:val="20"/>
                  <w:szCs w:val="20"/>
                  <w:color w:val="0000EE"/>
                  <w:highlight w:val="white"/>
                </w:rPr>
                <w:t>Section 11.13.  Authorization of Administrative Agent to File Proofs of Claim</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5">
              <w:r>
                <w:rPr>
                  <w:rFonts w:ascii="Arial" w:cs="Arial" w:eastAsia="Arial" w:hAnsi="Arial"/>
                  <w:sz w:val="20"/>
                  <w:szCs w:val="20"/>
                  <w:color w:val="0000EE"/>
                </w:rPr>
                <w:t>76</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1140" w:type="dxa"/>
            <w:vAlign w:val="bottom"/>
            <w:gridSpan w:val="4"/>
          </w:tcPr>
          <w:p>
            <w:pPr>
              <w:spacing w:after="0"/>
              <w:rPr>
                <w:rFonts w:ascii="Arial" w:cs="Arial" w:eastAsia="Arial" w:hAnsi="Arial"/>
                <w:sz w:val="20"/>
                <w:szCs w:val="20"/>
                <w:color w:val="0000EE"/>
                <w:w w:val="91"/>
              </w:rPr>
            </w:pPr>
            <w:hyperlink w:anchor="page125">
              <w:r>
                <w:rPr>
                  <w:rFonts w:ascii="Arial" w:cs="Arial" w:eastAsia="Arial" w:hAnsi="Arial"/>
                  <w:sz w:val="20"/>
                  <w:szCs w:val="20"/>
                  <w:color w:val="0000EE"/>
                  <w:w w:val="91"/>
                </w:rPr>
                <w:t>SECTION 12.</w:t>
              </w:r>
            </w:hyperlink>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gridSpan w:val="32"/>
          </w:tcPr>
          <w:p>
            <w:pPr>
              <w:spacing w:after="0"/>
              <w:rPr>
                <w:rFonts w:ascii="Arial" w:cs="Arial" w:eastAsia="Arial" w:hAnsi="Arial"/>
                <w:sz w:val="20"/>
                <w:szCs w:val="20"/>
                <w:color w:val="0000EE"/>
              </w:rPr>
            </w:pPr>
            <w:hyperlink w:anchor="page125">
              <w:r>
                <w:rPr>
                  <w:rFonts w:ascii="Arial" w:cs="Arial" w:eastAsia="Arial" w:hAnsi="Arial"/>
                  <w:sz w:val="20"/>
                  <w:szCs w:val="20"/>
                  <w:color w:val="0000EE"/>
                </w:rPr>
                <w:t>M</w:t>
              </w:r>
              <w:r>
                <w:rPr>
                  <w:rFonts w:ascii="Arial" w:cs="Arial" w:eastAsia="Arial" w:hAnsi="Arial"/>
                  <w:sz w:val="13"/>
                  <w:szCs w:val="13"/>
                  <w:color w:val="0000EE"/>
                </w:rPr>
                <w:t>ISCELLANEOUS</w:t>
              </w:r>
              <w:r>
                <w:rPr>
                  <w:rFonts w:ascii="Arial" w:cs="Arial" w:eastAsia="Arial" w:hAnsi="Arial"/>
                  <w:sz w:val="20"/>
                  <w:szCs w:val="20"/>
                  <w:color w:val="0000EE"/>
                </w:rPr>
                <w:t>.</w:t>
              </w:r>
            </w:hyperlink>
          </w:p>
        </w:tc>
        <w:tc>
          <w:tcPr>
            <w:tcW w:w="540" w:type="dxa"/>
            <w:vAlign w:val="bottom"/>
            <w:gridSpan w:val="2"/>
          </w:tcPr>
          <w:p>
            <w:pPr>
              <w:jc w:val="right"/>
              <w:spacing w:after="0"/>
              <w:rPr>
                <w:rFonts w:ascii="Arial" w:cs="Arial" w:eastAsia="Arial" w:hAnsi="Arial"/>
                <w:sz w:val="20"/>
                <w:szCs w:val="20"/>
                <w:color w:val="0000EE"/>
              </w:rPr>
            </w:pPr>
            <w:hyperlink w:anchor="page125">
              <w:r>
                <w:rPr>
                  <w:rFonts w:ascii="Arial" w:cs="Arial" w:eastAsia="Arial" w:hAnsi="Arial"/>
                  <w:sz w:val="20"/>
                  <w:szCs w:val="20"/>
                  <w:color w:val="0000EE"/>
                </w:rPr>
                <w:t>77</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32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02"/>
        </w:trPr>
        <w:tc>
          <w:tcPr>
            <w:tcW w:w="300" w:type="dxa"/>
            <w:vAlign w:val="bottom"/>
          </w:tcPr>
          <w:p>
            <w:pPr>
              <w:spacing w:after="0"/>
              <w:rPr>
                <w:sz w:val="24"/>
                <w:szCs w:val="24"/>
                <w:color w:val="auto"/>
              </w:rPr>
            </w:pPr>
          </w:p>
        </w:tc>
        <w:tc>
          <w:tcPr>
            <w:tcW w:w="1040" w:type="dxa"/>
            <w:vAlign w:val="bottom"/>
            <w:tcBorders>
              <w:bottom w:val="single" w:sz="8" w:color="0000EE"/>
            </w:tcBorders>
            <w:gridSpan w:val="5"/>
          </w:tcPr>
          <w:p>
            <w:pPr>
              <w:spacing w:after="0"/>
              <w:rPr>
                <w:rFonts w:ascii="Arial" w:cs="Arial" w:eastAsia="Arial" w:hAnsi="Arial"/>
                <w:sz w:val="20"/>
                <w:szCs w:val="20"/>
                <w:color w:val="0000EE"/>
                <w:highlight w:val="white"/>
                <w:w w:val="85"/>
              </w:rPr>
            </w:pPr>
            <w:hyperlink w:anchor="page125">
              <w:r>
                <w:rPr>
                  <w:rFonts w:ascii="Arial" w:cs="Arial" w:eastAsia="Arial" w:hAnsi="Arial"/>
                  <w:sz w:val="20"/>
                  <w:szCs w:val="20"/>
                  <w:color w:val="0000EE"/>
                  <w:highlight w:val="white"/>
                  <w:w w:val="85"/>
                </w:rPr>
                <w:t>Section 12.1.</w:t>
              </w:r>
            </w:hyperlink>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Borders>
              <w:bottom w:val="single" w:sz="8" w:color="0000EE"/>
            </w:tcBorders>
            <w:gridSpan w:val="9"/>
          </w:tcPr>
          <w:p>
            <w:pPr>
              <w:spacing w:after="0"/>
              <w:rPr>
                <w:rFonts w:ascii="Arial" w:cs="Arial" w:eastAsia="Arial" w:hAnsi="Arial"/>
                <w:sz w:val="20"/>
                <w:szCs w:val="20"/>
                <w:color w:val="0000EE"/>
                <w:highlight w:val="white"/>
                <w:w w:val="87"/>
              </w:rPr>
            </w:pPr>
            <w:hyperlink w:anchor="page125">
              <w:r>
                <w:rPr>
                  <w:rFonts w:ascii="Arial" w:cs="Arial" w:eastAsia="Arial" w:hAnsi="Arial"/>
                  <w:sz w:val="20"/>
                  <w:szCs w:val="20"/>
                  <w:color w:val="0000EE"/>
                  <w:highlight w:val="white"/>
                  <w:w w:val="87"/>
                </w:rPr>
                <w:t>Withholding Taxes</w:t>
              </w:r>
            </w:hyperlink>
          </w:p>
        </w:tc>
        <w:tc>
          <w:tcPr>
            <w:tcW w:w="5020" w:type="dxa"/>
            <w:vAlign w:val="bottom"/>
            <w:gridSpan w:val="23"/>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25">
              <w:r>
                <w:rPr>
                  <w:rFonts w:ascii="Arial" w:cs="Arial" w:eastAsia="Arial" w:hAnsi="Arial"/>
                  <w:sz w:val="20"/>
                  <w:szCs w:val="20"/>
                  <w:color w:val="0000EE"/>
                  <w:w w:val="80"/>
                </w:rPr>
                <w:t>77</w:t>
              </w:r>
            </w:hyperlink>
          </w:p>
        </w:tc>
      </w:tr>
      <w:tr>
        <w:trPr>
          <w:trHeight w:val="203"/>
        </w:trPr>
        <w:tc>
          <w:tcPr>
            <w:tcW w:w="300" w:type="dxa"/>
            <w:vAlign w:val="bottom"/>
          </w:tcPr>
          <w:p>
            <w:pPr>
              <w:spacing w:after="0"/>
              <w:rPr>
                <w:sz w:val="17"/>
                <w:szCs w:val="17"/>
                <w:color w:val="auto"/>
              </w:rPr>
            </w:pPr>
          </w:p>
        </w:tc>
        <w:tc>
          <w:tcPr>
            <w:tcW w:w="7760" w:type="dxa"/>
            <w:vAlign w:val="bottom"/>
            <w:gridSpan w:val="39"/>
          </w:tcPr>
          <w:p>
            <w:pPr>
              <w:spacing w:after="0" w:line="203" w:lineRule="exact"/>
              <w:rPr>
                <w:rFonts w:ascii="Arial" w:cs="Arial" w:eastAsia="Arial" w:hAnsi="Arial"/>
                <w:sz w:val="20"/>
                <w:szCs w:val="20"/>
                <w:color w:val="0000EE"/>
                <w:highlight w:val="white"/>
              </w:rPr>
            </w:pPr>
            <w:hyperlink w:anchor="page128">
              <w:r>
                <w:rPr>
                  <w:rFonts w:ascii="Arial" w:cs="Arial" w:eastAsia="Arial" w:hAnsi="Arial"/>
                  <w:sz w:val="20"/>
                  <w:szCs w:val="20"/>
                  <w:color w:val="0000EE"/>
                  <w:highlight w:val="white"/>
                </w:rPr>
                <w:t>Section 12.2.  No Waiver, Cumulative Remedies</w:t>
              </w:r>
            </w:hyperlink>
          </w:p>
        </w:tc>
        <w:tc>
          <w:tcPr>
            <w:tcW w:w="540" w:type="dxa"/>
            <w:vAlign w:val="bottom"/>
            <w:gridSpan w:val="2"/>
          </w:tcPr>
          <w:p>
            <w:pPr>
              <w:jc w:val="right"/>
              <w:spacing w:after="0" w:line="203" w:lineRule="exact"/>
              <w:rPr>
                <w:rFonts w:ascii="Arial" w:cs="Arial" w:eastAsia="Arial" w:hAnsi="Arial"/>
                <w:sz w:val="20"/>
                <w:szCs w:val="20"/>
                <w:color w:val="0000EE"/>
              </w:rPr>
            </w:pPr>
            <w:hyperlink w:anchor="page128">
              <w:r>
                <w:rPr>
                  <w:rFonts w:ascii="Arial" w:cs="Arial" w:eastAsia="Arial" w:hAnsi="Arial"/>
                  <w:sz w:val="20"/>
                  <w:szCs w:val="20"/>
                  <w:color w:val="0000EE"/>
                </w:rPr>
                <w:t>79</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28">
              <w:r>
                <w:rPr>
                  <w:rFonts w:ascii="Arial" w:cs="Arial" w:eastAsia="Arial" w:hAnsi="Arial"/>
                  <w:sz w:val="20"/>
                  <w:szCs w:val="20"/>
                  <w:color w:val="0000EE"/>
                  <w:highlight w:val="white"/>
                  <w:w w:val="85"/>
                </w:rPr>
                <w:t>Section 12.3.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9"/>
          </w:tcPr>
          <w:p>
            <w:pPr>
              <w:spacing w:after="0" w:line="203" w:lineRule="exact"/>
              <w:rPr>
                <w:rFonts w:ascii="Arial" w:cs="Arial" w:eastAsia="Arial" w:hAnsi="Arial"/>
                <w:sz w:val="20"/>
                <w:szCs w:val="20"/>
                <w:color w:val="0000EE"/>
                <w:highlight w:val="white"/>
                <w:w w:val="85"/>
              </w:rPr>
            </w:pPr>
            <w:hyperlink w:anchor="page128">
              <w:r>
                <w:rPr>
                  <w:rFonts w:ascii="Arial" w:cs="Arial" w:eastAsia="Arial" w:hAnsi="Arial"/>
                  <w:sz w:val="20"/>
                  <w:szCs w:val="20"/>
                  <w:color w:val="0000EE"/>
                  <w:highlight w:val="white"/>
                  <w:w w:val="85"/>
                </w:rPr>
                <w:t>NonBusiness Days</w:t>
              </w:r>
            </w:hyperlink>
          </w:p>
        </w:tc>
        <w:tc>
          <w:tcPr>
            <w:tcW w:w="1200" w:type="dxa"/>
            <w:vAlign w:val="bottom"/>
            <w:tcBorders>
              <w:top w:val="single" w:sz="8" w:color="0000EE"/>
            </w:tcBorders>
            <w:gridSpan w:val="11"/>
          </w:tcPr>
          <w:p>
            <w:pPr>
              <w:spacing w:after="0"/>
              <w:rPr>
                <w:sz w:val="17"/>
                <w:szCs w:val="17"/>
                <w:color w:val="auto"/>
              </w:rPr>
            </w:pPr>
          </w:p>
        </w:tc>
        <w:tc>
          <w:tcPr>
            <w:tcW w:w="382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28">
              <w:r>
                <w:rPr>
                  <w:rFonts w:ascii="Arial" w:cs="Arial" w:eastAsia="Arial" w:hAnsi="Arial"/>
                  <w:sz w:val="20"/>
                  <w:szCs w:val="20"/>
                  <w:color w:val="0000EE"/>
                  <w:w w:val="80"/>
                </w:rPr>
                <w:t>79</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28">
              <w:r>
                <w:rPr>
                  <w:rFonts w:ascii="Arial" w:cs="Arial" w:eastAsia="Arial" w:hAnsi="Arial"/>
                  <w:sz w:val="20"/>
                  <w:szCs w:val="20"/>
                  <w:color w:val="0000EE"/>
                  <w:highlight w:val="white"/>
                  <w:w w:val="85"/>
                </w:rPr>
                <w:t>Section 12.4.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203" w:lineRule="exact"/>
              <w:rPr>
                <w:rFonts w:ascii="Arial" w:cs="Arial" w:eastAsia="Arial" w:hAnsi="Arial"/>
                <w:sz w:val="20"/>
                <w:szCs w:val="20"/>
                <w:color w:val="0000EE"/>
                <w:highlight w:val="white"/>
                <w:w w:val="84"/>
              </w:rPr>
            </w:pPr>
            <w:hyperlink w:anchor="page128">
              <w:r>
                <w:rPr>
                  <w:rFonts w:ascii="Arial" w:cs="Arial" w:eastAsia="Arial" w:hAnsi="Arial"/>
                  <w:sz w:val="20"/>
                  <w:szCs w:val="20"/>
                  <w:color w:val="0000EE"/>
                  <w:highlight w:val="white"/>
                  <w:w w:val="84"/>
                </w:rPr>
                <w:t>Documentary Taxes</w:t>
              </w:r>
            </w:hyperlink>
          </w:p>
        </w:tc>
        <w:tc>
          <w:tcPr>
            <w:tcW w:w="4920" w:type="dxa"/>
            <w:vAlign w:val="bottom"/>
            <w:gridSpan w:val="22"/>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28">
              <w:r>
                <w:rPr>
                  <w:rFonts w:ascii="Arial" w:cs="Arial" w:eastAsia="Arial" w:hAnsi="Arial"/>
                  <w:sz w:val="20"/>
                  <w:szCs w:val="20"/>
                  <w:color w:val="0000EE"/>
                  <w:w w:val="80"/>
                </w:rPr>
                <w:t>79</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5"/>
          </w:tcPr>
          <w:p>
            <w:pPr>
              <w:spacing w:after="0" w:line="203" w:lineRule="exact"/>
              <w:rPr>
                <w:rFonts w:ascii="Arial" w:cs="Arial" w:eastAsia="Arial" w:hAnsi="Arial"/>
                <w:sz w:val="20"/>
                <w:szCs w:val="20"/>
                <w:color w:val="0000EE"/>
                <w:highlight w:val="white"/>
                <w:w w:val="85"/>
              </w:rPr>
            </w:pPr>
            <w:hyperlink w:anchor="page128">
              <w:r>
                <w:rPr>
                  <w:rFonts w:ascii="Arial" w:cs="Arial" w:eastAsia="Arial" w:hAnsi="Arial"/>
                  <w:sz w:val="20"/>
                  <w:szCs w:val="20"/>
                  <w:color w:val="0000EE"/>
                  <w:highlight w:val="white"/>
                  <w:w w:val="85"/>
                </w:rPr>
                <w:t>Section 12.5.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203" w:lineRule="exact"/>
              <w:rPr>
                <w:rFonts w:ascii="Arial" w:cs="Arial" w:eastAsia="Arial" w:hAnsi="Arial"/>
                <w:sz w:val="20"/>
                <w:szCs w:val="20"/>
                <w:color w:val="0000EE"/>
                <w:highlight w:val="white"/>
                <w:w w:val="87"/>
              </w:rPr>
            </w:pPr>
            <w:hyperlink w:anchor="page128">
              <w:r>
                <w:rPr>
                  <w:rFonts w:ascii="Arial" w:cs="Arial" w:eastAsia="Arial" w:hAnsi="Arial"/>
                  <w:sz w:val="20"/>
                  <w:szCs w:val="20"/>
                  <w:color w:val="0000EE"/>
                  <w:highlight w:val="white"/>
                  <w:w w:val="87"/>
                </w:rPr>
                <w:t>Survival of Representations</w:t>
              </w:r>
            </w:hyperlink>
          </w:p>
        </w:tc>
        <w:tc>
          <w:tcPr>
            <w:tcW w:w="4320" w:type="dxa"/>
            <w:vAlign w:val="bottom"/>
            <w:gridSpan w:val="15"/>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28">
              <w:r>
                <w:rPr>
                  <w:rFonts w:ascii="Arial" w:cs="Arial" w:eastAsia="Arial" w:hAnsi="Arial"/>
                  <w:sz w:val="20"/>
                  <w:szCs w:val="20"/>
                  <w:color w:val="0000EE"/>
                  <w:w w:val="80"/>
                </w:rPr>
                <w:t>79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-6184265</wp:posOffset>
            </wp:positionV>
            <wp:extent cx="762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1182370</wp:posOffset>
            </wp:positionH>
            <wp:positionV relativeFrom="paragraph">
              <wp:posOffset>-6184265</wp:posOffset>
            </wp:positionV>
            <wp:extent cx="762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-6184265</wp:posOffset>
            </wp:positionV>
            <wp:extent cx="762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-6184265</wp:posOffset>
            </wp:positionV>
            <wp:extent cx="762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-6184265</wp:posOffset>
            </wp:positionV>
            <wp:extent cx="762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-6184265</wp:posOffset>
            </wp:positionV>
            <wp:extent cx="762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-6184265</wp:posOffset>
            </wp:positionV>
            <wp:extent cx="762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-6184265</wp:posOffset>
            </wp:positionV>
            <wp:extent cx="762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-6184265</wp:posOffset>
            </wp:positionV>
            <wp:extent cx="762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-6184265</wp:posOffset>
            </wp:positionV>
            <wp:extent cx="762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-6184265</wp:posOffset>
            </wp:positionV>
            <wp:extent cx="762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-6184265</wp:posOffset>
            </wp:positionV>
            <wp:extent cx="762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-6184265</wp:posOffset>
            </wp:positionV>
            <wp:extent cx="762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-6184265</wp:posOffset>
            </wp:positionV>
            <wp:extent cx="762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-6184265</wp:posOffset>
            </wp:positionV>
            <wp:extent cx="762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-6184265</wp:posOffset>
            </wp:positionV>
            <wp:extent cx="762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-6184265</wp:posOffset>
            </wp:positionV>
            <wp:extent cx="762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-6184265</wp:posOffset>
            </wp:positionV>
            <wp:extent cx="762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-6184265</wp:posOffset>
            </wp:positionV>
            <wp:extent cx="762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-6184265</wp:posOffset>
            </wp:positionV>
            <wp:extent cx="762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-6184265</wp:posOffset>
            </wp:positionV>
            <wp:extent cx="762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-6184265</wp:posOffset>
            </wp:positionV>
            <wp:extent cx="762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-6184265</wp:posOffset>
            </wp:positionV>
            <wp:extent cx="762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-6184265</wp:posOffset>
            </wp:positionV>
            <wp:extent cx="762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-6184265</wp:posOffset>
            </wp:positionV>
            <wp:extent cx="762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-6184265</wp:posOffset>
            </wp:positionV>
            <wp:extent cx="762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-6184265</wp:posOffset>
            </wp:positionV>
            <wp:extent cx="762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-6184265</wp:posOffset>
            </wp:positionV>
            <wp:extent cx="762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-6184265</wp:posOffset>
            </wp:positionV>
            <wp:extent cx="762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-6184265</wp:posOffset>
            </wp:positionV>
            <wp:extent cx="762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-6184265</wp:posOffset>
            </wp:positionV>
            <wp:extent cx="762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-6184265</wp:posOffset>
            </wp:positionV>
            <wp:extent cx="762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-6184265</wp:posOffset>
            </wp:positionV>
            <wp:extent cx="762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-6184265</wp:posOffset>
            </wp:positionV>
            <wp:extent cx="762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-6184265</wp:posOffset>
            </wp:positionV>
            <wp:extent cx="762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-6184265</wp:posOffset>
            </wp:positionV>
            <wp:extent cx="762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-6184265</wp:posOffset>
            </wp:positionV>
            <wp:extent cx="7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-6184265</wp:posOffset>
            </wp:positionV>
            <wp:extent cx="762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-6184265</wp:posOffset>
            </wp:positionV>
            <wp:extent cx="76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-6184265</wp:posOffset>
            </wp:positionV>
            <wp:extent cx="762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-6184265</wp:posOffset>
            </wp:positionV>
            <wp:extent cx="76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-6184265</wp:posOffset>
            </wp:positionV>
            <wp:extent cx="76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-6184265</wp:posOffset>
            </wp:positionV>
            <wp:extent cx="76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-6184265</wp:posOffset>
            </wp:positionV>
            <wp:extent cx="76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-6184265</wp:posOffset>
            </wp:positionV>
            <wp:extent cx="76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-6184265</wp:posOffset>
            </wp:positionV>
            <wp:extent cx="76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-6184265</wp:posOffset>
            </wp:positionV>
            <wp:extent cx="76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-6184265</wp:posOffset>
            </wp:positionV>
            <wp:extent cx="76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-6184265</wp:posOffset>
            </wp:positionV>
            <wp:extent cx="762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-6184265</wp:posOffset>
            </wp:positionV>
            <wp:extent cx="762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-6184265</wp:posOffset>
            </wp:positionV>
            <wp:extent cx="762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-6184265</wp:posOffset>
            </wp:positionV>
            <wp:extent cx="762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-6184265</wp:posOffset>
            </wp:positionV>
            <wp:extent cx="76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-6184265</wp:posOffset>
            </wp:positionV>
            <wp:extent cx="762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-6184265</wp:posOffset>
            </wp:positionV>
            <wp:extent cx="76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-6184265</wp:posOffset>
            </wp:positionV>
            <wp:extent cx="762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-6184265</wp:posOffset>
            </wp:positionV>
            <wp:extent cx="76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-6184265</wp:posOffset>
            </wp:positionV>
            <wp:extent cx="762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-6184265</wp:posOffset>
            </wp:positionV>
            <wp:extent cx="762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-6184265</wp:posOffset>
            </wp:positionV>
            <wp:extent cx="76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-6184265</wp:posOffset>
            </wp:positionV>
            <wp:extent cx="76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-6184265</wp:posOffset>
            </wp:positionV>
            <wp:extent cx="762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-6184265</wp:posOffset>
            </wp:positionV>
            <wp:extent cx="762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-6184265</wp:posOffset>
            </wp:positionV>
            <wp:extent cx="76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-6184265</wp:posOffset>
            </wp:positionV>
            <wp:extent cx="762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-6184265</wp:posOffset>
            </wp:positionV>
            <wp:extent cx="762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-6184265</wp:posOffset>
            </wp:positionV>
            <wp:extent cx="76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-6184265</wp:posOffset>
            </wp:positionV>
            <wp:extent cx="762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-6184265</wp:posOffset>
            </wp:positionV>
            <wp:extent cx="762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-6184265</wp:posOffset>
            </wp:positionV>
            <wp:extent cx="762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-6184265</wp:posOffset>
            </wp:positionV>
            <wp:extent cx="762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-6184265</wp:posOffset>
            </wp:positionV>
            <wp:extent cx="76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-6184265</wp:posOffset>
            </wp:positionV>
            <wp:extent cx="762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-6184265</wp:posOffset>
            </wp:positionV>
            <wp:extent cx="762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-6184265</wp:posOffset>
            </wp:positionV>
            <wp:extent cx="762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-6184265</wp:posOffset>
            </wp:positionV>
            <wp:extent cx="762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-6184265</wp:posOffset>
            </wp:positionV>
            <wp:extent cx="762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-6184265</wp:posOffset>
            </wp:positionV>
            <wp:extent cx="762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-6184265</wp:posOffset>
            </wp:positionV>
            <wp:extent cx="762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-6184265</wp:posOffset>
            </wp:positionV>
            <wp:extent cx="762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-6184265</wp:posOffset>
            </wp:positionV>
            <wp:extent cx="762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-6184265</wp:posOffset>
            </wp:positionV>
            <wp:extent cx="762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-6184265</wp:posOffset>
            </wp:positionV>
            <wp:extent cx="76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-6184265</wp:posOffset>
            </wp:positionV>
            <wp:extent cx="762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-6184265</wp:posOffset>
            </wp:positionV>
            <wp:extent cx="762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-6184265</wp:posOffset>
            </wp:positionV>
            <wp:extent cx="762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-6184265</wp:posOffset>
            </wp:positionV>
            <wp:extent cx="762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-6184265</wp:posOffset>
            </wp:positionV>
            <wp:extent cx="762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-6184265</wp:posOffset>
            </wp:positionV>
            <wp:extent cx="762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-6184265</wp:posOffset>
            </wp:positionV>
            <wp:extent cx="762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-6184265</wp:posOffset>
            </wp:positionV>
            <wp:extent cx="762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-6184265</wp:posOffset>
            </wp:positionV>
            <wp:extent cx="76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-6184265</wp:posOffset>
            </wp:positionV>
            <wp:extent cx="76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-6184265</wp:posOffset>
            </wp:positionV>
            <wp:extent cx="76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-6184265</wp:posOffset>
            </wp:positionV>
            <wp:extent cx="762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-6184265</wp:posOffset>
            </wp:positionV>
            <wp:extent cx="762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-6184265</wp:posOffset>
            </wp:positionV>
            <wp:extent cx="762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-6184265</wp:posOffset>
            </wp:positionV>
            <wp:extent cx="762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-6184265</wp:posOffset>
            </wp:positionV>
            <wp:extent cx="762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-6184265</wp:posOffset>
            </wp:positionV>
            <wp:extent cx="76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-6184265</wp:posOffset>
            </wp:positionV>
            <wp:extent cx="76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-6184265</wp:posOffset>
            </wp:positionV>
            <wp:extent cx="76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-6184265</wp:posOffset>
            </wp:positionV>
            <wp:extent cx="76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-6184265</wp:posOffset>
            </wp:positionV>
            <wp:extent cx="762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-6184265</wp:posOffset>
            </wp:positionV>
            <wp:extent cx="76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-6184265</wp:posOffset>
            </wp:positionV>
            <wp:extent cx="76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-6184265</wp:posOffset>
            </wp:positionV>
            <wp:extent cx="76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-6184265</wp:posOffset>
            </wp:positionV>
            <wp:extent cx="76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-6184265</wp:posOffset>
            </wp:positionV>
            <wp:extent cx="76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-6184265</wp:posOffset>
            </wp:positionV>
            <wp:extent cx="762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-6184265</wp:posOffset>
            </wp:positionV>
            <wp:extent cx="76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-6184265</wp:posOffset>
            </wp:positionV>
            <wp:extent cx="76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-6184265</wp:posOffset>
            </wp:positionV>
            <wp:extent cx="76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-6184265</wp:posOffset>
            </wp:positionV>
            <wp:extent cx="76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-6184265</wp:posOffset>
            </wp:positionV>
            <wp:extent cx="7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-6184265</wp:posOffset>
            </wp:positionV>
            <wp:extent cx="76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-6184265</wp:posOffset>
            </wp:positionV>
            <wp:extent cx="76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-6184265</wp:posOffset>
            </wp:positionV>
            <wp:extent cx="76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-6184265</wp:posOffset>
            </wp:positionV>
            <wp:extent cx="76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-6184265</wp:posOffset>
            </wp:positionV>
            <wp:extent cx="7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-6184265</wp:posOffset>
            </wp:positionV>
            <wp:extent cx="7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-6184265</wp:posOffset>
            </wp:positionV>
            <wp:extent cx="7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-6184265</wp:posOffset>
            </wp:positionV>
            <wp:extent cx="7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-6184265</wp:posOffset>
            </wp:positionV>
            <wp:extent cx="7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-6184265</wp:posOffset>
            </wp:positionV>
            <wp:extent cx="76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-6184265</wp:posOffset>
            </wp:positionV>
            <wp:extent cx="7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-6184265</wp:posOffset>
            </wp:positionV>
            <wp:extent cx="7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-6184265</wp:posOffset>
            </wp:positionV>
            <wp:extent cx="7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-6184265</wp:posOffset>
            </wp:positionV>
            <wp:extent cx="7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-6184265</wp:posOffset>
            </wp:positionV>
            <wp:extent cx="7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-6184265</wp:posOffset>
            </wp:positionV>
            <wp:extent cx="76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-6184265</wp:posOffset>
            </wp:positionV>
            <wp:extent cx="7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-6184265</wp:posOffset>
            </wp:positionV>
            <wp:extent cx="76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-6184265</wp:posOffset>
            </wp:positionV>
            <wp:extent cx="762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-6184265</wp:posOffset>
            </wp:positionV>
            <wp:extent cx="76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-6184265</wp:posOffset>
            </wp:positionV>
            <wp:extent cx="762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-6184265</wp:posOffset>
            </wp:positionV>
            <wp:extent cx="76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-6184265</wp:posOffset>
            </wp:positionV>
            <wp:extent cx="762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-6184265</wp:posOffset>
            </wp:positionV>
            <wp:extent cx="76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-6184265</wp:posOffset>
            </wp:positionV>
            <wp:extent cx="76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-6184265</wp:posOffset>
            </wp:positionV>
            <wp:extent cx="76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-6184265</wp:posOffset>
            </wp:positionV>
            <wp:extent cx="762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-6184265</wp:posOffset>
            </wp:positionV>
            <wp:extent cx="76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-6184265</wp:posOffset>
            </wp:positionV>
            <wp:extent cx="762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-6184265</wp:posOffset>
            </wp:positionV>
            <wp:extent cx="76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-6184265</wp:posOffset>
            </wp:positionV>
            <wp:extent cx="76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-6184265</wp:posOffset>
            </wp:positionV>
            <wp:extent cx="76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-6184265</wp:posOffset>
            </wp:positionV>
            <wp:extent cx="762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-6184265</wp:posOffset>
            </wp:positionV>
            <wp:extent cx="76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-6184265</wp:posOffset>
            </wp:positionV>
            <wp:extent cx="762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-6184265</wp:posOffset>
            </wp:positionV>
            <wp:extent cx="76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-6184265</wp:posOffset>
            </wp:positionV>
            <wp:extent cx="762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-6184265</wp:posOffset>
            </wp:positionV>
            <wp:extent cx="76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-6184265</wp:posOffset>
            </wp:positionV>
            <wp:extent cx="76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-6184265</wp:posOffset>
            </wp:positionV>
            <wp:extent cx="76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-6184265</wp:posOffset>
            </wp:positionV>
            <wp:extent cx="76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-6184265</wp:posOffset>
            </wp:positionV>
            <wp:extent cx="7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-6184265</wp:posOffset>
            </wp:positionV>
            <wp:extent cx="762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-6184265</wp:posOffset>
            </wp:positionV>
            <wp:extent cx="76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-6184265</wp:posOffset>
            </wp:positionV>
            <wp:extent cx="76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-6184265</wp:posOffset>
            </wp:positionV>
            <wp:extent cx="76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-6184265</wp:posOffset>
            </wp:positionV>
            <wp:extent cx="76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-6184265</wp:posOffset>
            </wp:positionV>
            <wp:extent cx="76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-6184265</wp:posOffset>
            </wp:positionV>
            <wp:extent cx="762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-6184265</wp:posOffset>
            </wp:positionV>
            <wp:extent cx="76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-6184265</wp:posOffset>
            </wp:positionV>
            <wp:extent cx="762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-6184265</wp:posOffset>
            </wp:positionV>
            <wp:extent cx="76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-6184265</wp:posOffset>
            </wp:positionV>
            <wp:extent cx="762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-6184265</wp:posOffset>
            </wp:positionV>
            <wp:extent cx="7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-6184265</wp:posOffset>
            </wp:positionV>
            <wp:extent cx="7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-6184265</wp:posOffset>
            </wp:positionV>
            <wp:extent cx="76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-6184265</wp:posOffset>
            </wp:positionV>
            <wp:extent cx="76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-6184265</wp:posOffset>
            </wp:positionV>
            <wp:extent cx="76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-6184265</wp:posOffset>
            </wp:positionV>
            <wp:extent cx="76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-6184265</wp:posOffset>
            </wp:positionV>
            <wp:extent cx="76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-6184265</wp:posOffset>
            </wp:positionV>
            <wp:extent cx="762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-6184265</wp:posOffset>
            </wp:positionV>
            <wp:extent cx="76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-6184265</wp:posOffset>
            </wp:positionV>
            <wp:extent cx="76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-6184265</wp:posOffset>
            </wp:positionV>
            <wp:extent cx="76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-6184265</wp:posOffset>
            </wp:positionV>
            <wp:extent cx="762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-6184265</wp:posOffset>
            </wp:positionV>
            <wp:extent cx="76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-6184265</wp:posOffset>
            </wp:positionV>
            <wp:extent cx="762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-6184265</wp:posOffset>
            </wp:positionV>
            <wp:extent cx="76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-6184265</wp:posOffset>
            </wp:positionV>
            <wp:extent cx="76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-6184265</wp:posOffset>
            </wp:positionV>
            <wp:extent cx="76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-6184265</wp:posOffset>
            </wp:positionV>
            <wp:extent cx="762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-6184265</wp:posOffset>
            </wp:positionV>
            <wp:extent cx="76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-6184265</wp:posOffset>
            </wp:positionV>
            <wp:extent cx="7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-6184265</wp:posOffset>
            </wp:positionV>
            <wp:extent cx="76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-6184265</wp:posOffset>
            </wp:positionV>
            <wp:extent cx="76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-6184265</wp:posOffset>
            </wp:positionV>
            <wp:extent cx="7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-6184265</wp:posOffset>
            </wp:positionV>
            <wp:extent cx="76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-6184265</wp:posOffset>
            </wp:positionV>
            <wp:extent cx="76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-6184265</wp:posOffset>
            </wp:positionV>
            <wp:extent cx="762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-6184265</wp:posOffset>
            </wp:positionV>
            <wp:extent cx="76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-6184265</wp:posOffset>
            </wp:positionV>
            <wp:extent cx="76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-6184265</wp:posOffset>
            </wp:positionV>
            <wp:extent cx="7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-6184265</wp:posOffset>
            </wp:positionV>
            <wp:extent cx="76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-6184265</wp:posOffset>
            </wp:positionV>
            <wp:extent cx="7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-6184265</wp:posOffset>
            </wp:positionV>
            <wp:extent cx="7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-6184265</wp:posOffset>
            </wp:positionV>
            <wp:extent cx="7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-6184265</wp:posOffset>
            </wp:positionV>
            <wp:extent cx="76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-6184265</wp:posOffset>
            </wp:positionV>
            <wp:extent cx="7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-6184265</wp:posOffset>
            </wp:positionV>
            <wp:extent cx="76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-6184265</wp:posOffset>
            </wp:positionV>
            <wp:extent cx="76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-6184265</wp:posOffset>
            </wp:positionV>
            <wp:extent cx="76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-6184265</wp:posOffset>
            </wp:positionV>
            <wp:extent cx="762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-6184265</wp:posOffset>
            </wp:positionV>
            <wp:extent cx="762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-6184265</wp:posOffset>
            </wp:positionV>
            <wp:extent cx="762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-6184265</wp:posOffset>
            </wp:positionV>
            <wp:extent cx="762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-6184265</wp:posOffset>
            </wp:positionV>
            <wp:extent cx="762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-6184265</wp:posOffset>
            </wp:positionV>
            <wp:extent cx="762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-6184265</wp:posOffset>
            </wp:positionV>
            <wp:extent cx="76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-6184265</wp:posOffset>
            </wp:positionV>
            <wp:extent cx="76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-6184265</wp:posOffset>
            </wp:positionV>
            <wp:extent cx="762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-6184265</wp:posOffset>
            </wp:positionV>
            <wp:extent cx="76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-6184265</wp:posOffset>
            </wp:positionV>
            <wp:extent cx="762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-6184265</wp:posOffset>
            </wp:positionV>
            <wp:extent cx="76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-6184265</wp:posOffset>
            </wp:positionV>
            <wp:extent cx="762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-6184265</wp:posOffset>
            </wp:positionV>
            <wp:extent cx="76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-6184265</wp:posOffset>
            </wp:positionV>
            <wp:extent cx="76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-6184265</wp:posOffset>
            </wp:positionV>
            <wp:extent cx="76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-6184265</wp:posOffset>
            </wp:positionV>
            <wp:extent cx="762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-6184265</wp:posOffset>
            </wp:positionV>
            <wp:extent cx="76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-6184265</wp:posOffset>
            </wp:positionV>
            <wp:extent cx="762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-6184265</wp:posOffset>
            </wp:positionV>
            <wp:extent cx="76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-6184265</wp:posOffset>
            </wp:positionV>
            <wp:extent cx="762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-6184265</wp:posOffset>
            </wp:positionV>
            <wp:extent cx="76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-6184265</wp:posOffset>
            </wp:positionV>
            <wp:extent cx="762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-6184265</wp:posOffset>
            </wp:positionV>
            <wp:extent cx="76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-6184265</wp:posOffset>
            </wp:positionV>
            <wp:extent cx="76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-6184265</wp:posOffset>
            </wp:positionV>
            <wp:extent cx="76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-6184265</wp:posOffset>
            </wp:positionV>
            <wp:extent cx="762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-6184265</wp:posOffset>
            </wp:positionV>
            <wp:extent cx="76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-6184265</wp:posOffset>
            </wp:positionV>
            <wp:extent cx="76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-6184265</wp:posOffset>
            </wp:positionV>
            <wp:extent cx="76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-6184265</wp:posOffset>
            </wp:positionV>
            <wp:extent cx="762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-6184265</wp:posOffset>
            </wp:positionV>
            <wp:extent cx="762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-6184265</wp:posOffset>
            </wp:positionV>
            <wp:extent cx="762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-6184265</wp:posOffset>
            </wp:positionV>
            <wp:extent cx="76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-6184265</wp:posOffset>
            </wp:positionV>
            <wp:extent cx="762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-6184265</wp:posOffset>
            </wp:positionV>
            <wp:extent cx="762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-6184265</wp:posOffset>
            </wp:positionV>
            <wp:extent cx="76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-6184265</wp:posOffset>
            </wp:positionV>
            <wp:extent cx="762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-6184265</wp:posOffset>
            </wp:positionV>
            <wp:extent cx="762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-6184265</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-6184265</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-6184265</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-6184265</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-6184265</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-6184265</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-6184265</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-6184265</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-6184265</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-6184265</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-6184265</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-6184265</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-6184265</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-6184265</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-6184265</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-6184265</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-6184265</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-6184265</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-6184265</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-6184265</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-6184265</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-6184265</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-6184265</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-6184265</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-6286500</wp:posOffset>
            </wp:positionV>
            <wp:extent cx="5461635" cy="63030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5461635" cy="630301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-6286500</wp:posOffset>
            </wp:positionV>
            <wp:extent cx="5461635" cy="63030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5461635" cy="630301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321945</wp:posOffset>
            </wp:positionV>
            <wp:extent cx="5461635" cy="234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47" w:name="page48"/>
    <w:bookmarkEnd w:id="47"/>
    <w:tbl>
      <w:tblPr>
        <w:tblLayout w:type="fixed"/>
        <w:tblInd w:w="20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040" w:type="dxa"/>
            <w:vAlign w:val="bottom"/>
            <w:tcBorders>
              <w:bottom w:val="single" w:sz="8" w:color="0000EE"/>
            </w:tcBorders>
            <w:gridSpan w:val="2"/>
          </w:tcPr>
          <w:p>
            <w:pPr>
              <w:spacing w:after="0"/>
              <w:rPr>
                <w:rFonts w:ascii="Arial" w:cs="Arial" w:eastAsia="Arial" w:hAnsi="Arial"/>
                <w:sz w:val="20"/>
                <w:szCs w:val="20"/>
                <w:color w:val="0000EE"/>
                <w:highlight w:val="white"/>
                <w:w w:val="87"/>
              </w:rPr>
            </w:pPr>
            <w:hyperlink w:anchor="page128">
              <w:r>
                <w:rPr>
                  <w:rFonts w:ascii="Arial" w:cs="Arial" w:eastAsia="Arial" w:hAnsi="Arial"/>
                  <w:sz w:val="20"/>
                  <w:szCs w:val="20"/>
                  <w:color w:val="0000EE"/>
                  <w:highlight w:val="white"/>
                  <w:w w:val="87"/>
                </w:rPr>
                <w:t>Section 12.6.</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60" w:type="dxa"/>
            <w:vAlign w:val="bottom"/>
            <w:tcBorders>
              <w:bottom w:val="single" w:sz="8" w:color="0000EE"/>
            </w:tcBorders>
            <w:gridSpan w:val="22"/>
          </w:tcPr>
          <w:p>
            <w:pPr>
              <w:spacing w:after="0"/>
              <w:rPr>
                <w:rFonts w:ascii="Arial" w:cs="Arial" w:eastAsia="Arial" w:hAnsi="Arial"/>
                <w:sz w:val="20"/>
                <w:szCs w:val="20"/>
                <w:color w:val="0000EE"/>
                <w:highlight w:val="white"/>
                <w:w w:val="91"/>
              </w:rPr>
            </w:pPr>
            <w:hyperlink w:anchor="page128">
              <w:r>
                <w:rPr>
                  <w:rFonts w:ascii="Arial" w:cs="Arial" w:eastAsia="Arial" w:hAnsi="Arial"/>
                  <w:sz w:val="20"/>
                  <w:szCs w:val="20"/>
                  <w:color w:val="0000EE"/>
                  <w:highlight w:val="white"/>
                  <w:w w:val="91"/>
                </w:rPr>
                <w:t>Survival of Indemnities</w:t>
              </w:r>
            </w:hyperlink>
          </w:p>
        </w:tc>
        <w:tc>
          <w:tcPr>
            <w:tcW w:w="4700" w:type="dxa"/>
            <w:vAlign w:val="bottom"/>
            <w:gridSpan w:val="10"/>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28">
              <w:r>
                <w:rPr>
                  <w:rFonts w:ascii="Arial" w:cs="Arial" w:eastAsia="Arial" w:hAnsi="Arial"/>
                  <w:sz w:val="20"/>
                  <w:szCs w:val="20"/>
                  <w:color w:val="0000EE"/>
                  <w:w w:val="80"/>
                </w:rPr>
                <w:t>80</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7"/>
              </w:rPr>
            </w:pPr>
            <w:hyperlink w:anchor="page129">
              <w:r>
                <w:rPr>
                  <w:rFonts w:ascii="Arial" w:cs="Arial" w:eastAsia="Arial" w:hAnsi="Arial"/>
                  <w:sz w:val="20"/>
                  <w:szCs w:val="20"/>
                  <w:color w:val="0000EE"/>
                  <w:highlight w:val="white"/>
                  <w:w w:val="87"/>
                </w:rPr>
                <w:t>Section 12.7.</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0000EE"/>
            </w:tcBorders>
            <w:gridSpan w:val="14"/>
          </w:tcPr>
          <w:p>
            <w:pPr>
              <w:spacing w:after="0" w:line="203" w:lineRule="exact"/>
              <w:rPr>
                <w:rFonts w:ascii="Arial" w:cs="Arial" w:eastAsia="Arial" w:hAnsi="Arial"/>
                <w:sz w:val="20"/>
                <w:szCs w:val="20"/>
                <w:color w:val="0000EE"/>
                <w:highlight w:val="white"/>
                <w:w w:val="88"/>
              </w:rPr>
            </w:pPr>
            <w:hyperlink w:anchor="page129">
              <w:r>
                <w:rPr>
                  <w:rFonts w:ascii="Arial" w:cs="Arial" w:eastAsia="Arial" w:hAnsi="Arial"/>
                  <w:sz w:val="20"/>
                  <w:szCs w:val="20"/>
                  <w:color w:val="0000EE"/>
                  <w:highlight w:val="white"/>
                  <w:w w:val="88"/>
                </w:rPr>
                <w:t>Sharing of SetOff</w:t>
              </w:r>
            </w:hyperlink>
          </w:p>
        </w:tc>
        <w:tc>
          <w:tcPr>
            <w:tcW w:w="5180" w:type="dxa"/>
            <w:vAlign w:val="bottom"/>
            <w:gridSpan w:val="18"/>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29">
              <w:r>
                <w:rPr>
                  <w:rFonts w:ascii="Arial" w:cs="Arial" w:eastAsia="Arial" w:hAnsi="Arial"/>
                  <w:sz w:val="20"/>
                  <w:szCs w:val="20"/>
                  <w:color w:val="0000EE"/>
                  <w:w w:val="80"/>
                </w:rPr>
                <w:t>80</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7"/>
              </w:rPr>
            </w:pPr>
            <w:hyperlink w:anchor="page129">
              <w:r>
                <w:rPr>
                  <w:rFonts w:ascii="Arial" w:cs="Arial" w:eastAsia="Arial" w:hAnsi="Arial"/>
                  <w:sz w:val="20"/>
                  <w:szCs w:val="20"/>
                  <w:color w:val="0000EE"/>
                  <w:highlight w:val="white"/>
                  <w:w w:val="87"/>
                </w:rPr>
                <w:t>Section 12.8.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3"/>
              </w:rPr>
            </w:pPr>
            <w:hyperlink w:anchor="page129">
              <w:r>
                <w:rPr>
                  <w:rFonts w:ascii="Arial" w:cs="Arial" w:eastAsia="Arial" w:hAnsi="Arial"/>
                  <w:sz w:val="20"/>
                  <w:szCs w:val="20"/>
                  <w:color w:val="0000EE"/>
                  <w:highlight w:val="white"/>
                  <w:w w:val="83"/>
                </w:rPr>
                <w:t>Notices</w:t>
              </w:r>
            </w:hyperlink>
          </w:p>
        </w:tc>
        <w:tc>
          <w:tcPr>
            <w:tcW w:w="5980" w:type="dxa"/>
            <w:vAlign w:val="bottom"/>
            <w:gridSpan w:val="30"/>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29">
              <w:r>
                <w:rPr>
                  <w:rFonts w:ascii="Arial" w:cs="Arial" w:eastAsia="Arial" w:hAnsi="Arial"/>
                  <w:sz w:val="20"/>
                  <w:szCs w:val="20"/>
                  <w:color w:val="0000EE"/>
                  <w:w w:val="80"/>
                </w:rPr>
                <w:t>80</w:t>
              </w:r>
            </w:hyperlink>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7"/>
              </w:rPr>
            </w:pPr>
            <w:hyperlink w:anchor="page130">
              <w:r>
                <w:rPr>
                  <w:rFonts w:ascii="Arial" w:cs="Arial" w:eastAsia="Arial" w:hAnsi="Arial"/>
                  <w:sz w:val="20"/>
                  <w:szCs w:val="20"/>
                  <w:color w:val="0000EE"/>
                  <w:highlight w:val="white"/>
                  <w:w w:val="87"/>
                </w:rPr>
                <w:t>Section 12.9.</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203" w:lineRule="exact"/>
              <w:rPr>
                <w:rFonts w:ascii="Arial" w:cs="Arial" w:eastAsia="Arial" w:hAnsi="Arial"/>
                <w:sz w:val="20"/>
                <w:szCs w:val="20"/>
                <w:color w:val="0000EE"/>
                <w:highlight w:val="white"/>
                <w:w w:val="84"/>
              </w:rPr>
            </w:pPr>
            <w:hyperlink w:anchor="page130">
              <w:r>
                <w:rPr>
                  <w:rFonts w:ascii="Arial" w:cs="Arial" w:eastAsia="Arial" w:hAnsi="Arial"/>
                  <w:sz w:val="20"/>
                  <w:szCs w:val="20"/>
                  <w:color w:val="0000EE"/>
                  <w:highlight w:val="white"/>
                  <w:w w:val="84"/>
                </w:rPr>
                <w:t>Counterparts</w:t>
              </w:r>
            </w:hyperlink>
          </w:p>
        </w:tc>
        <w:tc>
          <w:tcPr>
            <w:tcW w:w="5560" w:type="dxa"/>
            <w:vAlign w:val="bottom"/>
            <w:gridSpan w:val="26"/>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0">
              <w:r>
                <w:rPr>
                  <w:rFonts w:ascii="Arial" w:cs="Arial" w:eastAsia="Arial" w:hAnsi="Arial"/>
                  <w:sz w:val="20"/>
                  <w:szCs w:val="20"/>
                  <w:color w:val="0000EE"/>
                  <w:w w:val="80"/>
                </w:rPr>
                <w:t>81</w:t>
              </w:r>
            </w:hyperlink>
          </w:p>
        </w:tc>
      </w:tr>
      <w:tr>
        <w:trPr>
          <w:trHeight w:val="203"/>
        </w:trPr>
        <w:tc>
          <w:tcPr>
            <w:tcW w:w="300" w:type="dxa"/>
            <w:vAlign w:val="bottom"/>
          </w:tcPr>
          <w:p>
            <w:pPr>
              <w:spacing w:after="0"/>
              <w:rPr>
                <w:sz w:val="17"/>
                <w:szCs w:val="17"/>
                <w:color w:val="auto"/>
              </w:rPr>
            </w:pPr>
          </w:p>
        </w:tc>
        <w:tc>
          <w:tcPr>
            <w:tcW w:w="1140" w:type="dxa"/>
            <w:vAlign w:val="bottom"/>
            <w:gridSpan w:val="3"/>
          </w:tcPr>
          <w:p>
            <w:pPr>
              <w:spacing w:after="0" w:line="203" w:lineRule="exact"/>
              <w:rPr>
                <w:rFonts w:ascii="Arial" w:cs="Arial" w:eastAsia="Arial" w:hAnsi="Arial"/>
                <w:sz w:val="20"/>
                <w:szCs w:val="20"/>
                <w:color w:val="0000EE"/>
                <w:highlight w:val="white"/>
                <w:w w:val="87"/>
              </w:rPr>
            </w:pPr>
            <w:hyperlink w:anchor="page130">
              <w:r>
                <w:rPr>
                  <w:rFonts w:ascii="Arial" w:cs="Arial" w:eastAsia="Arial" w:hAnsi="Arial"/>
                  <w:sz w:val="20"/>
                  <w:szCs w:val="20"/>
                  <w:color w:val="0000EE"/>
                  <w:highlight w:val="white"/>
                  <w:w w:val="87"/>
                </w:rPr>
                <w:t>Section 12.10.</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30">
              <w:r>
                <w:rPr>
                  <w:rFonts w:ascii="Arial" w:cs="Arial" w:eastAsia="Arial" w:hAnsi="Arial"/>
                  <w:sz w:val="20"/>
                  <w:szCs w:val="20"/>
                  <w:color w:val="0000EE"/>
                  <w:highlight w:val="white"/>
                </w:rPr>
                <w:t>Successors and Assigns</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0">
              <w:r>
                <w:rPr>
                  <w:rFonts w:ascii="Arial" w:cs="Arial" w:eastAsia="Arial" w:hAnsi="Arial"/>
                  <w:sz w:val="20"/>
                  <w:szCs w:val="20"/>
                  <w:color w:val="0000EE"/>
                </w:rPr>
                <w:t>81</w:t>
              </w:r>
            </w:hyperlink>
          </w:p>
        </w:tc>
      </w:tr>
      <w:tr>
        <w:trPr>
          <w:trHeight w:val="203"/>
        </w:trPr>
        <w:tc>
          <w:tcPr>
            <w:tcW w:w="3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0">
              <w:r>
                <w:rPr>
                  <w:rFonts w:ascii="Arial" w:cs="Arial" w:eastAsia="Arial" w:hAnsi="Arial"/>
                  <w:sz w:val="20"/>
                  <w:szCs w:val="20"/>
                  <w:color w:val="0000EE"/>
                  <w:highlight w:val="white"/>
                  <w:w w:val="87"/>
                </w:rPr>
                <w:t>Section 12.11.</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203" w:lineRule="exact"/>
              <w:rPr>
                <w:rFonts w:ascii="Arial" w:cs="Arial" w:eastAsia="Arial" w:hAnsi="Arial"/>
                <w:sz w:val="20"/>
                <w:szCs w:val="20"/>
                <w:color w:val="0000EE"/>
                <w:highlight w:val="white"/>
                <w:w w:val="88"/>
              </w:rPr>
            </w:pPr>
            <w:hyperlink w:anchor="page130">
              <w:r>
                <w:rPr>
                  <w:rFonts w:ascii="Arial" w:cs="Arial" w:eastAsia="Arial" w:hAnsi="Arial"/>
                  <w:sz w:val="20"/>
                  <w:szCs w:val="20"/>
                  <w:color w:val="0000EE"/>
                  <w:highlight w:val="white"/>
                  <w:w w:val="88"/>
                </w:rPr>
                <w:t>Participants</w:t>
              </w:r>
            </w:hyperlink>
          </w:p>
        </w:tc>
        <w:tc>
          <w:tcPr>
            <w:tcW w:w="940" w:type="dxa"/>
            <w:vAlign w:val="bottom"/>
            <w:tcBorders>
              <w:top w:val="single" w:sz="8" w:color="0000EE"/>
            </w:tcBorders>
            <w:gridSpan w:val="18"/>
          </w:tcPr>
          <w:p>
            <w:pPr>
              <w:spacing w:after="0"/>
              <w:rPr>
                <w:sz w:val="17"/>
                <w:szCs w:val="17"/>
                <w:color w:val="auto"/>
              </w:rPr>
            </w:pPr>
          </w:p>
        </w:tc>
        <w:tc>
          <w:tcPr>
            <w:tcW w:w="468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30">
              <w:r>
                <w:rPr>
                  <w:rFonts w:ascii="Arial" w:cs="Arial" w:eastAsia="Arial" w:hAnsi="Arial"/>
                  <w:sz w:val="20"/>
                  <w:szCs w:val="20"/>
                  <w:color w:val="0000EE"/>
                  <w:w w:val="80"/>
                </w:rPr>
                <w:t>81</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1">
              <w:r>
                <w:rPr>
                  <w:rFonts w:ascii="Arial" w:cs="Arial" w:eastAsia="Arial" w:hAnsi="Arial"/>
                  <w:sz w:val="20"/>
                  <w:szCs w:val="20"/>
                  <w:color w:val="0000EE"/>
                  <w:highlight w:val="white"/>
                  <w:w w:val="87"/>
                </w:rPr>
                <w:t>Section 12.12.</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0000EE"/>
            </w:tcBorders>
            <w:gridSpan w:val="8"/>
          </w:tcPr>
          <w:p>
            <w:pPr>
              <w:spacing w:after="0" w:line="203" w:lineRule="exact"/>
              <w:rPr>
                <w:rFonts w:ascii="Arial" w:cs="Arial" w:eastAsia="Arial" w:hAnsi="Arial"/>
                <w:sz w:val="20"/>
                <w:szCs w:val="20"/>
                <w:color w:val="0000EE"/>
                <w:highlight w:val="white"/>
                <w:w w:val="90"/>
              </w:rPr>
            </w:pPr>
            <w:hyperlink w:anchor="page131">
              <w:r>
                <w:rPr>
                  <w:rFonts w:ascii="Arial" w:cs="Arial" w:eastAsia="Arial" w:hAnsi="Arial"/>
                  <w:sz w:val="20"/>
                  <w:szCs w:val="20"/>
                  <w:color w:val="0000EE"/>
                  <w:highlight w:val="white"/>
                  <w:w w:val="90"/>
                </w:rPr>
                <w:t>Assignments</w:t>
              </w:r>
            </w:hyperlink>
          </w:p>
        </w:tc>
        <w:tc>
          <w:tcPr>
            <w:tcW w:w="550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1">
              <w:r>
                <w:rPr>
                  <w:rFonts w:ascii="Arial" w:cs="Arial" w:eastAsia="Arial" w:hAnsi="Arial"/>
                  <w:sz w:val="20"/>
                  <w:szCs w:val="20"/>
                  <w:color w:val="0000EE"/>
                  <w:w w:val="80"/>
                </w:rPr>
                <w:t>82</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3">
              <w:r>
                <w:rPr>
                  <w:rFonts w:ascii="Arial" w:cs="Arial" w:eastAsia="Arial" w:hAnsi="Arial"/>
                  <w:sz w:val="20"/>
                  <w:szCs w:val="20"/>
                  <w:color w:val="0000EE"/>
                  <w:highlight w:val="white"/>
                  <w:w w:val="87"/>
                </w:rPr>
                <w:t>Section 12.13.</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0000EE"/>
            </w:tcBorders>
            <w:gridSpan w:val="8"/>
          </w:tcPr>
          <w:p>
            <w:pPr>
              <w:spacing w:after="0" w:line="203" w:lineRule="exact"/>
              <w:rPr>
                <w:rFonts w:ascii="Arial" w:cs="Arial" w:eastAsia="Arial" w:hAnsi="Arial"/>
                <w:sz w:val="20"/>
                <w:szCs w:val="20"/>
                <w:color w:val="0000EE"/>
                <w:highlight w:val="white"/>
                <w:w w:val="88"/>
              </w:rPr>
            </w:pPr>
            <w:hyperlink w:anchor="page133">
              <w:r>
                <w:rPr>
                  <w:rFonts w:ascii="Arial" w:cs="Arial" w:eastAsia="Arial" w:hAnsi="Arial"/>
                  <w:sz w:val="20"/>
                  <w:szCs w:val="20"/>
                  <w:color w:val="0000EE"/>
                  <w:highlight w:val="white"/>
                  <w:w w:val="88"/>
                </w:rPr>
                <w:t>Amendments</w:t>
              </w:r>
            </w:hyperlink>
          </w:p>
        </w:tc>
        <w:tc>
          <w:tcPr>
            <w:tcW w:w="550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3">
              <w:r>
                <w:rPr>
                  <w:rFonts w:ascii="Arial" w:cs="Arial" w:eastAsia="Arial" w:hAnsi="Arial"/>
                  <w:sz w:val="20"/>
                  <w:szCs w:val="20"/>
                  <w:color w:val="0000EE"/>
                  <w:w w:val="80"/>
                </w:rPr>
                <w:t>84</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4">
              <w:r>
                <w:rPr>
                  <w:rFonts w:ascii="Arial" w:cs="Arial" w:eastAsia="Arial" w:hAnsi="Arial"/>
                  <w:sz w:val="20"/>
                  <w:szCs w:val="20"/>
                  <w:color w:val="0000EE"/>
                  <w:highlight w:val="white"/>
                  <w:w w:val="87"/>
                </w:rPr>
                <w:t>Section 12.14.</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203" w:lineRule="exact"/>
              <w:rPr>
                <w:rFonts w:ascii="Arial" w:cs="Arial" w:eastAsia="Arial" w:hAnsi="Arial"/>
                <w:sz w:val="20"/>
                <w:szCs w:val="20"/>
                <w:color w:val="0000EE"/>
                <w:highlight w:val="white"/>
                <w:w w:val="87"/>
              </w:rPr>
            </w:pPr>
            <w:hyperlink w:anchor="page134">
              <w:r>
                <w:rPr>
                  <w:rFonts w:ascii="Arial" w:cs="Arial" w:eastAsia="Arial" w:hAnsi="Arial"/>
                  <w:sz w:val="20"/>
                  <w:szCs w:val="20"/>
                  <w:color w:val="0000EE"/>
                  <w:highlight w:val="white"/>
                  <w:w w:val="87"/>
                </w:rPr>
                <w:t>Headings</w:t>
              </w:r>
            </w:hyperlink>
          </w:p>
        </w:tc>
        <w:tc>
          <w:tcPr>
            <w:tcW w:w="5800" w:type="dxa"/>
            <w:vAlign w:val="bottom"/>
            <w:gridSpan w:val="28"/>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4">
              <w:r>
                <w:rPr>
                  <w:rFonts w:ascii="Arial" w:cs="Arial" w:eastAsia="Arial" w:hAnsi="Arial"/>
                  <w:sz w:val="20"/>
                  <w:szCs w:val="20"/>
                  <w:color w:val="0000EE"/>
                  <w:w w:val="80"/>
                </w:rPr>
                <w:t>85</w:t>
              </w:r>
            </w:hyperlink>
          </w:p>
        </w:tc>
      </w:tr>
      <w:tr>
        <w:trPr>
          <w:trHeight w:val="203"/>
        </w:trPr>
        <w:tc>
          <w:tcPr>
            <w:tcW w:w="300" w:type="dxa"/>
            <w:vAlign w:val="bottom"/>
          </w:tcPr>
          <w:p>
            <w:pPr>
              <w:spacing w:after="0"/>
              <w:rPr>
                <w:sz w:val="17"/>
                <w:szCs w:val="17"/>
                <w:color w:val="auto"/>
              </w:rPr>
            </w:pPr>
          </w:p>
        </w:tc>
        <w:tc>
          <w:tcPr>
            <w:tcW w:w="1140" w:type="dxa"/>
            <w:vAlign w:val="bottom"/>
            <w:gridSpan w:val="3"/>
          </w:tcPr>
          <w:p>
            <w:pPr>
              <w:spacing w:after="0" w:line="203" w:lineRule="exact"/>
              <w:rPr>
                <w:rFonts w:ascii="Arial" w:cs="Arial" w:eastAsia="Arial" w:hAnsi="Arial"/>
                <w:sz w:val="20"/>
                <w:szCs w:val="20"/>
                <w:color w:val="0000EE"/>
                <w:highlight w:val="white"/>
                <w:w w:val="87"/>
              </w:rPr>
            </w:pPr>
            <w:hyperlink w:anchor="page134">
              <w:r>
                <w:rPr>
                  <w:rFonts w:ascii="Arial" w:cs="Arial" w:eastAsia="Arial" w:hAnsi="Arial"/>
                  <w:sz w:val="20"/>
                  <w:szCs w:val="20"/>
                  <w:color w:val="0000EE"/>
                  <w:highlight w:val="white"/>
                  <w:w w:val="87"/>
                </w:rPr>
                <w:t>Section 12.15.</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34">
              <w:r>
                <w:rPr>
                  <w:rFonts w:ascii="Arial" w:cs="Arial" w:eastAsia="Arial" w:hAnsi="Arial"/>
                  <w:sz w:val="20"/>
                  <w:szCs w:val="20"/>
                  <w:color w:val="0000EE"/>
                  <w:highlight w:val="white"/>
                </w:rPr>
                <w:t>Costs and Expenses; Indemnification</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4">
              <w:r>
                <w:rPr>
                  <w:rFonts w:ascii="Arial" w:cs="Arial" w:eastAsia="Arial" w:hAnsi="Arial"/>
                  <w:sz w:val="20"/>
                  <w:szCs w:val="20"/>
                  <w:color w:val="0000EE"/>
                </w:rPr>
                <w:t>85</w:t>
              </w:r>
            </w:hyperlink>
          </w:p>
        </w:tc>
      </w:tr>
      <w:tr>
        <w:trPr>
          <w:trHeight w:val="203"/>
        </w:trPr>
        <w:tc>
          <w:tcPr>
            <w:tcW w:w="3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5">
              <w:r>
                <w:rPr>
                  <w:rFonts w:ascii="Arial" w:cs="Arial" w:eastAsia="Arial" w:hAnsi="Arial"/>
                  <w:sz w:val="20"/>
                  <w:szCs w:val="20"/>
                  <w:color w:val="0000EE"/>
                  <w:highlight w:val="white"/>
                  <w:w w:val="87"/>
                </w:rPr>
                <w:t>Section 12.16.</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203" w:lineRule="exact"/>
              <w:rPr>
                <w:rFonts w:ascii="Arial" w:cs="Arial" w:eastAsia="Arial" w:hAnsi="Arial"/>
                <w:sz w:val="20"/>
                <w:szCs w:val="20"/>
                <w:color w:val="0000EE"/>
                <w:highlight w:val="white"/>
                <w:w w:val="87"/>
              </w:rPr>
            </w:pPr>
            <w:hyperlink w:anchor="page135">
              <w:r>
                <w:rPr>
                  <w:rFonts w:ascii="Arial" w:cs="Arial" w:eastAsia="Arial" w:hAnsi="Arial"/>
                  <w:sz w:val="20"/>
                  <w:szCs w:val="20"/>
                  <w:color w:val="0000EE"/>
                  <w:highlight w:val="white"/>
                  <w:w w:val="87"/>
                </w:rPr>
                <w:t>Setoff</w:t>
              </w:r>
            </w:hyperlink>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35">
              <w:r>
                <w:rPr>
                  <w:rFonts w:ascii="Arial" w:cs="Arial" w:eastAsia="Arial" w:hAnsi="Arial"/>
                  <w:sz w:val="20"/>
                  <w:szCs w:val="20"/>
                  <w:color w:val="0000EE"/>
                  <w:w w:val="80"/>
                </w:rPr>
                <w:t>86</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5">
              <w:r>
                <w:rPr>
                  <w:rFonts w:ascii="Arial" w:cs="Arial" w:eastAsia="Arial" w:hAnsi="Arial"/>
                  <w:sz w:val="20"/>
                  <w:szCs w:val="20"/>
                  <w:color w:val="0000EE"/>
                  <w:highlight w:val="white"/>
                  <w:w w:val="87"/>
                </w:rPr>
                <w:t>Section 12.17.</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0000EE"/>
            </w:tcBorders>
            <w:gridSpan w:val="15"/>
          </w:tcPr>
          <w:p>
            <w:pPr>
              <w:spacing w:after="0" w:line="203" w:lineRule="exact"/>
              <w:rPr>
                <w:rFonts w:ascii="Arial" w:cs="Arial" w:eastAsia="Arial" w:hAnsi="Arial"/>
                <w:sz w:val="20"/>
                <w:szCs w:val="20"/>
                <w:color w:val="0000EE"/>
                <w:highlight w:val="white"/>
                <w:w w:val="89"/>
              </w:rPr>
            </w:pPr>
            <w:hyperlink w:anchor="page135">
              <w:r>
                <w:rPr>
                  <w:rFonts w:ascii="Arial" w:cs="Arial" w:eastAsia="Arial" w:hAnsi="Arial"/>
                  <w:sz w:val="20"/>
                  <w:szCs w:val="20"/>
                  <w:color w:val="0000EE"/>
                  <w:highlight w:val="white"/>
                  <w:w w:val="89"/>
                </w:rPr>
                <w:t>Entire Agreement</w:t>
              </w:r>
            </w:hyperlink>
          </w:p>
        </w:tc>
        <w:tc>
          <w:tcPr>
            <w:tcW w:w="5140" w:type="dxa"/>
            <w:vAlign w:val="bottom"/>
            <w:gridSpan w:val="17"/>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5">
              <w:r>
                <w:rPr>
                  <w:rFonts w:ascii="Arial" w:cs="Arial" w:eastAsia="Arial" w:hAnsi="Arial"/>
                  <w:sz w:val="20"/>
                  <w:szCs w:val="20"/>
                  <w:color w:val="0000EE"/>
                  <w:w w:val="80"/>
                </w:rPr>
                <w:t>86</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5">
              <w:r>
                <w:rPr>
                  <w:rFonts w:ascii="Arial" w:cs="Arial" w:eastAsia="Arial" w:hAnsi="Arial"/>
                  <w:sz w:val="20"/>
                  <w:szCs w:val="20"/>
                  <w:color w:val="0000EE"/>
                  <w:highlight w:val="white"/>
                  <w:w w:val="87"/>
                </w:rPr>
                <w:t>Section 12.18.</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bottom w:val="single" w:sz="8" w:color="0000EE"/>
            </w:tcBorders>
            <w:gridSpan w:val="11"/>
          </w:tcPr>
          <w:p>
            <w:pPr>
              <w:spacing w:after="0" w:line="203" w:lineRule="exact"/>
              <w:rPr>
                <w:rFonts w:ascii="Arial" w:cs="Arial" w:eastAsia="Arial" w:hAnsi="Arial"/>
                <w:sz w:val="20"/>
                <w:szCs w:val="20"/>
                <w:color w:val="0000EE"/>
                <w:highlight w:val="white"/>
                <w:w w:val="92"/>
              </w:rPr>
            </w:pPr>
            <w:hyperlink w:anchor="page135">
              <w:r>
                <w:rPr>
                  <w:rFonts w:ascii="Arial" w:cs="Arial" w:eastAsia="Arial" w:hAnsi="Arial"/>
                  <w:sz w:val="20"/>
                  <w:szCs w:val="20"/>
                  <w:color w:val="0000EE"/>
                  <w:highlight w:val="white"/>
                  <w:w w:val="92"/>
                </w:rPr>
                <w:t>Governing Law</w:t>
              </w:r>
            </w:hyperlink>
          </w:p>
        </w:tc>
        <w:tc>
          <w:tcPr>
            <w:tcW w:w="530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5">
              <w:r>
                <w:rPr>
                  <w:rFonts w:ascii="Arial" w:cs="Arial" w:eastAsia="Arial" w:hAnsi="Arial"/>
                  <w:sz w:val="20"/>
                  <w:szCs w:val="20"/>
                  <w:color w:val="0000EE"/>
                  <w:w w:val="80"/>
                </w:rPr>
                <w:t>87</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5">
              <w:r>
                <w:rPr>
                  <w:rFonts w:ascii="Arial" w:cs="Arial" w:eastAsia="Arial" w:hAnsi="Arial"/>
                  <w:sz w:val="20"/>
                  <w:szCs w:val="20"/>
                  <w:color w:val="0000EE"/>
                  <w:highlight w:val="white"/>
                  <w:w w:val="87"/>
                </w:rPr>
                <w:t>Section 12.19.</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Borders>
              <w:bottom w:val="single" w:sz="8" w:color="0000EE"/>
            </w:tcBorders>
            <w:gridSpan w:val="25"/>
          </w:tcPr>
          <w:p>
            <w:pPr>
              <w:spacing w:after="0" w:line="203" w:lineRule="exact"/>
              <w:rPr>
                <w:rFonts w:ascii="Arial" w:cs="Arial" w:eastAsia="Arial" w:hAnsi="Arial"/>
                <w:sz w:val="20"/>
                <w:szCs w:val="20"/>
                <w:color w:val="0000EE"/>
                <w:highlight w:val="white"/>
                <w:w w:val="91"/>
              </w:rPr>
            </w:pPr>
            <w:hyperlink w:anchor="page135">
              <w:r>
                <w:rPr>
                  <w:rFonts w:ascii="Arial" w:cs="Arial" w:eastAsia="Arial" w:hAnsi="Arial"/>
                  <w:sz w:val="20"/>
                  <w:szCs w:val="20"/>
                  <w:color w:val="0000EE"/>
                  <w:highlight w:val="white"/>
                  <w:w w:val="91"/>
                </w:rPr>
                <w:t>Severability of Provisions</w:t>
              </w:r>
            </w:hyperlink>
          </w:p>
        </w:tc>
        <w:tc>
          <w:tcPr>
            <w:tcW w:w="450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5">
              <w:r>
                <w:rPr>
                  <w:rFonts w:ascii="Arial" w:cs="Arial" w:eastAsia="Arial" w:hAnsi="Arial"/>
                  <w:sz w:val="20"/>
                  <w:szCs w:val="20"/>
                  <w:color w:val="0000EE"/>
                  <w:w w:val="80"/>
                </w:rPr>
                <w:t>87</w:t>
              </w:r>
            </w:hyperlink>
          </w:p>
        </w:tc>
      </w:tr>
      <w:tr>
        <w:trPr>
          <w:trHeight w:val="203"/>
        </w:trPr>
        <w:tc>
          <w:tcPr>
            <w:tcW w:w="300" w:type="dxa"/>
            <w:vAlign w:val="bottom"/>
          </w:tcPr>
          <w:p>
            <w:pPr>
              <w:spacing w:after="0"/>
              <w:rPr>
                <w:sz w:val="17"/>
                <w:szCs w:val="17"/>
                <w:color w:val="auto"/>
              </w:rPr>
            </w:pPr>
          </w:p>
        </w:tc>
        <w:tc>
          <w:tcPr>
            <w:tcW w:w="7820" w:type="dxa"/>
            <w:vAlign w:val="bottom"/>
            <w:gridSpan w:val="38"/>
          </w:tcPr>
          <w:p>
            <w:pPr>
              <w:spacing w:after="0" w:line="203" w:lineRule="exact"/>
              <w:rPr>
                <w:rFonts w:ascii="Arial" w:cs="Arial" w:eastAsia="Arial" w:hAnsi="Arial"/>
                <w:sz w:val="20"/>
                <w:szCs w:val="20"/>
                <w:color w:val="0000EE"/>
                <w:highlight w:val="white"/>
              </w:rPr>
            </w:pPr>
            <w:hyperlink w:anchor="page136">
              <w:r>
                <w:rPr>
                  <w:rFonts w:ascii="Arial" w:cs="Arial" w:eastAsia="Arial" w:hAnsi="Arial"/>
                  <w:sz w:val="20"/>
                  <w:szCs w:val="20"/>
                  <w:color w:val="0000EE"/>
                  <w:highlight w:val="white"/>
                </w:rPr>
                <w:t>Section 12.20.  Excess Interest</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6">
              <w:r>
                <w:rPr>
                  <w:rFonts w:ascii="Arial" w:cs="Arial" w:eastAsia="Arial" w:hAnsi="Arial"/>
                  <w:sz w:val="20"/>
                  <w:szCs w:val="20"/>
                  <w:color w:val="0000EE"/>
                </w:rPr>
                <w:t>87</w:t>
              </w:r>
            </w:hyperlink>
          </w:p>
        </w:tc>
      </w:tr>
      <w:tr>
        <w:trPr>
          <w:trHeight w:val="20"/>
        </w:trPr>
        <w:tc>
          <w:tcPr>
            <w:tcW w:w="3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820" w:type="dxa"/>
            <w:vAlign w:val="bottom"/>
            <w:gridSpan w:val="38"/>
          </w:tcPr>
          <w:p>
            <w:pPr>
              <w:spacing w:after="0" w:line="203" w:lineRule="exact"/>
              <w:rPr>
                <w:rFonts w:ascii="Arial" w:cs="Arial" w:eastAsia="Arial" w:hAnsi="Arial"/>
                <w:sz w:val="20"/>
                <w:szCs w:val="20"/>
                <w:color w:val="0000EE"/>
                <w:highlight w:val="white"/>
              </w:rPr>
            </w:pPr>
            <w:hyperlink w:anchor="page136">
              <w:r>
                <w:rPr>
                  <w:rFonts w:ascii="Arial" w:cs="Arial" w:eastAsia="Arial" w:hAnsi="Arial"/>
                  <w:sz w:val="20"/>
                  <w:szCs w:val="20"/>
                  <w:color w:val="0000EE"/>
                  <w:highlight w:val="white"/>
                </w:rPr>
                <w:t>Section 12.21.  Construction</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6">
              <w:r>
                <w:rPr>
                  <w:rFonts w:ascii="Arial" w:cs="Arial" w:eastAsia="Arial" w:hAnsi="Arial"/>
                  <w:sz w:val="20"/>
                  <w:szCs w:val="20"/>
                  <w:color w:val="0000EE"/>
                </w:rPr>
                <w:t>87</w:t>
              </w:r>
            </w:hyperlink>
          </w:p>
        </w:tc>
      </w:tr>
      <w:tr>
        <w:trPr>
          <w:trHeight w:val="20"/>
        </w:trPr>
        <w:tc>
          <w:tcPr>
            <w:tcW w:w="3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820" w:type="dxa"/>
            <w:vAlign w:val="bottom"/>
            <w:gridSpan w:val="38"/>
          </w:tcPr>
          <w:p>
            <w:pPr>
              <w:spacing w:after="0" w:line="203" w:lineRule="exact"/>
              <w:rPr>
                <w:rFonts w:ascii="Arial" w:cs="Arial" w:eastAsia="Arial" w:hAnsi="Arial"/>
                <w:sz w:val="20"/>
                <w:szCs w:val="20"/>
                <w:color w:val="0000EE"/>
                <w:highlight w:val="white"/>
              </w:rPr>
            </w:pPr>
            <w:hyperlink w:anchor="page136">
              <w:r>
                <w:rPr>
                  <w:rFonts w:ascii="Arial" w:cs="Arial" w:eastAsia="Arial" w:hAnsi="Arial"/>
                  <w:sz w:val="20"/>
                  <w:szCs w:val="20"/>
                  <w:color w:val="0000EE"/>
                  <w:highlight w:val="white"/>
                </w:rPr>
                <w:t>Section 12.22.  Lender’s Obligations Several</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6">
              <w:r>
                <w:rPr>
                  <w:rFonts w:ascii="Arial" w:cs="Arial" w:eastAsia="Arial" w:hAnsi="Arial"/>
                  <w:sz w:val="20"/>
                  <w:szCs w:val="20"/>
                  <w:color w:val="0000EE"/>
                </w:rPr>
                <w:t>88</w:t>
              </w:r>
            </w:hyperlink>
          </w:p>
        </w:tc>
      </w:tr>
      <w:tr>
        <w:trPr>
          <w:trHeight w:val="20"/>
        </w:trPr>
        <w:tc>
          <w:tcPr>
            <w:tcW w:w="3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820" w:type="dxa"/>
            <w:vAlign w:val="bottom"/>
            <w:gridSpan w:val="38"/>
          </w:tcPr>
          <w:p>
            <w:pPr>
              <w:spacing w:after="0" w:line="203" w:lineRule="exact"/>
              <w:rPr>
                <w:rFonts w:ascii="Arial" w:cs="Arial" w:eastAsia="Arial" w:hAnsi="Arial"/>
                <w:sz w:val="20"/>
                <w:szCs w:val="20"/>
                <w:color w:val="0000EE"/>
                <w:highlight w:val="white"/>
              </w:rPr>
            </w:pPr>
            <w:hyperlink w:anchor="page136">
              <w:r>
                <w:rPr>
                  <w:rFonts w:ascii="Arial" w:cs="Arial" w:eastAsia="Arial" w:hAnsi="Arial"/>
                  <w:sz w:val="20"/>
                  <w:szCs w:val="20"/>
                  <w:color w:val="0000EE"/>
                  <w:highlight w:val="white"/>
                </w:rPr>
                <w:t>S</w:t>
              </w:r>
              <w:r>
                <w:rPr>
                  <w:rFonts w:ascii="Arial" w:cs="Arial" w:eastAsia="Arial" w:hAnsi="Arial"/>
                  <w:sz w:val="13"/>
                  <w:szCs w:val="13"/>
                  <w:color w:val="0000EE"/>
                  <w:highlight w:val="white"/>
                </w:rPr>
                <w:t>ECTION</w:t>
              </w:r>
              <w:r>
                <w:rPr>
                  <w:rFonts w:ascii="Arial" w:cs="Arial" w:eastAsia="Arial" w:hAnsi="Arial"/>
                  <w:sz w:val="20"/>
                  <w:szCs w:val="20"/>
                  <w:color w:val="0000EE"/>
                  <w:highlight w:val="white"/>
                </w:rPr>
                <w:t xml:space="preserve"> 12.23. Submission to Jurisdiction; Waiver of Jury Trial</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6">
              <w:r>
                <w:rPr>
                  <w:rFonts w:ascii="Arial" w:cs="Arial" w:eastAsia="Arial" w:hAnsi="Arial"/>
                  <w:sz w:val="20"/>
                  <w:szCs w:val="20"/>
                  <w:color w:val="0000EE"/>
                </w:rPr>
                <w:t>88</w:t>
              </w:r>
            </w:hyperlink>
          </w:p>
        </w:tc>
      </w:tr>
      <w:tr>
        <w:trPr>
          <w:trHeight w:val="20"/>
        </w:trPr>
        <w:tc>
          <w:tcPr>
            <w:tcW w:w="3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7820" w:type="dxa"/>
            <w:vAlign w:val="bottom"/>
            <w:gridSpan w:val="38"/>
          </w:tcPr>
          <w:p>
            <w:pPr>
              <w:spacing w:after="0" w:line="203" w:lineRule="exact"/>
              <w:rPr>
                <w:rFonts w:ascii="Arial" w:cs="Arial" w:eastAsia="Arial" w:hAnsi="Arial"/>
                <w:sz w:val="20"/>
                <w:szCs w:val="20"/>
                <w:color w:val="0000EE"/>
                <w:highlight w:val="white"/>
              </w:rPr>
            </w:pPr>
            <w:hyperlink w:anchor="page137">
              <w:r>
                <w:rPr>
                  <w:rFonts w:ascii="Arial" w:cs="Arial" w:eastAsia="Arial" w:hAnsi="Arial"/>
                  <w:sz w:val="20"/>
                  <w:szCs w:val="20"/>
                  <w:color w:val="0000EE"/>
                  <w:highlight w:val="white"/>
                </w:rPr>
                <w:t>Section 12.24.  USA Patriot Act</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7">
              <w:r>
                <w:rPr>
                  <w:rFonts w:ascii="Arial" w:cs="Arial" w:eastAsia="Arial" w:hAnsi="Arial"/>
                  <w:sz w:val="20"/>
                  <w:szCs w:val="20"/>
                  <w:color w:val="0000EE"/>
                </w:rPr>
                <w:t>88</w:t>
              </w:r>
            </w:hyperlink>
          </w:p>
        </w:tc>
      </w:tr>
      <w:tr>
        <w:trPr>
          <w:trHeight w:val="203"/>
        </w:trPr>
        <w:tc>
          <w:tcPr>
            <w:tcW w:w="300" w:type="dxa"/>
            <w:vAlign w:val="bottom"/>
          </w:tcPr>
          <w:p>
            <w:pPr>
              <w:spacing w:after="0"/>
              <w:rPr>
                <w:sz w:val="17"/>
                <w:szCs w:val="17"/>
                <w:color w:val="auto"/>
              </w:rPr>
            </w:pPr>
          </w:p>
        </w:tc>
        <w:tc>
          <w:tcPr>
            <w:tcW w:w="1140" w:type="dxa"/>
            <w:vAlign w:val="bottom"/>
            <w:tcBorders>
              <w:top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7">
              <w:r>
                <w:rPr>
                  <w:rFonts w:ascii="Arial" w:cs="Arial" w:eastAsia="Arial" w:hAnsi="Arial"/>
                  <w:sz w:val="20"/>
                  <w:szCs w:val="20"/>
                  <w:color w:val="0000EE"/>
                  <w:highlight w:val="white"/>
                  <w:w w:val="87"/>
                </w:rPr>
                <w:t>Section 12.25.</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Borders>
              <w:top w:val="single" w:sz="8" w:color="0000EE"/>
            </w:tcBorders>
            <w:gridSpan w:val="13"/>
          </w:tcPr>
          <w:p>
            <w:pPr>
              <w:spacing w:after="0" w:line="203" w:lineRule="exact"/>
              <w:rPr>
                <w:rFonts w:ascii="Arial" w:cs="Arial" w:eastAsia="Arial" w:hAnsi="Arial"/>
                <w:sz w:val="20"/>
                <w:szCs w:val="20"/>
                <w:color w:val="0000EE"/>
                <w:highlight w:val="white"/>
              </w:rPr>
            </w:pPr>
            <w:hyperlink w:anchor="page137">
              <w:r>
                <w:rPr>
                  <w:rFonts w:ascii="Arial" w:cs="Arial" w:eastAsia="Arial" w:hAnsi="Arial"/>
                  <w:sz w:val="20"/>
                  <w:szCs w:val="20"/>
                  <w:color w:val="0000EE"/>
                  <w:highlight w:val="white"/>
                </w:rPr>
                <w:t>Confidentiality</w:t>
              </w:r>
            </w:hyperlink>
          </w:p>
        </w:tc>
        <w:tc>
          <w:tcPr>
            <w:tcW w:w="524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37">
              <w:r>
                <w:rPr>
                  <w:rFonts w:ascii="Arial" w:cs="Arial" w:eastAsia="Arial" w:hAnsi="Arial"/>
                  <w:sz w:val="20"/>
                  <w:szCs w:val="20"/>
                  <w:color w:val="0000EE"/>
                  <w:w w:val="80"/>
                </w:rPr>
                <w:t>88</w:t>
              </w:r>
            </w:hyperlink>
          </w:p>
        </w:tc>
      </w:tr>
      <w:tr>
        <w:trPr>
          <w:trHeight w:val="20"/>
        </w:trPr>
        <w:tc>
          <w:tcPr>
            <w:tcW w:w="3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8">
              <w:r>
                <w:rPr>
                  <w:rFonts w:ascii="Arial" w:cs="Arial" w:eastAsia="Arial" w:hAnsi="Arial"/>
                  <w:sz w:val="20"/>
                  <w:szCs w:val="20"/>
                  <w:color w:val="0000EE"/>
                  <w:highlight w:val="white"/>
                  <w:w w:val="87"/>
                </w:rPr>
                <w:t>Section 12.26.</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bottom w:val="single" w:sz="8" w:color="0000EE"/>
            </w:tcBorders>
            <w:gridSpan w:val="21"/>
          </w:tcPr>
          <w:p>
            <w:pPr>
              <w:spacing w:after="0" w:line="203" w:lineRule="exact"/>
              <w:rPr>
                <w:rFonts w:ascii="Arial" w:cs="Arial" w:eastAsia="Arial" w:hAnsi="Arial"/>
                <w:sz w:val="20"/>
                <w:szCs w:val="20"/>
                <w:color w:val="0000EE"/>
                <w:highlight w:val="white"/>
                <w:w w:val="91"/>
              </w:rPr>
            </w:pPr>
            <w:hyperlink w:anchor="page138">
              <w:r>
                <w:rPr>
                  <w:rFonts w:ascii="Arial" w:cs="Arial" w:eastAsia="Arial" w:hAnsi="Arial"/>
                  <w:sz w:val="20"/>
                  <w:szCs w:val="20"/>
                  <w:color w:val="0000EE"/>
                  <w:highlight w:val="white"/>
                  <w:w w:val="91"/>
                </w:rPr>
                <w:t>Limitation of Recourse</w:t>
              </w:r>
            </w:hyperlink>
          </w:p>
        </w:tc>
        <w:tc>
          <w:tcPr>
            <w:tcW w:w="472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8">
              <w:r>
                <w:rPr>
                  <w:rFonts w:ascii="Arial" w:cs="Arial" w:eastAsia="Arial" w:hAnsi="Arial"/>
                  <w:sz w:val="20"/>
                  <w:szCs w:val="20"/>
                  <w:color w:val="0000EE"/>
                  <w:w w:val="80"/>
                </w:rPr>
                <w:t>89</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8">
              <w:r>
                <w:rPr>
                  <w:rFonts w:ascii="Arial" w:cs="Arial" w:eastAsia="Arial" w:hAnsi="Arial"/>
                  <w:sz w:val="20"/>
                  <w:szCs w:val="20"/>
                  <w:color w:val="0000EE"/>
                  <w:highlight w:val="white"/>
                  <w:w w:val="87"/>
                </w:rPr>
                <w:t>Section 12.27.</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203" w:lineRule="exact"/>
              <w:rPr>
                <w:rFonts w:ascii="Arial" w:cs="Arial" w:eastAsia="Arial" w:hAnsi="Arial"/>
                <w:sz w:val="20"/>
                <w:szCs w:val="20"/>
                <w:color w:val="0000EE"/>
                <w:highlight w:val="white"/>
                <w:w w:val="86"/>
              </w:rPr>
            </w:pPr>
            <w:hyperlink w:anchor="page138">
              <w:r>
                <w:rPr>
                  <w:rFonts w:ascii="Arial" w:cs="Arial" w:eastAsia="Arial" w:hAnsi="Arial"/>
                  <w:sz w:val="20"/>
                  <w:szCs w:val="20"/>
                  <w:color w:val="0000EE"/>
                  <w:highlight w:val="white"/>
                  <w:w w:val="86"/>
                </w:rPr>
                <w:t>Other Taxes.</w:t>
              </w:r>
            </w:hyperlink>
          </w:p>
        </w:tc>
        <w:tc>
          <w:tcPr>
            <w:tcW w:w="5520" w:type="dxa"/>
            <w:vAlign w:val="bottom"/>
            <w:gridSpan w:val="25"/>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38">
              <w:r>
                <w:rPr>
                  <w:rFonts w:ascii="Arial" w:cs="Arial" w:eastAsia="Arial" w:hAnsi="Arial"/>
                  <w:sz w:val="20"/>
                  <w:szCs w:val="20"/>
                  <w:color w:val="0000EE"/>
                  <w:w w:val="80"/>
                </w:rPr>
                <w:t>89</w:t>
              </w:r>
            </w:hyperlink>
          </w:p>
        </w:tc>
      </w:tr>
      <w:tr>
        <w:trPr>
          <w:trHeight w:val="203"/>
        </w:trPr>
        <w:tc>
          <w:tcPr>
            <w:tcW w:w="300" w:type="dxa"/>
            <w:vAlign w:val="bottom"/>
          </w:tcPr>
          <w:p>
            <w:pPr>
              <w:spacing w:after="0"/>
              <w:rPr>
                <w:sz w:val="17"/>
                <w:szCs w:val="17"/>
                <w:color w:val="auto"/>
              </w:rPr>
            </w:pPr>
          </w:p>
        </w:tc>
        <w:tc>
          <w:tcPr>
            <w:tcW w:w="1140" w:type="dxa"/>
            <w:vAlign w:val="bottom"/>
            <w:gridSpan w:val="3"/>
          </w:tcPr>
          <w:p>
            <w:pPr>
              <w:spacing w:after="0" w:line="203" w:lineRule="exact"/>
              <w:rPr>
                <w:rFonts w:ascii="Arial" w:cs="Arial" w:eastAsia="Arial" w:hAnsi="Arial"/>
                <w:sz w:val="20"/>
                <w:szCs w:val="20"/>
                <w:color w:val="0000EE"/>
                <w:highlight w:val="white"/>
                <w:w w:val="87"/>
              </w:rPr>
            </w:pPr>
            <w:hyperlink w:anchor="page138">
              <w:r>
                <w:rPr>
                  <w:rFonts w:ascii="Arial" w:cs="Arial" w:eastAsia="Arial" w:hAnsi="Arial"/>
                  <w:sz w:val="20"/>
                  <w:szCs w:val="20"/>
                  <w:color w:val="0000EE"/>
                  <w:highlight w:val="white"/>
                  <w:w w:val="87"/>
                </w:rPr>
                <w:t>Section 12.28.</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w w:val="99"/>
              </w:rPr>
            </w:pPr>
            <w:hyperlink w:anchor="page138">
              <w:r>
                <w:rPr>
                  <w:rFonts w:ascii="Arial" w:cs="Arial" w:eastAsia="Arial" w:hAnsi="Arial"/>
                  <w:sz w:val="20"/>
                  <w:szCs w:val="20"/>
                  <w:color w:val="0000EE"/>
                  <w:highlight w:val="white"/>
                  <w:w w:val="99"/>
                </w:rPr>
                <w:t>Acknowledgement and Consent to Bail-In of Affected Financial Institutions</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38">
              <w:r>
                <w:rPr>
                  <w:rFonts w:ascii="Arial" w:cs="Arial" w:eastAsia="Arial" w:hAnsi="Arial"/>
                  <w:sz w:val="20"/>
                  <w:szCs w:val="20"/>
                  <w:color w:val="0000EE"/>
                </w:rPr>
                <w:t>90</w:t>
              </w:r>
            </w:hyperlink>
          </w:p>
        </w:tc>
      </w:tr>
      <w:tr>
        <w:trPr>
          <w:trHeight w:val="203"/>
        </w:trPr>
        <w:tc>
          <w:tcPr>
            <w:tcW w:w="3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39">
              <w:r>
                <w:rPr>
                  <w:rFonts w:ascii="Arial" w:cs="Arial" w:eastAsia="Arial" w:hAnsi="Arial"/>
                  <w:sz w:val="20"/>
                  <w:szCs w:val="20"/>
                  <w:color w:val="0000EE"/>
                  <w:highlight w:val="white"/>
                  <w:w w:val="87"/>
                </w:rPr>
                <w:t>Section 12.29.</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29"/>
          </w:tcPr>
          <w:p>
            <w:pPr>
              <w:spacing w:after="0" w:line="203" w:lineRule="exact"/>
              <w:rPr>
                <w:rFonts w:ascii="Arial" w:cs="Arial" w:eastAsia="Arial" w:hAnsi="Arial"/>
                <w:sz w:val="20"/>
                <w:szCs w:val="20"/>
                <w:color w:val="0000EE"/>
                <w:highlight w:val="white"/>
                <w:w w:val="90"/>
              </w:rPr>
            </w:pPr>
            <w:hyperlink w:anchor="page139">
              <w:r>
                <w:rPr>
                  <w:rFonts w:ascii="Arial" w:cs="Arial" w:eastAsia="Arial" w:hAnsi="Arial"/>
                  <w:sz w:val="20"/>
                  <w:szCs w:val="20"/>
                  <w:color w:val="0000EE"/>
                  <w:highlight w:val="white"/>
                  <w:w w:val="90"/>
                </w:rPr>
                <w:t>Acknowledgement Regarding Any Supported QFCs</w:t>
              </w:r>
            </w:hyperlink>
          </w:p>
        </w:tc>
        <w:tc>
          <w:tcPr>
            <w:tcW w:w="1880" w:type="dxa"/>
            <w:vAlign w:val="bottom"/>
            <w:tcBorders>
              <w:top w:val="single" w:sz="8" w:color="0000EE"/>
            </w:tcBorders>
          </w:tcPr>
          <w:p>
            <w:pPr>
              <w:spacing w:after="0"/>
              <w:rPr>
                <w:sz w:val="17"/>
                <w:szCs w:val="17"/>
                <w:color w:val="auto"/>
              </w:rPr>
            </w:pPr>
          </w:p>
        </w:tc>
        <w:tc>
          <w:tcPr>
            <w:tcW w:w="5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39">
              <w:r>
                <w:rPr>
                  <w:rFonts w:ascii="Arial" w:cs="Arial" w:eastAsia="Arial" w:hAnsi="Arial"/>
                  <w:sz w:val="20"/>
                  <w:szCs w:val="20"/>
                  <w:color w:val="0000EE"/>
                  <w:w w:val="80"/>
                </w:rPr>
                <w:t>90</w:t>
              </w:r>
            </w:hyperlink>
          </w:p>
        </w:tc>
      </w:tr>
      <w:tr>
        <w:trPr>
          <w:trHeight w:val="203"/>
        </w:trPr>
        <w:tc>
          <w:tcPr>
            <w:tcW w:w="3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203" w:lineRule="exact"/>
              <w:rPr>
                <w:rFonts w:ascii="Arial" w:cs="Arial" w:eastAsia="Arial" w:hAnsi="Arial"/>
                <w:sz w:val="20"/>
                <w:szCs w:val="20"/>
                <w:color w:val="0000EE"/>
                <w:highlight w:val="white"/>
                <w:w w:val="87"/>
              </w:rPr>
            </w:pPr>
            <w:hyperlink w:anchor="page140">
              <w:r>
                <w:rPr>
                  <w:rFonts w:ascii="Arial" w:cs="Arial" w:eastAsia="Arial" w:hAnsi="Arial"/>
                  <w:sz w:val="20"/>
                  <w:szCs w:val="20"/>
                  <w:color w:val="0000EE"/>
                  <w:highlight w:val="white"/>
                  <w:w w:val="87"/>
                </w:rPr>
                <w:t>Section 12.30.</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0000EE"/>
            </w:tcBorders>
            <w:gridSpan w:val="17"/>
          </w:tcPr>
          <w:p>
            <w:pPr>
              <w:spacing w:after="0" w:line="203" w:lineRule="exact"/>
              <w:rPr>
                <w:rFonts w:ascii="Arial" w:cs="Arial" w:eastAsia="Arial" w:hAnsi="Arial"/>
                <w:sz w:val="20"/>
                <w:szCs w:val="20"/>
                <w:color w:val="0000EE"/>
                <w:highlight w:val="white"/>
                <w:w w:val="87"/>
              </w:rPr>
            </w:pPr>
            <w:hyperlink w:anchor="page140">
              <w:r>
                <w:rPr>
                  <w:rFonts w:ascii="Arial" w:cs="Arial" w:eastAsia="Arial" w:hAnsi="Arial"/>
                  <w:sz w:val="20"/>
                  <w:szCs w:val="20"/>
                  <w:color w:val="0000EE"/>
                  <w:highlight w:val="white"/>
                  <w:w w:val="87"/>
                </w:rPr>
                <w:t>Erroneous Payment</w:t>
              </w:r>
            </w:hyperlink>
          </w:p>
        </w:tc>
        <w:tc>
          <w:tcPr>
            <w:tcW w:w="500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40">
              <w:r>
                <w:rPr>
                  <w:rFonts w:ascii="Arial" w:cs="Arial" w:eastAsia="Arial" w:hAnsi="Arial"/>
                  <w:sz w:val="20"/>
                  <w:szCs w:val="20"/>
                  <w:color w:val="0000EE"/>
                  <w:w w:val="80"/>
                </w:rPr>
                <w:t>91</w:t>
              </w:r>
            </w:hyperlink>
          </w:p>
        </w:tc>
      </w:tr>
      <w:tr>
        <w:trPr>
          <w:trHeight w:val="302"/>
        </w:trPr>
        <w:tc>
          <w:tcPr>
            <w:tcW w:w="114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143">
              <w:r>
                <w:rPr>
                  <w:rFonts w:ascii="Arial" w:cs="Arial" w:eastAsia="Arial" w:hAnsi="Arial"/>
                  <w:sz w:val="20"/>
                  <w:szCs w:val="20"/>
                  <w:color w:val="0000EE"/>
                  <w:w w:val="91"/>
                </w:rPr>
                <w:t>SECTION 13.</w:t>
              </w:r>
            </w:hyperlink>
          </w:p>
        </w:tc>
        <w:tc>
          <w:tcPr>
            <w:tcW w:w="3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0000EE"/>
            </w:tcBorders>
            <w:gridSpan w:val="12"/>
          </w:tcPr>
          <w:p>
            <w:pPr>
              <w:spacing w:after="0"/>
              <w:rPr>
                <w:rFonts w:ascii="Arial" w:cs="Arial" w:eastAsia="Arial" w:hAnsi="Arial"/>
                <w:sz w:val="20"/>
                <w:szCs w:val="20"/>
                <w:color w:val="0000EE"/>
                <w:w w:val="85"/>
              </w:rPr>
            </w:pPr>
            <w:hyperlink w:anchor="page143">
              <w:r>
                <w:rPr>
                  <w:rFonts w:ascii="Arial" w:cs="Arial" w:eastAsia="Arial" w:hAnsi="Arial"/>
                  <w:sz w:val="20"/>
                  <w:szCs w:val="20"/>
                  <w:color w:val="0000EE"/>
                  <w:w w:val="85"/>
                </w:rPr>
                <w:t>The Guarantees.</w:t>
              </w:r>
            </w:hyperlink>
          </w:p>
        </w:tc>
        <w:tc>
          <w:tcPr>
            <w:tcW w:w="5260" w:type="dxa"/>
            <w:vAlign w:val="bottom"/>
            <w:gridSpan w:val="20"/>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20"/>
                <w:szCs w:val="20"/>
                <w:color w:val="0000EE"/>
                <w:w w:val="80"/>
              </w:rPr>
            </w:pPr>
            <w:hyperlink w:anchor="page143">
              <w:r>
                <w:rPr>
                  <w:rFonts w:ascii="Arial" w:cs="Arial" w:eastAsia="Arial" w:hAnsi="Arial"/>
                  <w:sz w:val="20"/>
                  <w:szCs w:val="20"/>
                  <w:color w:val="0000EE"/>
                  <w:w w:val="80"/>
                </w:rPr>
                <w:t>94</w:t>
              </w:r>
            </w:hyperlink>
          </w:p>
        </w:tc>
      </w:tr>
      <w:tr>
        <w:trPr>
          <w:trHeight w:val="302"/>
        </w:trPr>
        <w:tc>
          <w:tcPr>
            <w:tcW w:w="30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20"/>
                <w:szCs w:val="20"/>
                <w:color w:val="0000EE"/>
                <w:highlight w:val="white"/>
                <w:w w:val="87"/>
              </w:rPr>
            </w:pPr>
            <w:hyperlink w:anchor="page143">
              <w:r>
                <w:rPr>
                  <w:rFonts w:ascii="Arial" w:cs="Arial" w:eastAsia="Arial" w:hAnsi="Arial"/>
                  <w:sz w:val="20"/>
                  <w:szCs w:val="20"/>
                  <w:color w:val="0000EE"/>
                  <w:highlight w:val="white"/>
                  <w:w w:val="87"/>
                </w:rPr>
                <w:t>Section 13.1.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60" w:type="dxa"/>
            <w:vAlign w:val="bottom"/>
            <w:gridSpan w:val="32"/>
          </w:tcPr>
          <w:p>
            <w:pPr>
              <w:spacing w:after="0"/>
              <w:rPr>
                <w:rFonts w:ascii="Arial" w:cs="Arial" w:eastAsia="Arial" w:hAnsi="Arial"/>
                <w:sz w:val="20"/>
                <w:szCs w:val="20"/>
                <w:color w:val="0000EE"/>
                <w:highlight w:val="white"/>
              </w:rPr>
            </w:pPr>
            <w:hyperlink w:anchor="page143">
              <w:r>
                <w:rPr>
                  <w:rFonts w:ascii="Arial" w:cs="Arial" w:eastAsia="Arial" w:hAnsi="Arial"/>
                  <w:sz w:val="20"/>
                  <w:szCs w:val="20"/>
                  <w:color w:val="0000EE"/>
                  <w:highlight w:val="white"/>
                </w:rPr>
                <w:t>The Guarantees</w:t>
              </w:r>
            </w:hyperlink>
          </w:p>
        </w:tc>
        <w:tc>
          <w:tcPr>
            <w:tcW w:w="480" w:type="dxa"/>
            <w:vAlign w:val="bottom"/>
            <w:gridSpan w:val="2"/>
          </w:tcPr>
          <w:p>
            <w:pPr>
              <w:jc w:val="right"/>
              <w:spacing w:after="0"/>
              <w:rPr>
                <w:rFonts w:ascii="Arial" w:cs="Arial" w:eastAsia="Arial" w:hAnsi="Arial"/>
                <w:sz w:val="20"/>
                <w:szCs w:val="20"/>
                <w:color w:val="0000EE"/>
              </w:rPr>
            </w:pPr>
            <w:hyperlink w:anchor="page143">
              <w:r>
                <w:rPr>
                  <w:rFonts w:ascii="Arial" w:cs="Arial" w:eastAsia="Arial" w:hAnsi="Arial"/>
                  <w:sz w:val="20"/>
                  <w:szCs w:val="20"/>
                  <w:color w:val="0000EE"/>
                </w:rPr>
                <w:t>94</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40" w:type="dxa"/>
            <w:vAlign w:val="bottom"/>
            <w:gridSpan w:val="2"/>
          </w:tcPr>
          <w:p>
            <w:pPr>
              <w:spacing w:after="0" w:line="203" w:lineRule="exact"/>
              <w:rPr>
                <w:rFonts w:ascii="Arial" w:cs="Arial" w:eastAsia="Arial" w:hAnsi="Arial"/>
                <w:sz w:val="20"/>
                <w:szCs w:val="20"/>
                <w:color w:val="0000EE"/>
                <w:highlight w:val="white"/>
                <w:w w:val="87"/>
              </w:rPr>
            </w:pPr>
            <w:hyperlink w:anchor="page143">
              <w:r>
                <w:rPr>
                  <w:rFonts w:ascii="Arial" w:cs="Arial" w:eastAsia="Arial" w:hAnsi="Arial"/>
                  <w:sz w:val="20"/>
                  <w:szCs w:val="20"/>
                  <w:color w:val="0000EE"/>
                  <w:highlight w:val="white"/>
                  <w:w w:val="87"/>
                </w:rPr>
                <w:t>Section 13.2.</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43">
              <w:r>
                <w:rPr>
                  <w:rFonts w:ascii="Arial" w:cs="Arial" w:eastAsia="Arial" w:hAnsi="Arial"/>
                  <w:sz w:val="20"/>
                  <w:szCs w:val="20"/>
                  <w:color w:val="0000EE"/>
                  <w:highlight w:val="white"/>
                </w:rPr>
                <w:t>Guarantee Unconditional</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43">
              <w:r>
                <w:rPr>
                  <w:rFonts w:ascii="Arial" w:cs="Arial" w:eastAsia="Arial" w:hAnsi="Arial"/>
                  <w:sz w:val="20"/>
                  <w:szCs w:val="20"/>
                  <w:color w:val="0000EE"/>
                </w:rPr>
                <w:t>95</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40" w:type="dxa"/>
            <w:vAlign w:val="bottom"/>
            <w:gridSpan w:val="2"/>
          </w:tcPr>
          <w:p>
            <w:pPr>
              <w:spacing w:after="0" w:line="203" w:lineRule="exact"/>
              <w:rPr>
                <w:rFonts w:ascii="Arial" w:cs="Arial" w:eastAsia="Arial" w:hAnsi="Arial"/>
                <w:sz w:val="20"/>
                <w:szCs w:val="20"/>
                <w:color w:val="0000EE"/>
                <w:highlight w:val="white"/>
                <w:w w:val="87"/>
              </w:rPr>
            </w:pPr>
            <w:hyperlink w:anchor="page144">
              <w:r>
                <w:rPr>
                  <w:rFonts w:ascii="Arial" w:cs="Arial" w:eastAsia="Arial" w:hAnsi="Arial"/>
                  <w:sz w:val="20"/>
                  <w:szCs w:val="20"/>
                  <w:color w:val="0000EE"/>
                  <w:highlight w:val="white"/>
                  <w:w w:val="87"/>
                </w:rPr>
                <w:t>Section 13.3.</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w w:val="93"/>
              </w:rPr>
            </w:pPr>
            <w:hyperlink w:anchor="page144">
              <w:r>
                <w:rPr>
                  <w:rFonts w:ascii="Arial" w:cs="Arial" w:eastAsia="Arial" w:hAnsi="Arial"/>
                  <w:sz w:val="20"/>
                  <w:szCs w:val="20"/>
                  <w:color w:val="0000EE"/>
                  <w:highlight w:val="white"/>
                  <w:w w:val="93"/>
                </w:rPr>
                <w:t>Discharge Only upon Payment in Full; Reinstatement in Certain Circumstances</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44">
              <w:r>
                <w:rPr>
                  <w:rFonts w:ascii="Arial" w:cs="Arial" w:eastAsia="Arial" w:hAnsi="Arial"/>
                  <w:sz w:val="20"/>
                  <w:szCs w:val="20"/>
                  <w:color w:val="0000EE"/>
                </w:rPr>
                <w:t>95</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13.4.</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60" w:type="dxa"/>
            <w:vAlign w:val="bottom"/>
            <w:tcBorders>
              <w:top w:val="single" w:sz="8" w:color="0000EE"/>
            </w:tcBorders>
            <w:gridSpan w:val="31"/>
          </w:tcPr>
          <w:p>
            <w:pPr>
              <w:spacing w:after="0" w:line="203" w:lineRule="exact"/>
              <w:rPr>
                <w:rFonts w:ascii="Arial" w:cs="Arial" w:eastAsia="Arial" w:hAnsi="Arial"/>
                <w:sz w:val="20"/>
                <w:szCs w:val="20"/>
                <w:color w:val="0000EE"/>
                <w:highlight w:val="white"/>
              </w:rPr>
            </w:pPr>
            <w:hyperlink w:anchor="page145">
              <w:r>
                <w:rPr>
                  <w:rFonts w:ascii="Arial" w:cs="Arial" w:eastAsia="Arial" w:hAnsi="Arial"/>
                  <w:sz w:val="20"/>
                  <w:szCs w:val="20"/>
                  <w:color w:val="0000EE"/>
                  <w:highlight w:val="white"/>
                </w:rPr>
                <w:t>Subrogation</w:t>
              </w:r>
            </w:hyperlink>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45">
              <w:r>
                <w:rPr>
                  <w:rFonts w:ascii="Arial" w:cs="Arial" w:eastAsia="Arial" w:hAnsi="Arial"/>
                  <w:sz w:val="20"/>
                  <w:szCs w:val="20"/>
                  <w:color w:val="0000EE"/>
                  <w:w w:val="80"/>
                </w:rPr>
                <w:t>96</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13.5.</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203" w:lineRule="exact"/>
              <w:rPr>
                <w:rFonts w:ascii="Arial" w:cs="Arial" w:eastAsia="Arial" w:hAnsi="Arial"/>
                <w:sz w:val="20"/>
                <w:szCs w:val="20"/>
                <w:color w:val="0000EE"/>
                <w:highlight w:val="white"/>
                <w:w w:val="83"/>
              </w:rPr>
            </w:pPr>
            <w:hyperlink w:anchor="page145">
              <w:r>
                <w:rPr>
                  <w:rFonts w:ascii="Arial" w:cs="Arial" w:eastAsia="Arial" w:hAnsi="Arial"/>
                  <w:sz w:val="20"/>
                  <w:szCs w:val="20"/>
                  <w:color w:val="0000EE"/>
                  <w:highlight w:val="white"/>
                  <w:w w:val="83"/>
                </w:rPr>
                <w:t>Waivers</w:t>
              </w:r>
            </w:hyperlink>
          </w:p>
        </w:tc>
        <w:tc>
          <w:tcPr>
            <w:tcW w:w="320" w:type="dxa"/>
            <w:vAlign w:val="bottom"/>
            <w:tcBorders>
              <w:top w:val="single" w:sz="8" w:color="0000EE"/>
            </w:tcBorders>
            <w:gridSpan w:val="2"/>
          </w:tcPr>
          <w:p>
            <w:pPr>
              <w:spacing w:after="0"/>
              <w:rPr>
                <w:sz w:val="17"/>
                <w:szCs w:val="17"/>
                <w:color w:val="auto"/>
              </w:rPr>
            </w:pPr>
          </w:p>
        </w:tc>
        <w:tc>
          <w:tcPr>
            <w:tcW w:w="5620" w:type="dxa"/>
            <w:vAlign w:val="bottom"/>
            <w:gridSpan w:val="27"/>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bottom w:val="single" w:sz="8" w:color="0000EE"/>
            </w:tcBorders>
          </w:tcPr>
          <w:p>
            <w:pPr>
              <w:jc w:val="right"/>
              <w:spacing w:after="0" w:line="203" w:lineRule="exact"/>
              <w:rPr>
                <w:rFonts w:ascii="Arial" w:cs="Arial" w:eastAsia="Arial" w:hAnsi="Arial"/>
                <w:sz w:val="20"/>
                <w:szCs w:val="20"/>
                <w:color w:val="0000EE"/>
                <w:w w:val="80"/>
              </w:rPr>
            </w:pPr>
            <w:hyperlink w:anchor="page145">
              <w:r>
                <w:rPr>
                  <w:rFonts w:ascii="Arial" w:cs="Arial" w:eastAsia="Arial" w:hAnsi="Arial"/>
                  <w:sz w:val="20"/>
                  <w:szCs w:val="20"/>
                  <w:color w:val="0000EE"/>
                  <w:w w:val="80"/>
                </w:rPr>
                <w:t>96</w:t>
              </w:r>
            </w:hyperlink>
          </w:p>
        </w:tc>
      </w:tr>
      <w:tr>
        <w:trPr>
          <w:trHeight w:val="203"/>
        </w:trPr>
        <w:tc>
          <w:tcPr>
            <w:tcW w:w="300" w:type="dxa"/>
            <w:vAlign w:val="bottom"/>
          </w:tcPr>
          <w:p>
            <w:pPr>
              <w:spacing w:after="0"/>
              <w:rPr>
                <w:sz w:val="17"/>
                <w:szCs w:val="17"/>
                <w:color w:val="auto"/>
              </w:rPr>
            </w:pPr>
          </w:p>
        </w:tc>
        <w:tc>
          <w:tcPr>
            <w:tcW w:w="1040" w:type="dxa"/>
            <w:vAlign w:val="bottom"/>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13.6.</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45">
              <w:r>
                <w:rPr>
                  <w:rFonts w:ascii="Arial" w:cs="Arial" w:eastAsia="Arial" w:hAnsi="Arial"/>
                  <w:sz w:val="20"/>
                  <w:szCs w:val="20"/>
                  <w:color w:val="0000EE"/>
                  <w:highlight w:val="white"/>
                </w:rPr>
                <w:t>Limit on Recovery</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45">
              <w:r>
                <w:rPr>
                  <w:rFonts w:ascii="Arial" w:cs="Arial" w:eastAsia="Arial" w:hAnsi="Arial"/>
                  <w:sz w:val="20"/>
                  <w:szCs w:val="20"/>
                  <w:color w:val="0000EE"/>
                </w:rPr>
                <w:t>96</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00" w:type="dxa"/>
            <w:vAlign w:val="bottom"/>
            <w:gridSpan w:val="1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13.7.</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bottom w:val="single" w:sz="8" w:color="0000EE"/>
            </w:tcBorders>
            <w:gridSpan w:val="18"/>
          </w:tcPr>
          <w:p>
            <w:pPr>
              <w:spacing w:after="0" w:line="203" w:lineRule="exact"/>
              <w:rPr>
                <w:rFonts w:ascii="Arial" w:cs="Arial" w:eastAsia="Arial" w:hAnsi="Arial"/>
                <w:sz w:val="20"/>
                <w:szCs w:val="20"/>
                <w:color w:val="0000EE"/>
                <w:highlight w:val="white"/>
                <w:w w:val="88"/>
              </w:rPr>
            </w:pPr>
            <w:hyperlink w:anchor="page145">
              <w:r>
                <w:rPr>
                  <w:rFonts w:ascii="Arial" w:cs="Arial" w:eastAsia="Arial" w:hAnsi="Arial"/>
                  <w:sz w:val="20"/>
                  <w:szCs w:val="20"/>
                  <w:color w:val="0000EE"/>
                  <w:highlight w:val="white"/>
                  <w:w w:val="88"/>
                </w:rPr>
                <w:t>Stay of Acceleration</w:t>
              </w:r>
            </w:hyperlink>
          </w:p>
        </w:tc>
        <w:tc>
          <w:tcPr>
            <w:tcW w:w="496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0000EE"/>
            </w:tcBorders>
          </w:tcPr>
          <w:p>
            <w:pPr>
              <w:jc w:val="right"/>
              <w:spacing w:after="0" w:line="203" w:lineRule="exact"/>
              <w:rPr>
                <w:rFonts w:ascii="Arial" w:cs="Arial" w:eastAsia="Arial" w:hAnsi="Arial"/>
                <w:sz w:val="20"/>
                <w:szCs w:val="20"/>
                <w:color w:val="0000EE"/>
                <w:w w:val="80"/>
              </w:rPr>
            </w:pPr>
            <w:hyperlink w:anchor="page145">
              <w:r>
                <w:rPr>
                  <w:rFonts w:ascii="Arial" w:cs="Arial" w:eastAsia="Arial" w:hAnsi="Arial"/>
                  <w:sz w:val="20"/>
                  <w:szCs w:val="20"/>
                  <w:color w:val="0000EE"/>
                  <w:w w:val="80"/>
                </w:rPr>
                <w:t>96</w:t>
              </w:r>
            </w:hyperlink>
          </w:p>
        </w:tc>
      </w:tr>
      <w:tr>
        <w:trPr>
          <w:trHeight w:val="203"/>
        </w:trPr>
        <w:tc>
          <w:tcPr>
            <w:tcW w:w="300" w:type="dxa"/>
            <w:vAlign w:val="bottom"/>
          </w:tcPr>
          <w:p>
            <w:pPr>
              <w:spacing w:after="0"/>
              <w:rPr>
                <w:sz w:val="17"/>
                <w:szCs w:val="17"/>
                <w:color w:val="auto"/>
              </w:rPr>
            </w:pPr>
          </w:p>
        </w:tc>
        <w:tc>
          <w:tcPr>
            <w:tcW w:w="1040" w:type="dxa"/>
            <w:vAlign w:val="bottom"/>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45">
              <w:r>
                <w:rPr>
                  <w:rFonts w:ascii="Arial" w:cs="Arial" w:eastAsia="Arial" w:hAnsi="Arial"/>
                  <w:sz w:val="20"/>
                  <w:szCs w:val="20"/>
                  <w:color w:val="0000EE"/>
                  <w:highlight w:val="white"/>
                </w:rPr>
                <w:t>Benefit to Guarantors</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45">
              <w:r>
                <w:rPr>
                  <w:rFonts w:ascii="Arial" w:cs="Arial" w:eastAsia="Arial" w:hAnsi="Arial"/>
                  <w:sz w:val="20"/>
                  <w:szCs w:val="20"/>
                  <w:color w:val="0000EE"/>
                </w:rPr>
                <w:t>96</w:t>
              </w:r>
            </w:hyperlink>
          </w:p>
        </w:tc>
      </w:tr>
      <w:tr>
        <w:trPr>
          <w:trHeight w:val="203"/>
        </w:trPr>
        <w:tc>
          <w:tcPr>
            <w:tcW w:w="300" w:type="dxa"/>
            <w:vAlign w:val="bottom"/>
          </w:tcPr>
          <w:p>
            <w:pPr>
              <w:spacing w:after="0"/>
              <w:rPr>
                <w:sz w:val="17"/>
                <w:szCs w:val="17"/>
                <w:color w:val="auto"/>
              </w:rPr>
            </w:pPr>
          </w:p>
        </w:tc>
        <w:tc>
          <w:tcPr>
            <w:tcW w:w="1040" w:type="dxa"/>
            <w:vAlign w:val="bottom"/>
            <w:tcBorders>
              <w:top w:val="single" w:sz="8" w:color="0000EE"/>
            </w:tcBorders>
            <w:gridSpan w:val="2"/>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13.9.</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top w:val="single" w:sz="8" w:color="0000EE"/>
            </w:tcBorders>
            <w:gridSpan w:val="20"/>
          </w:tcPr>
          <w:p>
            <w:pPr>
              <w:spacing w:after="0" w:line="203" w:lineRule="exact"/>
              <w:rPr>
                <w:rFonts w:ascii="Arial" w:cs="Arial" w:eastAsia="Arial" w:hAnsi="Arial"/>
                <w:sz w:val="20"/>
                <w:szCs w:val="20"/>
                <w:color w:val="0000EE"/>
                <w:highlight w:val="white"/>
                <w:w w:val="86"/>
              </w:rPr>
            </w:pPr>
            <w:hyperlink w:anchor="page145">
              <w:r>
                <w:rPr>
                  <w:rFonts w:ascii="Arial" w:cs="Arial" w:eastAsia="Arial" w:hAnsi="Arial"/>
                  <w:sz w:val="20"/>
                  <w:szCs w:val="20"/>
                  <w:color w:val="0000EE"/>
                  <w:highlight w:val="white"/>
                  <w:w w:val="86"/>
                </w:rPr>
                <w:t>Guarantor Covenants</w:t>
              </w:r>
            </w:hyperlink>
          </w:p>
        </w:tc>
        <w:tc>
          <w:tcPr>
            <w:tcW w:w="488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0000EE"/>
            </w:tcBorders>
          </w:tcPr>
          <w:p>
            <w:pPr>
              <w:jc w:val="right"/>
              <w:spacing w:after="0" w:line="203" w:lineRule="exact"/>
              <w:rPr>
                <w:rFonts w:ascii="Arial" w:cs="Arial" w:eastAsia="Arial" w:hAnsi="Arial"/>
                <w:sz w:val="20"/>
                <w:szCs w:val="20"/>
                <w:color w:val="0000EE"/>
                <w:w w:val="80"/>
              </w:rPr>
            </w:pPr>
            <w:hyperlink w:anchor="page145">
              <w:r>
                <w:rPr>
                  <w:rFonts w:ascii="Arial" w:cs="Arial" w:eastAsia="Arial" w:hAnsi="Arial"/>
                  <w:sz w:val="20"/>
                  <w:szCs w:val="20"/>
                  <w:color w:val="0000EE"/>
                  <w:w w:val="80"/>
                </w:rPr>
                <w:t>96</w:t>
              </w:r>
            </w:hyperlink>
          </w:p>
        </w:tc>
      </w:tr>
      <w:tr>
        <w:trPr>
          <w:trHeight w:val="20"/>
        </w:trPr>
        <w:tc>
          <w:tcPr>
            <w:tcW w:w="3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900" w:type="dxa"/>
            <w:vAlign w:val="bottom"/>
            <w:gridSpan w:val="15"/>
            <w:shd w:val="clear" w:color="auto" w:fill="0000EE"/>
          </w:tcPr>
          <w:p>
            <w:pPr>
              <w:spacing w:after="0" w:line="20" w:lineRule="exact"/>
              <w:rPr>
                <w:sz w:val="1"/>
                <w:szCs w:val="1"/>
                <w:color w:val="auto"/>
              </w:rPr>
            </w:pPr>
          </w:p>
        </w:tc>
        <w:tc>
          <w:tcPr>
            <w:tcW w:w="490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140" w:type="dxa"/>
            <w:vAlign w:val="bottom"/>
            <w:gridSpan w:val="3"/>
          </w:tcPr>
          <w:p>
            <w:pPr>
              <w:spacing w:after="0" w:line="203" w:lineRule="exact"/>
              <w:rPr>
                <w:rFonts w:ascii="Arial" w:cs="Arial" w:eastAsia="Arial" w:hAnsi="Arial"/>
                <w:sz w:val="20"/>
                <w:szCs w:val="20"/>
                <w:color w:val="0000EE"/>
                <w:highlight w:val="white"/>
                <w:w w:val="87"/>
              </w:rPr>
            </w:pPr>
            <w:hyperlink w:anchor="page145">
              <w:r>
                <w:rPr>
                  <w:rFonts w:ascii="Arial" w:cs="Arial" w:eastAsia="Arial" w:hAnsi="Arial"/>
                  <w:sz w:val="20"/>
                  <w:szCs w:val="20"/>
                  <w:color w:val="0000EE"/>
                  <w:highlight w:val="white"/>
                  <w:w w:val="87"/>
                </w:rPr>
                <w:t>Section 13.10.</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60" w:type="dxa"/>
            <w:vAlign w:val="bottom"/>
            <w:gridSpan w:val="32"/>
          </w:tcPr>
          <w:p>
            <w:pPr>
              <w:spacing w:after="0" w:line="203" w:lineRule="exact"/>
              <w:rPr>
                <w:rFonts w:ascii="Arial" w:cs="Arial" w:eastAsia="Arial" w:hAnsi="Arial"/>
                <w:sz w:val="20"/>
                <w:szCs w:val="20"/>
                <w:color w:val="0000EE"/>
                <w:highlight w:val="white"/>
              </w:rPr>
            </w:pPr>
            <w:hyperlink w:anchor="page145">
              <w:r>
                <w:rPr>
                  <w:rFonts w:ascii="Arial" w:cs="Arial" w:eastAsia="Arial" w:hAnsi="Arial"/>
                  <w:sz w:val="20"/>
                  <w:szCs w:val="20"/>
                  <w:color w:val="0000EE"/>
                  <w:highlight w:val="white"/>
                </w:rPr>
                <w:t>Keepwell</w:t>
              </w:r>
            </w:hyperlink>
          </w:p>
        </w:tc>
        <w:tc>
          <w:tcPr>
            <w:tcW w:w="480" w:type="dxa"/>
            <w:vAlign w:val="bottom"/>
            <w:gridSpan w:val="2"/>
          </w:tcPr>
          <w:p>
            <w:pPr>
              <w:jc w:val="right"/>
              <w:spacing w:after="0" w:line="203" w:lineRule="exact"/>
              <w:rPr>
                <w:rFonts w:ascii="Arial" w:cs="Arial" w:eastAsia="Arial" w:hAnsi="Arial"/>
                <w:sz w:val="20"/>
                <w:szCs w:val="20"/>
                <w:color w:val="0000EE"/>
              </w:rPr>
            </w:pPr>
            <w:hyperlink w:anchor="page145">
              <w:r>
                <w:rPr>
                  <w:rFonts w:ascii="Arial" w:cs="Arial" w:eastAsia="Arial" w:hAnsi="Arial"/>
                  <w:sz w:val="20"/>
                  <w:szCs w:val="20"/>
                  <w:color w:val="0000EE"/>
                </w:rPr>
                <w:t>97</w:t>
              </w:r>
            </w:hyperlink>
          </w:p>
        </w:tc>
      </w:tr>
      <w:tr>
        <w:trPr>
          <w:trHeight w:val="20"/>
        </w:trPr>
        <w:tc>
          <w:tcPr>
            <w:tcW w:w="30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800" w:type="dxa"/>
            <w:vAlign w:val="bottom"/>
            <w:gridSpan w:val="2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604"/>
        </w:trPr>
        <w:tc>
          <w:tcPr>
            <w:tcW w:w="1440" w:type="dxa"/>
            <w:vAlign w:val="bottom"/>
            <w:gridSpan w:val="4"/>
          </w:tcPr>
          <w:p>
            <w:pPr>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A</w:t>
            </w:r>
          </w:p>
        </w:tc>
        <w:tc>
          <w:tcPr>
            <w:tcW w:w="2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rPr>
                <w:sz w:val="20"/>
                <w:szCs w:val="20"/>
                <w:color w:val="auto"/>
              </w:rPr>
            </w:pPr>
            <w:r>
              <w:rPr>
                <w:rFonts w:ascii="Arial" w:cs="Arial" w:eastAsia="Arial" w:hAnsi="Arial"/>
                <w:sz w:val="20"/>
                <w:szCs w:val="20"/>
                <w:color w:val="auto"/>
              </w:rPr>
              <w:t>Reserved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440" w:type="dxa"/>
            <w:vAlign w:val="bottom"/>
            <w:gridSpan w:val="4"/>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B</w:t>
            </w:r>
          </w:p>
        </w:tc>
        <w:tc>
          <w:tcPr>
            <w:tcW w:w="20" w:type="dxa"/>
            <w:vAlign w:val="bottom"/>
          </w:tcPr>
          <w:p>
            <w:pPr>
              <w:spacing w:after="0"/>
              <w:rPr>
                <w:sz w:val="19"/>
                <w:szCs w:val="19"/>
                <w:color w:val="auto"/>
              </w:rPr>
            </w:pPr>
          </w:p>
        </w:tc>
        <w:tc>
          <w:tcPr>
            <w:tcW w:w="580" w:type="dxa"/>
            <w:vAlign w:val="bottom"/>
            <w:gridSpan w:val="3"/>
          </w:tcPr>
          <w:p>
            <w:pPr>
              <w:ind w:left="20"/>
              <w:spacing w:after="0" w:line="223" w:lineRule="exact"/>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line="223" w:lineRule="exact"/>
              <w:rPr>
                <w:sz w:val="20"/>
                <w:szCs w:val="20"/>
                <w:color w:val="auto"/>
              </w:rPr>
            </w:pPr>
            <w:r>
              <w:rPr>
                <w:rFonts w:ascii="Arial" w:cs="Arial" w:eastAsia="Arial" w:hAnsi="Arial"/>
                <w:sz w:val="20"/>
                <w:szCs w:val="20"/>
                <w:color w:val="auto"/>
              </w:rPr>
              <w:t>Notice of Borrowing</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440" w:type="dxa"/>
            <w:vAlign w:val="bottom"/>
            <w:gridSpan w:val="4"/>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C</w:t>
            </w:r>
          </w:p>
        </w:tc>
        <w:tc>
          <w:tcPr>
            <w:tcW w:w="20" w:type="dxa"/>
            <w:vAlign w:val="bottom"/>
          </w:tcPr>
          <w:p>
            <w:pPr>
              <w:spacing w:after="0"/>
              <w:rPr>
                <w:sz w:val="19"/>
                <w:szCs w:val="19"/>
                <w:color w:val="auto"/>
              </w:rPr>
            </w:pPr>
          </w:p>
        </w:tc>
        <w:tc>
          <w:tcPr>
            <w:tcW w:w="580" w:type="dxa"/>
            <w:vAlign w:val="bottom"/>
            <w:gridSpan w:val="3"/>
          </w:tcPr>
          <w:p>
            <w:pPr>
              <w:ind w:left="20"/>
              <w:spacing w:after="0" w:line="223" w:lineRule="exact"/>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line="223" w:lineRule="exact"/>
              <w:rPr>
                <w:sz w:val="20"/>
                <w:szCs w:val="20"/>
                <w:color w:val="auto"/>
              </w:rPr>
            </w:pPr>
            <w:r>
              <w:rPr>
                <w:rFonts w:ascii="Arial" w:cs="Arial" w:eastAsia="Arial" w:hAnsi="Arial"/>
                <w:sz w:val="20"/>
                <w:szCs w:val="20"/>
                <w:color w:val="auto"/>
              </w:rPr>
              <w:t>Notice of Continuation/Conversion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440" w:type="dxa"/>
            <w:vAlign w:val="bottom"/>
            <w:gridSpan w:val="4"/>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D</w:t>
            </w:r>
          </w:p>
        </w:tc>
        <w:tc>
          <w:tcPr>
            <w:tcW w:w="20" w:type="dxa"/>
            <w:vAlign w:val="bottom"/>
          </w:tcPr>
          <w:p>
            <w:pPr>
              <w:spacing w:after="0"/>
              <w:rPr>
                <w:sz w:val="19"/>
                <w:szCs w:val="19"/>
                <w:color w:val="auto"/>
              </w:rPr>
            </w:pPr>
          </w:p>
        </w:tc>
        <w:tc>
          <w:tcPr>
            <w:tcW w:w="580" w:type="dxa"/>
            <w:vAlign w:val="bottom"/>
            <w:gridSpan w:val="3"/>
          </w:tcPr>
          <w:p>
            <w:pPr>
              <w:ind w:left="20"/>
              <w:spacing w:after="0" w:line="223" w:lineRule="exact"/>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line="223" w:lineRule="exact"/>
              <w:rPr>
                <w:sz w:val="20"/>
                <w:szCs w:val="20"/>
                <w:color w:val="auto"/>
              </w:rPr>
            </w:pPr>
            <w:r>
              <w:rPr>
                <w:rFonts w:ascii="Arial" w:cs="Arial" w:eastAsia="Arial" w:hAnsi="Arial"/>
                <w:sz w:val="20"/>
                <w:szCs w:val="20"/>
                <w:color w:val="auto"/>
              </w:rPr>
              <w:t>Term Note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1440" w:type="dxa"/>
            <w:vAlign w:val="bottom"/>
            <w:gridSpan w:val="4"/>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E</w:t>
            </w:r>
          </w:p>
        </w:tc>
        <w:tc>
          <w:tcPr>
            <w:tcW w:w="20" w:type="dxa"/>
            <w:vAlign w:val="bottom"/>
          </w:tcPr>
          <w:p>
            <w:pPr>
              <w:spacing w:after="0"/>
              <w:rPr>
                <w:sz w:val="19"/>
                <w:szCs w:val="19"/>
                <w:color w:val="auto"/>
              </w:rPr>
            </w:pPr>
          </w:p>
        </w:tc>
        <w:tc>
          <w:tcPr>
            <w:tcW w:w="580" w:type="dxa"/>
            <w:vAlign w:val="bottom"/>
            <w:gridSpan w:val="3"/>
          </w:tcPr>
          <w:p>
            <w:pPr>
              <w:ind w:left="20"/>
              <w:spacing w:after="0" w:line="223" w:lineRule="exact"/>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line="223" w:lineRule="exact"/>
              <w:rPr>
                <w:sz w:val="20"/>
                <w:szCs w:val="20"/>
                <w:color w:val="auto"/>
              </w:rPr>
            </w:pPr>
            <w:r>
              <w:rPr>
                <w:rFonts w:ascii="Arial" w:cs="Arial" w:eastAsia="Arial" w:hAnsi="Arial"/>
                <w:sz w:val="20"/>
                <w:szCs w:val="20"/>
                <w:color w:val="auto"/>
              </w:rPr>
              <w:t>Compliance Certificate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440" w:type="dxa"/>
            <w:vAlign w:val="bottom"/>
            <w:gridSpan w:val="4"/>
          </w:tcPr>
          <w:p>
            <w:pPr>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F</w:t>
            </w:r>
          </w:p>
        </w:tc>
        <w:tc>
          <w:tcPr>
            <w:tcW w:w="20" w:type="dxa"/>
            <w:vAlign w:val="bottom"/>
          </w:tcPr>
          <w:p>
            <w:pPr>
              <w:spacing w:after="0"/>
              <w:rPr>
                <w:sz w:val="21"/>
                <w:szCs w:val="21"/>
                <w:color w:val="auto"/>
              </w:rPr>
            </w:pPr>
          </w:p>
        </w:tc>
        <w:tc>
          <w:tcPr>
            <w:tcW w:w="580" w:type="dxa"/>
            <w:vAlign w:val="bottom"/>
            <w:gridSpan w:val="3"/>
          </w:tcPr>
          <w:p>
            <w:pPr>
              <w:ind w:left="20"/>
              <w:spacing w:after="0"/>
              <w:rPr>
                <w:sz w:val="20"/>
                <w:szCs w:val="20"/>
                <w:color w:val="auto"/>
              </w:rPr>
            </w:pPr>
            <w:r>
              <w:rPr>
                <w:rFonts w:ascii="Arial" w:cs="Arial" w:eastAsia="Arial" w:hAnsi="Arial"/>
                <w:sz w:val="20"/>
                <w:szCs w:val="20"/>
                <w:color w:val="auto"/>
              </w:rPr>
              <w:t>—</w:t>
            </w:r>
          </w:p>
        </w:tc>
        <w:tc>
          <w:tcPr>
            <w:tcW w:w="6080" w:type="dxa"/>
            <w:vAlign w:val="bottom"/>
            <w:gridSpan w:val="31"/>
          </w:tcPr>
          <w:p>
            <w:pPr>
              <w:ind w:left="40"/>
              <w:spacing w:after="0"/>
              <w:rPr>
                <w:sz w:val="20"/>
                <w:szCs w:val="20"/>
                <w:color w:val="auto"/>
              </w:rPr>
            </w:pPr>
            <w:r>
              <w:rPr>
                <w:rFonts w:ascii="Arial" w:cs="Arial" w:eastAsia="Arial" w:hAnsi="Arial"/>
                <w:sz w:val="20"/>
                <w:szCs w:val="20"/>
                <w:color w:val="auto"/>
              </w:rPr>
              <w:t>Assignment and Acceptance</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-6213475</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1182370</wp:posOffset>
            </wp:positionH>
            <wp:positionV relativeFrom="paragraph">
              <wp:posOffset>-6213475</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-6213475</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-6213475</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-6213475</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-6213475</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1260475</wp:posOffset>
            </wp:positionH>
            <wp:positionV relativeFrom="paragraph">
              <wp:posOffset>-6213475</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-6213475</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-6213475</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-6213475</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-6213475</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-6213475</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-6213475</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-6213475</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-6213475</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-6213475</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-6213475</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-6213475</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-6213475</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-6213475</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-6213475</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-6213475</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-6213475</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1527810</wp:posOffset>
            </wp:positionH>
            <wp:positionV relativeFrom="paragraph">
              <wp:posOffset>-6213475</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-6213475</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-6213475</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-6213475</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-6213475</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-6213475</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-6213475</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-6213475</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-6213475</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1669415</wp:posOffset>
            </wp:positionH>
            <wp:positionV relativeFrom="paragraph">
              <wp:posOffset>-6213475</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-6213475</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-6213475</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-6213475</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1732280</wp:posOffset>
            </wp:positionH>
            <wp:positionV relativeFrom="paragraph">
              <wp:posOffset>-6213475</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-6213475</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1764030</wp:posOffset>
            </wp:positionH>
            <wp:positionV relativeFrom="paragraph">
              <wp:posOffset>-6213475</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-6213475</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-6213475</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-6213475</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-6213475</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-6213475</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-6213475</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-6213475</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-6213475</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-6213475</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-6213475</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-6213475</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-6213475</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-6213475</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-6213475</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-6213475</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-6213475</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-6213475</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-6213475</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-6213475</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-6213475</wp:posOffset>
            </wp:positionV>
            <wp:extent cx="762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-6213475</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2109470</wp:posOffset>
            </wp:positionH>
            <wp:positionV relativeFrom="paragraph">
              <wp:posOffset>-6213475</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2125345</wp:posOffset>
            </wp:positionH>
            <wp:positionV relativeFrom="paragraph">
              <wp:posOffset>-6213475</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-6213475</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-6213475</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-6213475</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-6213475</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-6213475</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-6213475</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-6213475</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-6213475</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-6213475</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-6213475</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-6213475</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-6213475</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2329815</wp:posOffset>
            </wp:positionH>
            <wp:positionV relativeFrom="paragraph">
              <wp:posOffset>-6213475</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-6213475</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-6213475</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-6213475</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-6213475</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2407920</wp:posOffset>
            </wp:positionH>
            <wp:positionV relativeFrom="paragraph">
              <wp:posOffset>-6213475</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-6213475</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-6213475</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-6213475</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-6213475</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-6213475</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-6213475</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2518410</wp:posOffset>
            </wp:positionH>
            <wp:positionV relativeFrom="paragraph">
              <wp:posOffset>-6213475</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-6213475</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-6213475</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-6213475</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2581275</wp:posOffset>
            </wp:positionH>
            <wp:positionV relativeFrom="paragraph">
              <wp:posOffset>-6213475</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2596515</wp:posOffset>
            </wp:positionH>
            <wp:positionV relativeFrom="paragraph">
              <wp:posOffset>-6213475</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-6213475</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-6213475</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-6213475</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-6213475</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-6213475</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-6213475</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2707005</wp:posOffset>
            </wp:positionH>
            <wp:positionV relativeFrom="paragraph">
              <wp:posOffset>-6213475</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-6213475</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2738120</wp:posOffset>
            </wp:positionH>
            <wp:positionV relativeFrom="paragraph">
              <wp:posOffset>-6213475</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-6213475</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-6213475</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-6213475</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-6213475</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-6213475</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2832735</wp:posOffset>
            </wp:positionH>
            <wp:positionV relativeFrom="paragraph">
              <wp:posOffset>-6213475</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2847975</wp:posOffset>
            </wp:positionH>
            <wp:positionV relativeFrom="paragraph">
              <wp:posOffset>-6213475</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-6213475</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-6213475</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2895600</wp:posOffset>
            </wp:positionH>
            <wp:positionV relativeFrom="paragraph">
              <wp:posOffset>-6213475</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-6213475</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-6213475</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-6213475</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-6213475</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-6213475</wp:posOffset>
            </wp:positionV>
            <wp:extent cx="762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-6213475</wp:posOffset>
            </wp:positionV>
            <wp:extent cx="762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-6213475</wp:posOffset>
            </wp:positionV>
            <wp:extent cx="762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-6213475</wp:posOffset>
            </wp:positionV>
            <wp:extent cx="76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3036570</wp:posOffset>
            </wp:positionH>
            <wp:positionV relativeFrom="paragraph">
              <wp:posOffset>-6213475</wp:posOffset>
            </wp:positionV>
            <wp:extent cx="76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-6213475</wp:posOffset>
            </wp:positionV>
            <wp:extent cx="76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-6213475</wp:posOffset>
            </wp:positionV>
            <wp:extent cx="762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-6213475</wp:posOffset>
            </wp:positionV>
            <wp:extent cx="76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-6213475</wp:posOffset>
            </wp:positionV>
            <wp:extent cx="76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-6213475</wp:posOffset>
            </wp:positionV>
            <wp:extent cx="762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-6213475</wp:posOffset>
            </wp:positionV>
            <wp:extent cx="76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-6213475</wp:posOffset>
            </wp:positionV>
            <wp:extent cx="762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-6213475</wp:posOffset>
            </wp:positionV>
            <wp:extent cx="762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-6213475</wp:posOffset>
            </wp:positionV>
            <wp:extent cx="762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-6213475</wp:posOffset>
            </wp:positionV>
            <wp:extent cx="762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-6213475</wp:posOffset>
            </wp:positionV>
            <wp:extent cx="762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-6213475</wp:posOffset>
            </wp:positionV>
            <wp:extent cx="76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-6213475</wp:posOffset>
            </wp:positionV>
            <wp:extent cx="762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-6213475</wp:posOffset>
            </wp:positionV>
            <wp:extent cx="762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-6213475</wp:posOffset>
            </wp:positionV>
            <wp:extent cx="762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-6213475</wp:posOffset>
            </wp:positionV>
            <wp:extent cx="762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-6213475</wp:posOffset>
            </wp:positionV>
            <wp:extent cx="762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-6213475</wp:posOffset>
            </wp:positionV>
            <wp:extent cx="762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-6213475</wp:posOffset>
            </wp:positionV>
            <wp:extent cx="76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-6213475</wp:posOffset>
            </wp:positionV>
            <wp:extent cx="762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-6213475</wp:posOffset>
            </wp:positionV>
            <wp:extent cx="762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-6213475</wp:posOffset>
            </wp:positionV>
            <wp:extent cx="762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-6213475</wp:posOffset>
            </wp:positionV>
            <wp:extent cx="762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-6213475</wp:posOffset>
            </wp:positionV>
            <wp:extent cx="76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-6213475</wp:posOffset>
            </wp:positionV>
            <wp:extent cx="76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-6213475</wp:posOffset>
            </wp:positionV>
            <wp:extent cx="76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-6213475</wp:posOffset>
            </wp:positionV>
            <wp:extent cx="76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-6213475</wp:posOffset>
            </wp:positionV>
            <wp:extent cx="76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-6213475</wp:posOffset>
            </wp:positionV>
            <wp:extent cx="76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-6213475</wp:posOffset>
            </wp:positionV>
            <wp:extent cx="76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-6213475</wp:posOffset>
            </wp:positionV>
            <wp:extent cx="76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-6213475</wp:posOffset>
            </wp:positionV>
            <wp:extent cx="76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-6213475</wp:posOffset>
            </wp:positionV>
            <wp:extent cx="76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-6213475</wp:posOffset>
            </wp:positionV>
            <wp:extent cx="76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-6213475</wp:posOffset>
            </wp:positionV>
            <wp:extent cx="76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-6213475</wp:posOffset>
            </wp:positionV>
            <wp:extent cx="76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-6213475</wp:posOffset>
            </wp:positionV>
            <wp:extent cx="762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-6213475</wp:posOffset>
            </wp:positionV>
            <wp:extent cx="762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-6213475</wp:posOffset>
            </wp:positionV>
            <wp:extent cx="762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-6213475</wp:posOffset>
            </wp:positionV>
            <wp:extent cx="76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-6213475</wp:posOffset>
            </wp:positionV>
            <wp:extent cx="762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-6213475</wp:posOffset>
            </wp:positionV>
            <wp:extent cx="762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-6213475</wp:posOffset>
            </wp:positionV>
            <wp:extent cx="762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-6213475</wp:posOffset>
            </wp:positionV>
            <wp:extent cx="762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-6213475</wp:posOffset>
            </wp:positionV>
            <wp:extent cx="762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-6213475</wp:posOffset>
            </wp:positionV>
            <wp:extent cx="762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-6213475</wp:posOffset>
            </wp:positionV>
            <wp:extent cx="762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-6213475</wp:posOffset>
            </wp:positionV>
            <wp:extent cx="762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-6213475</wp:posOffset>
            </wp:positionV>
            <wp:extent cx="762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3822700</wp:posOffset>
            </wp:positionH>
            <wp:positionV relativeFrom="paragraph">
              <wp:posOffset>-6213475</wp:posOffset>
            </wp:positionV>
            <wp:extent cx="762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-6213475</wp:posOffset>
            </wp:positionV>
            <wp:extent cx="762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-6213475</wp:posOffset>
            </wp:positionV>
            <wp:extent cx="762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-6213475</wp:posOffset>
            </wp:positionV>
            <wp:extent cx="76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-6213475</wp:posOffset>
            </wp:positionV>
            <wp:extent cx="762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-6213475</wp:posOffset>
            </wp:positionV>
            <wp:extent cx="76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-6213475</wp:posOffset>
            </wp:positionV>
            <wp:extent cx="762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-6213475</wp:posOffset>
            </wp:positionV>
            <wp:extent cx="76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-6213475</wp:posOffset>
            </wp:positionV>
            <wp:extent cx="762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-6213475</wp:posOffset>
            </wp:positionV>
            <wp:extent cx="762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-6213475</wp:posOffset>
            </wp:positionV>
            <wp:extent cx="76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-6213475</wp:posOffset>
            </wp:positionV>
            <wp:extent cx="762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-6213475</wp:posOffset>
            </wp:positionV>
            <wp:extent cx="76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-6213475</wp:posOffset>
            </wp:positionV>
            <wp:extent cx="762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-6213475</wp:posOffset>
            </wp:positionV>
            <wp:extent cx="762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-6213475</wp:posOffset>
            </wp:positionV>
            <wp:extent cx="762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-6213475</wp:posOffset>
            </wp:positionV>
            <wp:extent cx="762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-6213475</wp:posOffset>
            </wp:positionV>
            <wp:extent cx="762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-6213475</wp:posOffset>
            </wp:positionV>
            <wp:extent cx="76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-6213475</wp:posOffset>
            </wp:positionV>
            <wp:extent cx="762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-6213475</wp:posOffset>
            </wp:positionV>
            <wp:extent cx="762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4152900</wp:posOffset>
            </wp:positionH>
            <wp:positionV relativeFrom="paragraph">
              <wp:posOffset>-6213475</wp:posOffset>
            </wp:positionV>
            <wp:extent cx="76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-6213475</wp:posOffset>
            </wp:positionV>
            <wp:extent cx="76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-6213475</wp:posOffset>
            </wp:positionV>
            <wp:extent cx="762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-6213475</wp:posOffset>
            </wp:positionV>
            <wp:extent cx="762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-6213475</wp:posOffset>
            </wp:positionV>
            <wp:extent cx="76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-6213475</wp:posOffset>
            </wp:positionV>
            <wp:extent cx="762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-6213475</wp:posOffset>
            </wp:positionV>
            <wp:extent cx="762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-6213475</wp:posOffset>
            </wp:positionV>
            <wp:extent cx="762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-6213475</wp:posOffset>
            </wp:positionV>
            <wp:extent cx="76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-6213475</wp:posOffset>
            </wp:positionV>
            <wp:extent cx="762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4309745</wp:posOffset>
            </wp:positionH>
            <wp:positionV relativeFrom="paragraph">
              <wp:posOffset>-6213475</wp:posOffset>
            </wp:positionV>
            <wp:extent cx="76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-6213475</wp:posOffset>
            </wp:positionV>
            <wp:extent cx="762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-6213475</wp:posOffset>
            </wp:positionV>
            <wp:extent cx="762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-6213475</wp:posOffset>
            </wp:positionV>
            <wp:extent cx="762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-6213475</wp:posOffset>
            </wp:positionV>
            <wp:extent cx="762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-6213475</wp:posOffset>
            </wp:positionV>
            <wp:extent cx="762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-6213475</wp:posOffset>
            </wp:positionV>
            <wp:extent cx="762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-6213475</wp:posOffset>
            </wp:positionV>
            <wp:extent cx="762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-6213475</wp:posOffset>
            </wp:positionV>
            <wp:extent cx="762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-6213475</wp:posOffset>
            </wp:positionV>
            <wp:extent cx="762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4467225</wp:posOffset>
            </wp:positionH>
            <wp:positionV relativeFrom="paragraph">
              <wp:posOffset>-6213475</wp:posOffset>
            </wp:positionV>
            <wp:extent cx="762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-6213475</wp:posOffset>
            </wp:positionV>
            <wp:extent cx="762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-6213475</wp:posOffset>
            </wp:positionV>
            <wp:extent cx="762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-6213475</wp:posOffset>
            </wp:positionV>
            <wp:extent cx="762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4530090</wp:posOffset>
            </wp:positionH>
            <wp:positionV relativeFrom="paragraph">
              <wp:posOffset>-6213475</wp:posOffset>
            </wp:positionV>
            <wp:extent cx="76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-6213475</wp:posOffset>
            </wp:positionV>
            <wp:extent cx="762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4561205</wp:posOffset>
            </wp:positionH>
            <wp:positionV relativeFrom="paragraph">
              <wp:posOffset>-6213475</wp:posOffset>
            </wp:positionV>
            <wp:extent cx="76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-6213475</wp:posOffset>
            </wp:positionV>
            <wp:extent cx="762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-6213475</wp:posOffset>
            </wp:positionV>
            <wp:extent cx="762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-6213475</wp:posOffset>
            </wp:positionV>
            <wp:extent cx="762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4624070</wp:posOffset>
            </wp:positionH>
            <wp:positionV relativeFrom="paragraph">
              <wp:posOffset>-6213475</wp:posOffset>
            </wp:positionV>
            <wp:extent cx="762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-6213475</wp:posOffset>
            </wp:positionV>
            <wp:extent cx="76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-6213475</wp:posOffset>
            </wp:positionV>
            <wp:extent cx="762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-6213475</wp:posOffset>
            </wp:positionV>
            <wp:extent cx="762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-6213475</wp:posOffset>
            </wp:positionV>
            <wp:extent cx="76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-6213475</wp:posOffset>
            </wp:positionV>
            <wp:extent cx="762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-6213475</wp:posOffset>
            </wp:positionV>
            <wp:extent cx="76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-6213475</wp:posOffset>
            </wp:positionV>
            <wp:extent cx="762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-6213475</wp:posOffset>
            </wp:positionV>
            <wp:extent cx="762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-6213475</wp:posOffset>
            </wp:positionV>
            <wp:extent cx="762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-6213475</wp:posOffset>
            </wp:positionV>
            <wp:extent cx="762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-6213475</wp:posOffset>
            </wp:positionV>
            <wp:extent cx="76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-6213475</wp:posOffset>
            </wp:positionV>
            <wp:extent cx="76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-6213475</wp:posOffset>
            </wp:positionV>
            <wp:extent cx="76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-6213475</wp:posOffset>
            </wp:positionV>
            <wp:extent cx="76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4860290</wp:posOffset>
            </wp:positionH>
            <wp:positionV relativeFrom="paragraph">
              <wp:posOffset>-6213475</wp:posOffset>
            </wp:positionV>
            <wp:extent cx="762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-6213475</wp:posOffset>
            </wp:positionV>
            <wp:extent cx="762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-6213475</wp:posOffset>
            </wp:positionV>
            <wp:extent cx="762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-6213475</wp:posOffset>
            </wp:positionV>
            <wp:extent cx="762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-6213475</wp:posOffset>
            </wp:positionV>
            <wp:extent cx="762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-6213475</wp:posOffset>
            </wp:positionV>
            <wp:extent cx="762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-6213475</wp:posOffset>
            </wp:positionV>
            <wp:extent cx="762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-6213475</wp:posOffset>
            </wp:positionV>
            <wp:extent cx="76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-6213475</wp:posOffset>
            </wp:positionV>
            <wp:extent cx="762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-6213475</wp:posOffset>
            </wp:positionV>
            <wp:extent cx="762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-6213475</wp:posOffset>
            </wp:positionV>
            <wp:extent cx="762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-6213475</wp:posOffset>
            </wp:positionV>
            <wp:extent cx="762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-6213475</wp:posOffset>
            </wp:positionV>
            <wp:extent cx="762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-6213475</wp:posOffset>
            </wp:positionV>
            <wp:extent cx="762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-6213475</wp:posOffset>
            </wp:positionV>
            <wp:extent cx="762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-6213475</wp:posOffset>
            </wp:positionV>
            <wp:extent cx="76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-6213475</wp:posOffset>
            </wp:positionV>
            <wp:extent cx="762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-6213475</wp:posOffset>
            </wp:positionV>
            <wp:extent cx="762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5142865</wp:posOffset>
            </wp:positionH>
            <wp:positionV relativeFrom="paragraph">
              <wp:posOffset>-6213475</wp:posOffset>
            </wp:positionV>
            <wp:extent cx="762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5158740</wp:posOffset>
            </wp:positionH>
            <wp:positionV relativeFrom="paragraph">
              <wp:posOffset>-6213475</wp:posOffset>
            </wp:positionV>
            <wp:extent cx="762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-6213475</wp:posOffset>
            </wp:positionV>
            <wp:extent cx="762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-6213475</wp:posOffset>
            </wp:positionV>
            <wp:extent cx="762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-6213475</wp:posOffset>
            </wp:positionV>
            <wp:extent cx="76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-6213475</wp:posOffset>
            </wp:positionV>
            <wp:extent cx="762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-6213475</wp:posOffset>
            </wp:positionV>
            <wp:extent cx="762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-6213475</wp:posOffset>
            </wp:positionV>
            <wp:extent cx="762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-6213475</wp:posOffset>
            </wp:positionV>
            <wp:extent cx="762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-6213475</wp:posOffset>
            </wp:positionV>
            <wp:extent cx="762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-6213475</wp:posOffset>
            </wp:positionV>
            <wp:extent cx="76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-6213475</wp:posOffset>
            </wp:positionV>
            <wp:extent cx="762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-6213475</wp:posOffset>
            </wp:positionV>
            <wp:extent cx="762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-6213475</wp:posOffset>
            </wp:positionV>
            <wp:extent cx="762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-6213475</wp:posOffset>
            </wp:positionV>
            <wp:extent cx="762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-6213475</wp:posOffset>
            </wp:positionV>
            <wp:extent cx="762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-6315710</wp:posOffset>
            </wp:positionV>
            <wp:extent cx="5461635" cy="521843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5461635" cy="521843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-6315710</wp:posOffset>
            </wp:positionV>
            <wp:extent cx="5461635" cy="521843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5461635" cy="5218430"/>
                    </a:xfrm>
                    <a:prstGeom prst="rect">
                      <a:avLst/>
                    </a:prstGeom>
                    <a:noFill/>
                  </pic:spPr>
                </pic:pic>
              </a:graphicData>
            </a:graphic>
          </wp:anchor>
        </w:drawing>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321945</wp:posOffset>
            </wp:positionV>
            <wp:extent cx="5461635" cy="2349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48" w:name="page49"/>
    <w:bookmarkEnd w:id="48"/>
    <w:tbl>
      <w:tblPr>
        <w:tblLayout w:type="fixed"/>
        <w:tblInd w:w="20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G</w:t>
            </w:r>
          </w:p>
        </w:tc>
        <w:tc>
          <w:tcPr>
            <w:tcW w:w="560" w:type="dxa"/>
            <w:vAlign w:val="bottom"/>
          </w:tcPr>
          <w:p>
            <w:pPr>
              <w:ind w:left="160"/>
              <w:spacing w:after="0"/>
              <w:rPr>
                <w:sz w:val="20"/>
                <w:szCs w:val="20"/>
                <w:color w:val="auto"/>
              </w:rPr>
            </w:pPr>
            <w:r>
              <w:rPr>
                <w:rFonts w:ascii="Arial" w:cs="Arial" w:eastAsia="Arial" w:hAnsi="Arial"/>
                <w:sz w:val="20"/>
                <w:szCs w:val="20"/>
                <w:color w:val="auto"/>
              </w:rPr>
              <w:t>—</w:t>
            </w:r>
          </w:p>
        </w:tc>
        <w:tc>
          <w:tcPr>
            <w:tcW w:w="6720" w:type="dxa"/>
            <w:vAlign w:val="bottom"/>
          </w:tcPr>
          <w:p>
            <w:pPr>
              <w:ind w:left="200"/>
              <w:spacing w:after="0"/>
              <w:rPr>
                <w:sz w:val="20"/>
                <w:szCs w:val="20"/>
                <w:color w:val="auto"/>
              </w:rPr>
            </w:pPr>
            <w:r>
              <w:rPr>
                <w:rFonts w:ascii="Arial" w:cs="Arial" w:eastAsia="Arial" w:hAnsi="Arial"/>
                <w:sz w:val="20"/>
                <w:szCs w:val="20"/>
                <w:color w:val="auto"/>
              </w:rPr>
              <w:t>Additional Guarantor Supplement</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H</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Commitment Amount Increase Request</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I</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Borrowing Base Certificate</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1</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Term Loan Commitments</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1.1</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Initial Properties</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6.2</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Subsidiaries</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6.6</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Material Adverse Effect</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6.11</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Litigation</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6.12</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Tax Returns</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6.17</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Environmental Issues</w:t>
            </w:r>
          </w:p>
        </w:tc>
      </w:tr>
      <w:tr>
        <w:trPr>
          <w:trHeight w:val="223"/>
        </w:trPr>
        <w:tc>
          <w:tcPr>
            <w:tcW w:w="1320" w:type="dxa"/>
            <w:vAlign w:val="bottom"/>
          </w:tcPr>
          <w:p>
            <w:pPr>
              <w:spacing w:after="0" w:line="223" w:lineRule="exact"/>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6.23</w:t>
            </w:r>
          </w:p>
        </w:tc>
        <w:tc>
          <w:tcPr>
            <w:tcW w:w="560" w:type="dxa"/>
            <w:vAlign w:val="bottom"/>
          </w:tcPr>
          <w:p>
            <w:pPr>
              <w:ind w:left="160"/>
              <w:spacing w:after="0" w:line="223" w:lineRule="exact"/>
              <w:rPr>
                <w:sz w:val="20"/>
                <w:szCs w:val="20"/>
                <w:color w:val="auto"/>
              </w:rPr>
            </w:pPr>
            <w:r>
              <w:rPr>
                <w:rFonts w:ascii="Arial" w:cs="Arial" w:eastAsia="Arial" w:hAnsi="Arial"/>
                <w:sz w:val="20"/>
                <w:szCs w:val="20"/>
                <w:color w:val="auto"/>
              </w:rPr>
              <w:t>—</w:t>
            </w:r>
          </w:p>
        </w:tc>
        <w:tc>
          <w:tcPr>
            <w:tcW w:w="6720" w:type="dxa"/>
            <w:vAlign w:val="bottom"/>
          </w:tcPr>
          <w:p>
            <w:pPr>
              <w:ind w:left="200"/>
              <w:spacing w:after="0" w:line="223" w:lineRule="exact"/>
              <w:rPr>
                <w:sz w:val="20"/>
                <w:szCs w:val="20"/>
                <w:color w:val="auto"/>
              </w:rPr>
            </w:pPr>
            <w:r>
              <w:rPr>
                <w:rFonts w:ascii="Arial" w:cs="Arial" w:eastAsia="Arial" w:hAnsi="Arial"/>
                <w:sz w:val="20"/>
                <w:szCs w:val="20"/>
                <w:color w:val="auto"/>
              </w:rPr>
              <w:t>Maintenance and Condition</w:t>
            </w:r>
          </w:p>
        </w:tc>
      </w:t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8.7</w:t>
            </w:r>
          </w:p>
        </w:tc>
        <w:tc>
          <w:tcPr>
            <w:tcW w:w="560" w:type="dxa"/>
            <w:vAlign w:val="bottom"/>
          </w:tcPr>
          <w:p>
            <w:pPr>
              <w:ind w:left="160"/>
              <w:spacing w:after="0"/>
              <w:rPr>
                <w:sz w:val="20"/>
                <w:szCs w:val="20"/>
                <w:color w:val="auto"/>
              </w:rPr>
            </w:pPr>
            <w:r>
              <w:rPr>
                <w:rFonts w:ascii="Arial" w:cs="Arial" w:eastAsia="Arial" w:hAnsi="Arial"/>
                <w:sz w:val="20"/>
                <w:szCs w:val="20"/>
                <w:color w:val="auto"/>
              </w:rPr>
              <w:t>—</w:t>
            </w:r>
          </w:p>
        </w:tc>
        <w:tc>
          <w:tcPr>
            <w:tcW w:w="6720" w:type="dxa"/>
            <w:vAlign w:val="bottom"/>
          </w:tcPr>
          <w:p>
            <w:pPr>
              <w:ind w:left="200"/>
              <w:spacing w:after="0"/>
              <w:rPr>
                <w:sz w:val="20"/>
                <w:szCs w:val="20"/>
                <w:color w:val="auto"/>
              </w:rPr>
            </w:pPr>
            <w:r>
              <w:rPr>
                <w:rFonts w:ascii="Arial" w:cs="Arial" w:eastAsia="Arial" w:hAnsi="Arial"/>
                <w:sz w:val="20"/>
                <w:szCs w:val="20"/>
                <w:color w:val="auto"/>
              </w:rPr>
              <w:t>Existing Liens</w:t>
            </w:r>
          </w:p>
        </w:tc>
      </w:tr>
      <w:tr>
        <w:trPr>
          <w:trHeight w:val="594"/>
        </w:trPr>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tcPr>
          <w:p>
            <w:pPr>
              <w:ind w:left="2300"/>
              <w:spacing w:after="0"/>
              <w:rPr>
                <w:sz w:val="20"/>
                <w:szCs w:val="20"/>
                <w:color w:val="auto"/>
              </w:rPr>
            </w:pPr>
            <w:r>
              <w:rPr>
                <w:rFonts w:ascii="Arial" w:cs="Arial" w:eastAsia="Arial" w:hAnsi="Arial"/>
                <w:sz w:val="20"/>
                <w:szCs w:val="20"/>
                <w:color w:val="auto"/>
              </w:rPr>
              <w:t>-v-</w:t>
            </w:r>
          </w:p>
        </w:tc>
      </w:tr>
      <w:tr>
        <w:trPr>
          <w:trHeight w:val="504"/>
        </w:trPr>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1" w:right="1440" w:bottom="1440" w:gutter="0" w:footer="0" w:header="0"/>
        </w:sectPr>
      </w:pPr>
    </w:p>
    <w:bookmarkStart w:id="49" w:name="page50"/>
    <w:bookmarkEnd w:id="49"/>
    <w:p>
      <w:pPr>
        <w:jc w:val="both"/>
        <w:ind w:left="200" w:right="219"/>
        <w:spacing w:after="0" w:line="241" w:lineRule="auto"/>
        <w:rPr>
          <w:sz w:val="20"/>
          <w:szCs w:val="20"/>
          <w:color w:val="auto"/>
        </w:rPr>
      </w:pPr>
      <w:r>
        <w:rPr>
          <w:rFonts w:ascii="Arial" w:cs="Arial" w:eastAsia="Arial" w:hAnsi="Arial"/>
          <w:sz w:val="20"/>
          <w:szCs w:val="20"/>
          <w:b w:val="1"/>
          <w:bCs w:val="1"/>
          <w:color w:val="auto"/>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REDIT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200" w:lineRule="exact"/>
        <w:rPr>
          <w:sz w:val="20"/>
          <w:szCs w:val="20"/>
          <w:color w:val="auto"/>
        </w:rPr>
      </w:pPr>
    </w:p>
    <w:p>
      <w:pPr>
        <w:spacing w:after="0" w:line="220" w:lineRule="exact"/>
        <w:rPr>
          <w:sz w:val="20"/>
          <w:szCs w:val="20"/>
          <w:color w:val="auto"/>
        </w:rPr>
      </w:pPr>
    </w:p>
    <w:p>
      <w:pPr>
        <w:jc w:val="both"/>
        <w:ind w:left="200" w:right="219" w:firstLine="594"/>
        <w:spacing w:after="0" w:line="236" w:lineRule="auto"/>
        <w:rPr>
          <w:sz w:val="20"/>
          <w:szCs w:val="20"/>
          <w:color w:val="auto"/>
        </w:rPr>
      </w:pPr>
      <w:r>
        <w:rPr>
          <w:rFonts w:ascii="Arial" w:cs="Arial" w:eastAsia="Arial" w:hAnsi="Arial"/>
          <w:sz w:val="20"/>
          <w:szCs w:val="20"/>
          <w:color w:val="auto"/>
        </w:rPr>
        <w:t xml:space="preserve">This Credit Agreement (this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i w:val="1"/>
          <w:iCs w:val="1"/>
          <w:color w:val="auto"/>
        </w:rPr>
        <w:t>”</w:t>
      </w:r>
      <w:r>
        <w:rPr>
          <w:rFonts w:ascii="Arial" w:cs="Arial" w:eastAsia="Arial" w:hAnsi="Arial"/>
          <w:sz w:val="20"/>
          <w:szCs w:val="20"/>
          <w:color w:val="auto"/>
        </w:rPr>
        <w:t xml:space="preserve">) is entered into as of September 30, 2021, by and among </w:t>
      </w:r>
      <w:r>
        <w:rPr>
          <w:rFonts w:ascii="Arial" w:cs="Arial" w:eastAsia="Arial" w:hAnsi="Arial"/>
          <w:sz w:val="20"/>
          <w:szCs w:val="20"/>
          <w:b w:val="1"/>
          <w:bCs w:val="1"/>
          <w:color w:val="auto"/>
        </w:rPr>
        <w:t>A</w:t>
      </w:r>
      <w:r>
        <w:rPr>
          <w:rFonts w:ascii="Arial" w:cs="Arial" w:eastAsia="Arial" w:hAnsi="Arial"/>
          <w:sz w:val="13"/>
          <w:szCs w:val="13"/>
          <w:b w:val="1"/>
          <w:bCs w:val="1"/>
          <w:color w:val="auto"/>
        </w:rPr>
        <w:t>LPINE</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NCOME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OP, LP</w:t>
      </w:r>
      <w:r>
        <w:rPr>
          <w:rFonts w:ascii="Arial" w:cs="Arial" w:eastAsia="Arial" w:hAnsi="Arial"/>
          <w:sz w:val="20"/>
          <w:szCs w:val="20"/>
          <w:color w:val="auto"/>
        </w:rPr>
        <w:t>, a Delaware limited partnership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i w:val="1"/>
          <w:i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LPINE</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NCOME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RUST</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Maryland corporation, as a Guarantor (“</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and each Material Subsidiary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from time to time party to this Agreement, as Guarantors, the several financial institutions from time to time party to this Agreement, as Lenders, and </w:t>
      </w:r>
      <w:r>
        <w:rPr>
          <w:rFonts w:ascii="Arial" w:cs="Arial" w:eastAsia="Arial" w:hAnsi="Arial"/>
          <w:sz w:val="20"/>
          <w:szCs w:val="20"/>
          <w:b w:val="1"/>
          <w:bCs w:val="1"/>
          <w:color w:val="auto"/>
        </w:rPr>
        <w:t>K</w:t>
      </w:r>
      <w:r>
        <w:rPr>
          <w:rFonts w:ascii="Arial" w:cs="Arial" w:eastAsia="Arial" w:hAnsi="Arial"/>
          <w:sz w:val="13"/>
          <w:szCs w:val="13"/>
          <w:b w:val="1"/>
          <w:bCs w:val="1"/>
          <w:color w:val="auto"/>
        </w:rPr>
        <w:t>EY</w:t>
      </w:r>
      <w:r>
        <w:rPr>
          <w:rFonts w:ascii="Arial" w:cs="Arial" w:eastAsia="Arial" w:hAnsi="Arial"/>
          <w:sz w:val="20"/>
          <w:szCs w:val="20"/>
          <w:b w:val="1"/>
          <w:bCs w:val="1"/>
          <w:color w:val="auto"/>
        </w:rPr>
        <w:t>B</w:t>
      </w:r>
      <w:r>
        <w:rPr>
          <w:rFonts w:ascii="Arial" w:cs="Arial" w:eastAsia="Arial" w:hAnsi="Arial"/>
          <w:sz w:val="13"/>
          <w:szCs w:val="13"/>
          <w:b w:val="1"/>
          <w:bCs w:val="1"/>
          <w:color w:val="auto"/>
        </w:rPr>
        <w:t>ANK</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3"/>
          <w:szCs w:val="13"/>
          <w:b w:val="1"/>
          <w:bCs w:val="1"/>
          <w:color w:val="auto"/>
        </w:rPr>
        <w:t>ATIONAL</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SSOCIATION</w:t>
      </w:r>
      <w:r>
        <w:rPr>
          <w:rFonts w:ascii="Arial" w:cs="Arial" w:eastAsia="Arial" w:hAnsi="Arial"/>
          <w:sz w:val="20"/>
          <w:szCs w:val="20"/>
          <w:color w:val="auto"/>
        </w:rPr>
        <w:t>, as Administrative Agent as provided herein. All capitalized terms used herein without definition shall have the same meanings herein as such terms are defined in Section 5.1 hereof.</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RELIMINARY</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TATEMENT</w:t>
      </w:r>
    </w:p>
    <w:p>
      <w:pPr>
        <w:spacing w:after="0" w:line="222"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The Borrower has requested, and the Lenders have agreed to extend, certain credit facilities on the terms and conditions of this Agreement.</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OW</w:t>
      </w:r>
      <w:r>
        <w:rPr>
          <w:rFonts w:ascii="Arial" w:cs="Arial" w:eastAsia="Arial" w:hAnsi="Arial"/>
          <w:sz w:val="20"/>
          <w:szCs w:val="20"/>
          <w:color w:val="auto"/>
        </w:rPr>
        <w:t>, T</w:t>
      </w:r>
      <w:r>
        <w:rPr>
          <w:rFonts w:ascii="Arial" w:cs="Arial" w:eastAsia="Arial" w:hAnsi="Arial"/>
          <w:sz w:val="13"/>
          <w:szCs w:val="13"/>
          <w:color w:val="auto"/>
        </w:rPr>
        <w:t>HEREFORE</w:t>
      </w:r>
      <w:r>
        <w:rPr>
          <w:rFonts w:ascii="Arial" w:cs="Arial" w:eastAsia="Arial" w:hAnsi="Arial"/>
          <w:sz w:val="20"/>
          <w:szCs w:val="20"/>
          <w:color w:val="auto"/>
        </w:rPr>
        <w:t>, in consideration of the mutual agreements contained herein, and other good and valuable consideration, the receipt and sufficiency of which are hereby acknowledged, the parties hereto hereby agree as follows:</w:t>
      </w:r>
    </w:p>
    <w:p>
      <w:pPr>
        <w:spacing w:after="0" w:line="168" w:lineRule="exact"/>
        <w:rPr>
          <w:sz w:val="20"/>
          <w:szCs w:val="20"/>
          <w:color w:val="auto"/>
        </w:rPr>
      </w:pPr>
    </w:p>
    <w:p>
      <w:pPr>
        <w:ind w:left="200"/>
        <w:spacing w:after="0"/>
        <w:tabs>
          <w:tab w:leader="none" w:pos="19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color w:val="auto"/>
        </w:rPr>
        <w:t>THE CREDIT FACILITY</w:t>
      </w:r>
    </w:p>
    <w:p>
      <w:pPr>
        <w:spacing w:after="0" w:line="20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The Closing Date Borrowing</w:t>
      </w:r>
      <w:r>
        <w:rPr>
          <w:rFonts w:ascii="Arial" w:cs="Arial" w:eastAsia="Arial" w:hAnsi="Arial"/>
          <w:sz w:val="18"/>
          <w:szCs w:val="18"/>
          <w:color w:val="auto"/>
        </w:rPr>
        <w:t>.</w:t>
      </w:r>
    </w:p>
    <w:p>
      <w:pPr>
        <w:spacing w:after="0" w:line="191" w:lineRule="exact"/>
        <w:rPr>
          <w:sz w:val="20"/>
          <w:szCs w:val="20"/>
          <w:color w:val="auto"/>
        </w:rPr>
      </w:pPr>
    </w:p>
    <w:p>
      <w:pPr>
        <w:jc w:val="both"/>
        <w:ind w:left="200" w:right="219" w:firstLine="1190"/>
        <w:spacing w:after="0" w:line="262" w:lineRule="auto"/>
        <w:tabs>
          <w:tab w:leader="none" w:pos="19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each Term Lender severally agrees to make a single term loan (each such loan, a “</w:t>
      </w:r>
      <w:r>
        <w:rPr>
          <w:rFonts w:ascii="Arial" w:cs="Arial" w:eastAsia="Arial" w:hAnsi="Arial"/>
          <w:sz w:val="18"/>
          <w:szCs w:val="18"/>
          <w:b w:val="1"/>
          <w:bCs w:val="1"/>
          <w:i w:val="1"/>
          <w:iCs w:val="1"/>
          <w:color w:val="auto"/>
        </w:rPr>
        <w:t>Closing Date Term Loan</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Closing Date Term Loans</w:t>
      </w:r>
      <w:r>
        <w:rPr>
          <w:rFonts w:ascii="Arial" w:cs="Arial" w:eastAsia="Arial" w:hAnsi="Arial"/>
          <w:sz w:val="18"/>
          <w:szCs w:val="18"/>
          <w:color w:val="auto"/>
        </w:rPr>
        <w:t>”) in U.S. Dollars to Borrower on the Closing Date in an aggregate original principal amount not to exceed its Applicable Percentage of the Term Facility; provided that, after giving effect to such Closing Date Term Borrowing, (i) the aggregate principal amount of the Closing Date Term Loans shall not exceed the Aggregate Term Facility Amount, and (ii) each Term Lender’s Total Term Outstandings shall not exceed such Term Lender’s Applicable Percentage of the Term Facility and (iii) subject to Section 7.2(i), the aggregate principal amount of the Closing Date Term Loans shall not exceed the Adjusted Borrowing Base. The Borrowing shall consist of Closing Date Term Loans made simultaneously by the Term Lenders in accordance with their respective Applicable Percentage of the Term Facility; provided that, if for any reason the full amount of the Term Facility is not fully drawn by Borrower on the Closing Date, the undrawn portion thereof shall automatically be cancelled.</w:t>
      </w:r>
    </w:p>
    <w:p>
      <w:pPr>
        <w:spacing w:after="0" w:line="339" w:lineRule="exact"/>
        <w:rPr>
          <w:rFonts w:ascii="Arial" w:cs="Arial" w:eastAsia="Arial" w:hAnsi="Arial"/>
          <w:sz w:val="18"/>
          <w:szCs w:val="18"/>
          <w:color w:val="auto"/>
        </w:rPr>
      </w:pPr>
    </w:p>
    <w:p>
      <w:pPr>
        <w:ind w:left="4460" w:hanging="95"/>
        <w:spacing w:after="0"/>
        <w:tabs>
          <w:tab w:leader="none" w:pos="4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50" w:name="page51"/>
    <w:bookmarkEnd w:id="50"/>
    <w:p>
      <w:pPr>
        <w:jc w:val="both"/>
        <w:ind w:left="200" w:right="219" w:firstLine="1190"/>
        <w:spacing w:after="0" w:line="239" w:lineRule="auto"/>
        <w:tabs>
          <w:tab w:leader="none" w:pos="1982" w:val="left"/>
        </w:tabs>
        <w:numPr>
          <w:ilvl w:val="0"/>
          <w:numId w:val="19"/>
        </w:numPr>
        <w:rPr>
          <w:rFonts w:ascii="Arial" w:cs="Arial" w:eastAsia="Arial" w:hAnsi="Arial"/>
          <w:sz w:val="20"/>
          <w:szCs w:val="20"/>
          <w:color w:val="auto"/>
        </w:rPr>
      </w:pPr>
      <w:r>
        <w:rPr>
          <w:rFonts w:ascii="Arial" w:cs="Arial" w:eastAsia="Arial" w:hAnsi="Arial"/>
          <w:sz w:val="20"/>
          <w:szCs w:val="20"/>
          <w:color w:val="auto"/>
        </w:rPr>
        <w:t>Upon a Term Lender’s funding of its Closing Date Term Loan, such Term Lender’s unfunded Term Commitment shall be permanently reduced to zero and terminate. Amounts borrowed under this Section 1.1(a) and repaid or prepaid may not be reborrowed. The Term Loans may be Base Rate Loans or Eurodollar Rate Loans, as further provided herein.</w:t>
      </w:r>
    </w:p>
    <w:p>
      <w:pPr>
        <w:spacing w:after="0" w:line="185"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Applicable Interest Rates</w:t>
      </w:r>
      <w:r>
        <w:rPr>
          <w:rFonts w:ascii="Arial" w:cs="Arial" w:eastAsia="Arial" w:hAnsi="Arial"/>
          <w:sz w:val="18"/>
          <w:szCs w:val="18"/>
          <w:color w:val="auto"/>
        </w:rPr>
        <w:t>.</w:t>
      </w:r>
    </w:p>
    <w:p>
      <w:pPr>
        <w:spacing w:after="0" w:line="191" w:lineRule="exact"/>
        <w:rPr>
          <w:sz w:val="20"/>
          <w:szCs w:val="20"/>
          <w:color w:val="auto"/>
        </w:rPr>
      </w:pPr>
    </w:p>
    <w:p>
      <w:pPr>
        <w:jc w:val="both"/>
        <w:ind w:left="200" w:right="219" w:firstLine="1190"/>
        <w:spacing w:after="0" w:line="268" w:lineRule="auto"/>
        <w:tabs>
          <w:tab w:leader="none" w:pos="198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Base Rate Loans</w:t>
      </w:r>
      <w:r>
        <w:rPr>
          <w:rFonts w:ascii="Arial" w:cs="Arial" w:eastAsia="Arial" w:hAnsi="Arial"/>
          <w:sz w:val="18"/>
          <w:szCs w:val="18"/>
          <w:i w:val="1"/>
          <w:iCs w:val="1"/>
          <w:color w:val="auto"/>
        </w:rPr>
        <w:t>.</w:t>
      </w:r>
      <w:r>
        <w:rPr>
          <w:rFonts w:ascii="Arial" w:cs="Arial" w:eastAsia="Arial" w:hAnsi="Arial"/>
          <w:sz w:val="18"/>
          <w:szCs w:val="18"/>
          <w:color w:val="auto"/>
        </w:rPr>
        <w:t xml:space="preserve"> Each Base Rate Loan made or maintained by a Lender shall bear interest (computed on the basis of a year of 365 or 366 days, as the case may be, and the actual days elapsed) on the unpaid principal amount thereof from the date such Loan is advanced, or created by conversion from a Eurodollar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spacing w:after="0" w:line="148" w:lineRule="exact"/>
        <w:rPr>
          <w:sz w:val="20"/>
          <w:szCs w:val="20"/>
          <w:color w:val="auto"/>
        </w:rPr>
      </w:pPr>
    </w:p>
    <w:p>
      <w:pPr>
        <w:jc w:val="both"/>
        <w:ind w:left="200" w:right="219" w:firstLine="594"/>
        <w:spacing w:after="0" w:line="260" w:lineRule="auto"/>
        <w:rPr>
          <w:sz w:val="20"/>
          <w:szCs w:val="20"/>
          <w:color w:val="auto"/>
        </w:rPr>
      </w:pPr>
      <w:r>
        <w:rPr>
          <w:rFonts w:ascii="Arial" w:cs="Arial" w:eastAsia="Arial" w:hAnsi="Arial"/>
          <w:sz w:val="18"/>
          <w:szCs w:val="18"/>
          <w:i w:val="1"/>
          <w:iCs w:val="1"/>
          <w:color w:val="auto"/>
        </w:rPr>
        <w:t xml:space="preserve">“Base Rate” </w:t>
      </w:r>
      <w:r>
        <w:rPr>
          <w:rFonts w:ascii="Arial" w:cs="Arial" w:eastAsia="Arial" w:hAnsi="Arial"/>
          <w:sz w:val="18"/>
          <w:szCs w:val="18"/>
          <w:color w:val="auto"/>
        </w:rPr>
        <w:t>means, for any day, the rate per annum equal to the greatest of: (a) the rate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1/2 of 1%, and (c) the LIBOR Quoted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As used herein, the term </w:t>
      </w:r>
      <w:r>
        <w:rPr>
          <w:rFonts w:ascii="Arial" w:cs="Arial" w:eastAsia="Arial" w:hAnsi="Arial"/>
          <w:sz w:val="18"/>
          <w:szCs w:val="18"/>
          <w:i w:val="1"/>
          <w:iCs w:val="1"/>
          <w:color w:val="auto"/>
        </w:rPr>
        <w:t>“LIBOR Quoted Rate”</w:t>
      </w:r>
      <w:r>
        <w:rPr>
          <w:rFonts w:ascii="Arial" w:cs="Arial" w:eastAsia="Arial" w:hAnsi="Arial"/>
          <w:sz w:val="18"/>
          <w:szCs w:val="18"/>
          <w:color w:val="auto"/>
        </w:rPr>
        <w:t xml:space="preserve"> means, for any day, the rate per annum equal to the quotient of</w:t>
      </w:r>
    </w:p>
    <w:p>
      <w:pPr>
        <w:spacing w:after="0" w:line="4" w:lineRule="exact"/>
        <w:rPr>
          <w:sz w:val="20"/>
          <w:szCs w:val="20"/>
          <w:color w:val="auto"/>
        </w:rPr>
      </w:pPr>
    </w:p>
    <w:p>
      <w:pPr>
        <w:jc w:val="both"/>
        <w:ind w:left="200" w:right="219" w:firstLine="2"/>
        <w:spacing w:after="0" w:line="258" w:lineRule="auto"/>
        <w:tabs>
          <w:tab w:leader="none" w:pos="4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per annum (rounded upwards, if necessary, to the next higher one hundred-thousandth of a percentage point) for deposits in U.S. Dollars for a one-month interest period as reported on the applicable Bloomberg screen page (or such other commercially available source providing such quotations as may be designated by the Administrative Agent from time to time) as of 11:00 a.m. (London, England time) on such day (or, if such day is not a Business Day, on the immediately preceding Business Day) divided by (ii) one</w:t>
      </w:r>
    </w:p>
    <w:p>
      <w:pPr>
        <w:spacing w:after="0" w:line="1" w:lineRule="exact"/>
        <w:rPr>
          <w:rFonts w:ascii="Arial" w:cs="Arial" w:eastAsia="Arial" w:hAnsi="Arial"/>
          <w:sz w:val="18"/>
          <w:szCs w:val="18"/>
          <w:color w:val="auto"/>
        </w:rPr>
      </w:pPr>
    </w:p>
    <w:p>
      <w:pPr>
        <w:jc w:val="both"/>
        <w:ind w:left="200" w:right="219"/>
        <w:spacing w:after="0" w:line="235" w:lineRule="auto"/>
        <w:rPr>
          <w:rFonts w:ascii="Arial" w:cs="Arial" w:eastAsia="Arial" w:hAnsi="Arial"/>
          <w:sz w:val="18"/>
          <w:szCs w:val="18"/>
          <w:color w:val="auto"/>
        </w:rPr>
      </w:pPr>
      <w:r>
        <w:rPr>
          <w:rFonts w:ascii="Arial" w:cs="Arial" w:eastAsia="Arial" w:hAnsi="Arial"/>
          <w:sz w:val="20"/>
          <w:szCs w:val="20"/>
          <w:color w:val="auto"/>
        </w:rPr>
        <w:t xml:space="preserve">(1) minus the Eurodollar Reserve Percentage,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“LIBOR Quoted Rate” be less than 0.00%. If the Base Rate is being used as an alternate rate of interest pursuant to Section 10.6 hereof, then the Base Rate shall be the greater of clauses (a) and (b) above and shall be determined without reference to clause (c) above.</w:t>
      </w:r>
    </w:p>
    <w:p>
      <w:pPr>
        <w:spacing w:after="0" w:line="172"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19"/>
          <w:szCs w:val="19"/>
          <w:i w:val="1"/>
          <w:iCs w:val="1"/>
          <w:color w:val="auto"/>
        </w:rPr>
        <w:t xml:space="preserve">“Federal Funds Rate” </w:t>
      </w:r>
      <w:r>
        <w:rPr>
          <w:rFonts w:ascii="Arial" w:cs="Arial" w:eastAsia="Arial" w:hAnsi="Arial"/>
          <w:sz w:val="19"/>
          <w:szCs w:val="19"/>
          <w:color w:val="auto"/>
        </w:rPr>
        <w:t>means, for any day, the rate per annum (rounded upward to the nearest one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one-hundredth of one percent (1/100 of 1%)) announced by the Federal Reserve Bank of Cleveland on such day as being the weighted average of the rates on overnight federal funds transactions arranged by federal funds brokers on the previous trading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1" w:name="page52"/>
    <w:bookmarkEnd w:id="51"/>
    <w:p>
      <w:pPr>
        <w:ind w:left="200" w:right="219"/>
        <w:spacing w:after="0" w:line="253" w:lineRule="auto"/>
        <w:rPr>
          <w:sz w:val="20"/>
          <w:szCs w:val="20"/>
          <w:color w:val="auto"/>
        </w:rPr>
      </w:pPr>
      <w:r>
        <w:rPr>
          <w:rFonts w:ascii="Arial" w:cs="Arial" w:eastAsia="Arial" w:hAnsi="Arial"/>
          <w:sz w:val="20"/>
          <w:szCs w:val="20"/>
          <w:color w:val="auto"/>
        </w:rPr>
        <w:t xml:space="preserve">determined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no event shall the Federal Funds Rate be less than 0.00%.</w:t>
      </w:r>
    </w:p>
    <w:p>
      <w:pPr>
        <w:spacing w:after="0" w:line="159" w:lineRule="exact"/>
        <w:rPr>
          <w:sz w:val="20"/>
          <w:szCs w:val="20"/>
          <w:color w:val="auto"/>
        </w:rPr>
      </w:pPr>
    </w:p>
    <w:p>
      <w:pPr>
        <w:jc w:val="both"/>
        <w:ind w:left="200" w:right="219" w:firstLine="1190"/>
        <w:spacing w:after="0" w:line="236" w:lineRule="auto"/>
        <w:tabs>
          <w:tab w:leader="none" w:pos="1982"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Eurodollar Loans. </w:t>
      </w:r>
      <w:r>
        <w:rPr>
          <w:rFonts w:ascii="Arial" w:cs="Arial" w:eastAsia="Arial" w:hAnsi="Arial"/>
          <w:sz w:val="20"/>
          <w:szCs w:val="20"/>
          <w:color w:val="auto"/>
        </w:rPr>
        <w:t>Each Eurodollar Loan made or maintained by a Lender shall bear</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during each 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plus the Adjusted LIBOR applicable for such Interest Period, payable by the Borrower on each Interest Payment Date and at maturity (whether by acceleration or otherwise).</w:t>
      </w:r>
    </w:p>
    <w:p>
      <w:pPr>
        <w:spacing w:after="0" w:line="174"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“Adjusted LIBOR” </w:t>
      </w:r>
      <w:r>
        <w:rPr>
          <w:rFonts w:ascii="Arial" w:cs="Arial" w:eastAsia="Arial" w:hAnsi="Arial"/>
          <w:sz w:val="20"/>
          <w:szCs w:val="20"/>
          <w:color w:val="auto"/>
        </w:rPr>
        <w:t>means, for any Borrowing of Eurodollar Loans, a rate per annum determined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the following formula:</w:t>
      </w:r>
    </w:p>
    <w:p>
      <w:pPr>
        <w:spacing w:after="0" w:line="195"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20"/>
                <w:szCs w:val="20"/>
                <w:color w:val="auto"/>
              </w:rPr>
              <w:t>Adjusted LIBOR</w:t>
            </w:r>
          </w:p>
        </w:tc>
        <w:tc>
          <w:tcPr>
            <w:tcW w:w="66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LIBOR</w:t>
            </w:r>
          </w:p>
        </w:tc>
      </w:tr>
      <w:tr>
        <w:trPr>
          <w:trHeight w:val="248"/>
        </w:trPr>
        <w:tc>
          <w:tcPr>
            <w:tcW w:w="1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20"/>
                <w:szCs w:val="20"/>
                <w:color w:val="auto"/>
                <w:w w:val="88"/>
              </w:rPr>
              <w:t>1 - Eurodollar Reserve Percentage</w:t>
            </w:r>
          </w:p>
        </w:tc>
      </w:tr>
    </w:tbl>
    <w:p>
      <w:pPr>
        <w:spacing w:after="0" w:line="195" w:lineRule="exact"/>
        <w:rPr>
          <w:sz w:val="20"/>
          <w:szCs w:val="20"/>
          <w:color w:val="auto"/>
        </w:rPr>
      </w:pPr>
    </w:p>
    <w:p>
      <w:pPr>
        <w:jc w:val="both"/>
        <w:ind w:left="200" w:right="219" w:firstLine="594"/>
        <w:spacing w:after="0" w:line="264" w:lineRule="auto"/>
        <w:rPr>
          <w:sz w:val="20"/>
          <w:szCs w:val="20"/>
          <w:color w:val="auto"/>
        </w:rPr>
      </w:pPr>
      <w:r>
        <w:rPr>
          <w:rFonts w:ascii="Arial" w:cs="Arial" w:eastAsia="Arial" w:hAnsi="Arial"/>
          <w:sz w:val="18"/>
          <w:szCs w:val="18"/>
          <w:i w:val="1"/>
          <w:iCs w:val="1"/>
          <w:color w:val="auto"/>
        </w:rPr>
        <w:t xml:space="preserve">“Eurodollar Reserve Percentage” </w:t>
      </w:r>
      <w:r>
        <w:rPr>
          <w:rFonts w:ascii="Arial" w:cs="Arial" w:eastAsia="Arial" w:hAnsi="Arial"/>
          <w:sz w:val="18"/>
          <w:szCs w:val="18"/>
          <w:color w:val="auto"/>
        </w:rPr>
        <w:t>means the maximum reserve percentage, expressed as a decimal,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which reserves (including, without limitation, any emergency, marginal, special, and supplemental reserves) are imposed by the Board of Governors of the Federal Reserve System (or any successor) on </w:t>
      </w:r>
      <w:r>
        <w:rPr>
          <w:rFonts w:ascii="Arial" w:cs="Arial" w:eastAsia="Arial" w:hAnsi="Arial"/>
          <w:sz w:val="18"/>
          <w:szCs w:val="18"/>
          <w:i w:val="1"/>
          <w:iCs w:val="1"/>
          <w:color w:val="auto"/>
        </w:rPr>
        <w:t>“eurocurrency liabilities”</w:t>
      </w:r>
      <w:r>
        <w:rPr>
          <w:rFonts w:ascii="Arial" w:cs="Arial" w:eastAsia="Arial" w:hAnsi="Arial"/>
          <w:sz w:val="18"/>
          <w:szCs w:val="18"/>
          <w:color w:val="auto"/>
        </w:rPr>
        <w:t>, as defined in such Board’s Regulation D (or any successor thereto),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amendments of such reserve requirement by such Board or its successor, taking into account any transitional adjustments thereto. For purposes of this definition, the relevant Loans shall be deemed to be </w:t>
      </w:r>
      <w:r>
        <w:rPr>
          <w:rFonts w:ascii="Arial" w:cs="Arial" w:eastAsia="Arial" w:hAnsi="Arial"/>
          <w:sz w:val="18"/>
          <w:szCs w:val="18"/>
          <w:i w:val="1"/>
          <w:iCs w:val="1"/>
          <w:color w:val="auto"/>
        </w:rPr>
        <w:t xml:space="preserve">“eurocurrency liabilities” </w:t>
      </w:r>
      <w:r>
        <w:rPr>
          <w:rFonts w:ascii="Arial" w:cs="Arial" w:eastAsia="Arial" w:hAnsi="Arial"/>
          <w:sz w:val="18"/>
          <w:szCs w:val="18"/>
          <w:color w:val="auto"/>
        </w:rPr>
        <w:t>as defined in Regulation D without benefit or credit for any prorations,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exemptions or offsets under Regulation D. The Eurodollar Reserve Percentage shall be adjusted automatically on and as of the effective date of any change in any such reserve percentage.</w:t>
      </w:r>
    </w:p>
    <w:p>
      <w:pPr>
        <w:spacing w:after="0" w:line="154" w:lineRule="exact"/>
        <w:rPr>
          <w:sz w:val="20"/>
          <w:szCs w:val="20"/>
          <w:color w:val="auto"/>
        </w:rPr>
      </w:pPr>
    </w:p>
    <w:p>
      <w:pPr>
        <w:jc w:val="both"/>
        <w:ind w:left="200" w:right="219" w:firstLine="594"/>
        <w:spacing w:after="0" w:line="261" w:lineRule="auto"/>
        <w:rPr>
          <w:sz w:val="20"/>
          <w:szCs w:val="20"/>
          <w:color w:val="auto"/>
        </w:rPr>
      </w:pPr>
      <w:r>
        <w:rPr>
          <w:rFonts w:ascii="Arial" w:cs="Arial" w:eastAsia="Arial" w:hAnsi="Arial"/>
          <w:sz w:val="18"/>
          <w:szCs w:val="18"/>
          <w:i w:val="1"/>
          <w:iCs w:val="1"/>
          <w:color w:val="auto"/>
        </w:rPr>
        <w:t xml:space="preserve">“LIBOR” </w:t>
      </w:r>
      <w:r>
        <w:rPr>
          <w:rFonts w:ascii="Arial" w:cs="Arial" w:eastAsia="Arial" w:hAnsi="Arial"/>
          <w:sz w:val="18"/>
          <w:szCs w:val="18"/>
          <w:color w:val="auto"/>
        </w:rPr>
        <w:t>means, subject to implementation of a Benchmark Replacement in accordance with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10.6</w:t>
      </w:r>
      <w:r>
        <w:rPr>
          <w:rFonts w:ascii="Arial" w:cs="Arial" w:eastAsia="Arial" w:hAnsi="Arial"/>
          <w:sz w:val="18"/>
          <w:szCs w:val="18"/>
          <w:color w:val="auto"/>
        </w:rPr>
        <w:t>, for an Interest Period for a Borrowing of Eurodollar Loans, (a) the LIBOR Index Rate for such Interest Period, if such rate is available, and (b) if the LIBOR Index Rate cannot be determined, the arithmetic average of the rates of interest per annum (rounded upwards, if necessary, to the nearest 1/100 of 1%) at which deposits in U.S. Dollars in immediately available funds are offered by first class banks in the London interbank market to the Administrative Agent at 11:00 a.m. (London, England time) two</w:t>
      </w:r>
    </w:p>
    <w:p>
      <w:pPr>
        <w:spacing w:after="0" w:line="2" w:lineRule="exact"/>
        <w:rPr>
          <w:sz w:val="20"/>
          <w:szCs w:val="20"/>
          <w:color w:val="auto"/>
        </w:rPr>
      </w:pPr>
    </w:p>
    <w:p>
      <w:pPr>
        <w:jc w:val="both"/>
        <w:ind w:left="200" w:right="219" w:firstLine="2"/>
        <w:spacing w:after="0" w:line="266" w:lineRule="auto"/>
        <w:tabs>
          <w:tab w:leader="none" w:pos="5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Business Days before the beginning of such Interest Period for delivery on the first day of and for a period equal to such Interest Period and in an amount equal or comparable to the principal amount of the Eurodollar Loan scheduled to be made as part of such Borrowing;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“LIBOR” be less than 0%, unless such Loan is subject to a Hedging Agreement consisting of an interest rate swap and the Borrower has provided notice thereof to the Administrative Agent in writing on or prior to such date.</w:t>
      </w:r>
    </w:p>
    <w:p>
      <w:pPr>
        <w:spacing w:after="0" w:line="14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“LIBOR Index Rate” </w:t>
      </w:r>
      <w:r>
        <w:rPr>
          <w:rFonts w:ascii="Arial" w:cs="Arial" w:eastAsia="Arial" w:hAnsi="Arial"/>
          <w:sz w:val="19"/>
          <w:szCs w:val="19"/>
          <w:color w:val="auto"/>
        </w:rPr>
        <w:t>means, for any Interest Period, the rate per annum (rounded upwards, if</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to the next higher one hundred-thousandth of a percentage point) determined on the basis of the rate for deposits in Dollars for a period equal to the applicable Interest Period as published by the ICE Benchmark Administration Limited, a United Kingdom company, or a comparable or successor quoting service approved by the Administrative Agent, as of 11:00 a.m.</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2" w:name="page53"/>
    <w:bookmarkEnd w:id="52"/>
    <w:p>
      <w:pPr>
        <w:jc w:val="both"/>
        <w:ind w:left="200" w:right="219"/>
        <w:spacing w:after="0" w:line="256" w:lineRule="auto"/>
        <w:rPr>
          <w:sz w:val="20"/>
          <w:szCs w:val="20"/>
          <w:color w:val="auto"/>
        </w:rPr>
      </w:pPr>
      <w:r>
        <w:rPr>
          <w:rFonts w:ascii="Arial" w:cs="Arial" w:eastAsia="Arial" w:hAnsi="Arial"/>
          <w:sz w:val="19"/>
          <w:szCs w:val="19"/>
          <w:color w:val="auto"/>
        </w:rPr>
        <w:t xml:space="preserve">(London, England time) on the day two (2) Business Days before the commencement of such Interest Period,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shall “LIBOR Index Rate” be less than 0% unless the applicable Loan is subject to a Hedging Agreement consisting of an interest rate swap and Borrower has provided notice thereof to the Administrative Agent in writing on or prior to such date.</w:t>
      </w:r>
    </w:p>
    <w:p>
      <w:pPr>
        <w:spacing w:after="0" w:line="157" w:lineRule="exact"/>
        <w:rPr>
          <w:sz w:val="20"/>
          <w:szCs w:val="20"/>
          <w:color w:val="auto"/>
        </w:rPr>
      </w:pPr>
    </w:p>
    <w:p>
      <w:pPr>
        <w:jc w:val="both"/>
        <w:ind w:left="200" w:right="219" w:firstLine="1190"/>
        <w:spacing w:after="0" w:line="243" w:lineRule="auto"/>
        <w:tabs>
          <w:tab w:leader="none" w:pos="1982"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Rate Determinations</w:t>
      </w:r>
      <w:r>
        <w:rPr>
          <w:rFonts w:ascii="Arial" w:cs="Arial" w:eastAsia="Arial" w:hAnsi="Arial"/>
          <w:sz w:val="20"/>
          <w:szCs w:val="20"/>
          <w:i w:val="1"/>
          <w:iCs w:val="1"/>
          <w:color w:val="auto"/>
        </w:rPr>
        <w:t>.</w:t>
      </w:r>
      <w:r>
        <w:rPr>
          <w:rFonts w:ascii="Arial" w:cs="Arial" w:eastAsia="Arial" w:hAnsi="Arial"/>
          <w:sz w:val="20"/>
          <w:szCs w:val="20"/>
          <w:color w:val="auto"/>
        </w:rPr>
        <w:t xml:space="preserve"> The Administrative Agent shall determine each interest rate applicable to the Loans and its determination thereof shall be conclusive and binding except in the case of manifest error.</w:t>
      </w:r>
    </w:p>
    <w:p>
      <w:pPr>
        <w:spacing w:after="0" w:line="180" w:lineRule="exact"/>
        <w:rPr>
          <w:sz w:val="20"/>
          <w:szCs w:val="20"/>
          <w:color w:val="auto"/>
        </w:rPr>
      </w:pPr>
    </w:p>
    <w:p>
      <w:pPr>
        <w:ind w:left="200" w:right="479" w:firstLine="594"/>
        <w:spacing w:after="0" w:line="28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Minimum Borrowing Amounts; Maximum Eurodollar Loans</w:t>
      </w:r>
      <w:r>
        <w:rPr>
          <w:rFonts w:ascii="Arial" w:cs="Arial" w:eastAsia="Arial" w:hAnsi="Arial"/>
          <w:sz w:val="18"/>
          <w:szCs w:val="18"/>
          <w:i w:val="1"/>
          <w:iCs w:val="1"/>
          <w:color w:val="auto"/>
        </w:rPr>
        <w:t>.</w:t>
      </w:r>
      <w:r>
        <w:rPr>
          <w:rFonts w:ascii="Arial" w:cs="Arial" w:eastAsia="Arial" w:hAnsi="Arial"/>
          <w:sz w:val="18"/>
          <w:szCs w:val="18"/>
          <w:color w:val="auto"/>
        </w:rPr>
        <w:t xml:space="preserve"> Each Borrowing of Base Rate Loans shall be in an amount not less than $100,000. Each Borrowing of Eurodollar Loans advanced, continued or converted to a Eurodollar Loan shall be in an amount equal to $100,000 or such greater amount which is an integral multiple of $100,000. Without the Administrative Agent’s consent, there shall not be more than three (3) Borrowings of Eurodollar Loans outstanding hereunder.</w:t>
      </w:r>
    </w:p>
    <w:p>
      <w:pPr>
        <w:spacing w:after="0" w:line="145"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Manner of Borrowing Loans and Designating Applicable Interest Rates</w:t>
      </w:r>
      <w:r>
        <w:rPr>
          <w:rFonts w:ascii="Arial" w:cs="Arial" w:eastAsia="Arial" w:hAnsi="Arial"/>
          <w:sz w:val="18"/>
          <w:szCs w:val="18"/>
          <w:color w:val="auto"/>
        </w:rPr>
        <w:t>.</w:t>
      </w:r>
    </w:p>
    <w:p>
      <w:pPr>
        <w:spacing w:after="0" w:line="191" w:lineRule="exact"/>
        <w:rPr>
          <w:sz w:val="20"/>
          <w:szCs w:val="20"/>
          <w:color w:val="auto"/>
        </w:rPr>
      </w:pPr>
    </w:p>
    <w:p>
      <w:pPr>
        <w:jc w:val="both"/>
        <w:ind w:left="200" w:right="219" w:firstLine="1190"/>
        <w:spacing w:after="0" w:line="264" w:lineRule="auto"/>
        <w:tabs>
          <w:tab w:leader="none" w:pos="198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Notice to the Administrative Agent</w:t>
      </w:r>
      <w:r>
        <w:rPr>
          <w:rFonts w:ascii="Arial" w:cs="Arial" w:eastAsia="Arial" w:hAnsi="Arial"/>
          <w:sz w:val="18"/>
          <w:szCs w:val="18"/>
          <w:i w:val="1"/>
          <w:iCs w:val="1"/>
          <w:color w:val="auto"/>
        </w:rPr>
        <w:t>.</w:t>
      </w:r>
      <w:r>
        <w:rPr>
          <w:rFonts w:ascii="Arial" w:cs="Arial" w:eastAsia="Arial" w:hAnsi="Arial"/>
          <w:sz w:val="18"/>
          <w:szCs w:val="18"/>
          <w:color w:val="auto"/>
        </w:rPr>
        <w:t xml:space="preserve"> The Borrower shall give notice to the Administrative Agent by no later than 10:00 a.m. (New York time): (i) at least three (3) Business Days before the Closing Date if Borrower requests the Lenders to advance a Borrowing of Eurodollar Loans and</w:t>
      </w:r>
    </w:p>
    <w:p>
      <w:pPr>
        <w:spacing w:after="0" w:line="1" w:lineRule="exact"/>
        <w:rPr>
          <w:rFonts w:ascii="Arial" w:cs="Arial" w:eastAsia="Arial" w:hAnsi="Arial"/>
          <w:sz w:val="18"/>
          <w:szCs w:val="18"/>
          <w:color w:val="auto"/>
        </w:rPr>
      </w:pPr>
    </w:p>
    <w:p>
      <w:pPr>
        <w:jc w:val="both"/>
        <w:ind w:left="200" w:right="219" w:firstLine="2"/>
        <w:spacing w:after="0" w:line="259" w:lineRule="auto"/>
        <w:tabs>
          <w:tab w:leader="none" w:pos="4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the date the Borrower requests the Lenders to advance a Borrowing of Base Rate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Eurodollar Loans, on the last day of the Interest Period applicable thereto, the Borrower may continue part or all of such Borrowing as Eurodollar Loans or convert part or all of such Borrowing into Base Rate Loans or (ii) if such Borrowing is of Base Rate Loans, on any Business Day, the Borrower may convert all or part of such Borrowing into Eurodollar Loans for an Interest Period or Interest Periods specified by the Borrower. The Borrower shall give all such notices requesting the Borrowing on the Closing Date, continuation or conversion of a Borrowing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Eurodollar Loans for an additional Interest Period or of the conversion of part or all of a Borrowing of Base Rate Loans into Eurodollar Loans must be given by no later than 10:00 a.m. (New York time) at least three (3) Business Days before the date of the requested continuation or conversion. All such notices concerning the Borrowing on the Closing Date, continuation or conversion of a Borrowing shall specify, as applicable, the date of the continuation or conversion of a Borrowing (which shall be a Business Day), the amount of requested Borrowing to be continued or converted, the type of Loans to comprise such continued or converted Borrowing and, if such Borrowing is to be comprised of Eurodollar Loans, the Interest Period applicable thereto. No Borrowing of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3" w:name="page54"/>
    <w:bookmarkEnd w:id="53"/>
    <w:p>
      <w:pPr>
        <w:jc w:val="both"/>
        <w:ind w:left="200" w:right="219"/>
        <w:spacing w:after="0" w:line="251" w:lineRule="auto"/>
        <w:rPr>
          <w:sz w:val="20"/>
          <w:szCs w:val="20"/>
          <w:color w:val="auto"/>
        </w:rPr>
      </w:pPr>
      <w:r>
        <w:rPr>
          <w:rFonts w:ascii="Arial" w:cs="Arial" w:eastAsia="Arial" w:hAnsi="Arial"/>
          <w:sz w:val="19"/>
          <w:szCs w:val="19"/>
          <w:color w:val="auto"/>
        </w:rPr>
        <w:t>Eurodollar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spacing w:after="0" w:line="164" w:lineRule="exact"/>
        <w:rPr>
          <w:sz w:val="20"/>
          <w:szCs w:val="20"/>
          <w:color w:val="auto"/>
        </w:rPr>
      </w:pPr>
    </w:p>
    <w:p>
      <w:pPr>
        <w:jc w:val="both"/>
        <w:ind w:left="200" w:right="219" w:firstLine="1190"/>
        <w:spacing w:after="0" w:line="253" w:lineRule="auto"/>
        <w:tabs>
          <w:tab w:leader="none" w:pos="198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to the Lenders</w:t>
      </w:r>
      <w:r>
        <w:rPr>
          <w:rFonts w:ascii="Arial" w:cs="Arial" w:eastAsia="Arial" w:hAnsi="Arial"/>
          <w:sz w:val="19"/>
          <w:szCs w:val="19"/>
          <w:color w:val="auto"/>
        </w:rPr>
        <w:t>. The Administrative Agent shall give prompt telephonic, telecopy or other telecommunication notice to each Lender of any notice from the Borrower received pursuant to Section 1.6(a) above and, if such notice requests the Lenders to make Eurodollar Loans, the Administrative Agent shall give notice to the Borrower and each Lender by like means of the interest rate applicable thereto promptly after the Administrative Agent has made such determination.</w:t>
      </w:r>
    </w:p>
    <w:p>
      <w:pPr>
        <w:spacing w:after="0" w:line="160" w:lineRule="exact"/>
        <w:rPr>
          <w:rFonts w:ascii="Arial" w:cs="Arial" w:eastAsia="Arial" w:hAnsi="Arial"/>
          <w:sz w:val="19"/>
          <w:szCs w:val="19"/>
          <w:color w:val="auto"/>
        </w:rPr>
      </w:pPr>
    </w:p>
    <w:p>
      <w:pPr>
        <w:jc w:val="both"/>
        <w:ind w:left="200" w:right="219" w:firstLine="1190"/>
        <w:spacing w:after="0" w:line="264" w:lineRule="auto"/>
        <w:tabs>
          <w:tab w:leader="none" w:pos="198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Borrower’s Failure to Notify</w:t>
      </w:r>
      <w:r>
        <w:rPr>
          <w:rFonts w:ascii="Arial" w:cs="Arial" w:eastAsia="Arial" w:hAnsi="Arial"/>
          <w:sz w:val="18"/>
          <w:szCs w:val="18"/>
          <w:color w:val="auto"/>
        </w:rPr>
        <w:t xml:space="preserve">. If the Borrower fails to give notice pursuant to Section 1.6(a) above of the continuation or conversion of any outstanding principal amount of a Borrowing of Eurodollar Loans before the last day of its then current Interest Period within the period required by Section 1.6(a) and such Borrowing is not prepaid in accordance with Section 1.8, the Borrower shall be deemed to have given the notice three (3) Business Days prior to the end of the then current Interest Period and such Borrowing shall automatically be continued as a Borrowing of a Eurodollar Loan with a one (1) month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Lenders are able to accommodate such one (1) month Interest Period and such Eurodollar Loan shall be subject to the funding indemnity set forth in Section 1.11 hereof in the event it is prepaid prior to the end of the Interest Period.</w:t>
      </w:r>
    </w:p>
    <w:p>
      <w:pPr>
        <w:spacing w:after="0" w:line="153" w:lineRule="exact"/>
        <w:rPr>
          <w:rFonts w:ascii="Arial" w:cs="Arial" w:eastAsia="Arial" w:hAnsi="Arial"/>
          <w:sz w:val="18"/>
          <w:szCs w:val="18"/>
          <w:color w:val="auto"/>
        </w:rPr>
      </w:pPr>
    </w:p>
    <w:p>
      <w:pPr>
        <w:jc w:val="both"/>
        <w:ind w:left="200" w:right="219" w:firstLine="1190"/>
        <w:spacing w:after="0" w:line="239" w:lineRule="auto"/>
        <w:tabs>
          <w:tab w:leader="none" w:pos="1982"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Disbursement of Loans</w:t>
      </w:r>
      <w:r>
        <w:rPr>
          <w:rFonts w:ascii="Arial" w:cs="Arial" w:eastAsia="Arial" w:hAnsi="Arial"/>
          <w:sz w:val="20"/>
          <w:szCs w:val="20"/>
          <w:color w:val="auto"/>
        </w:rPr>
        <w:t>. Each Lender shall make available its Loan comprising part of such Borrowing in funds immediately available at the principal office of the Administrative Agent in New York New York (or at such other location as the Administrative Agent shall designate) on the Closing Date.</w:t>
      </w:r>
    </w:p>
    <w:p>
      <w:pPr>
        <w:spacing w:after="0" w:line="173" w:lineRule="exact"/>
        <w:rPr>
          <w:rFonts w:ascii="Arial" w:cs="Arial" w:eastAsia="Arial" w:hAnsi="Arial"/>
          <w:sz w:val="20"/>
          <w:szCs w:val="20"/>
          <w:color w:val="auto"/>
        </w:rPr>
      </w:pPr>
    </w:p>
    <w:p>
      <w:pPr>
        <w:jc w:val="both"/>
        <w:ind w:left="200" w:right="219" w:firstLine="1190"/>
        <w:spacing w:after="0" w:line="261" w:lineRule="auto"/>
        <w:tabs>
          <w:tab w:leader="none" w:pos="198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Administrative Agent Reliance on Lender Funding</w:t>
      </w:r>
      <w:r>
        <w:rPr>
          <w:rFonts w:ascii="Arial" w:cs="Arial" w:eastAsia="Arial" w:hAnsi="Arial"/>
          <w:sz w:val="18"/>
          <w:szCs w:val="18"/>
          <w:i w:val="1"/>
          <w:iCs w:val="1"/>
          <w:color w:val="auto"/>
        </w:rPr>
        <w:t>.</w:t>
      </w:r>
      <w:r>
        <w:rPr>
          <w:rFonts w:ascii="Arial" w:cs="Arial" w:eastAsia="Arial" w:hAnsi="Arial"/>
          <w:sz w:val="18"/>
          <w:szCs w:val="18"/>
          <w:color w:val="auto"/>
        </w:rPr>
        <w:t xml:space="preserve"> Unless the Administrative Agent shall have been notified by a Lender prior to (or, in the case of a Borrowing of Base Rate Loans, by 1:00 p.m. (New York time) on) the Closing Date (which notice shall be effective upon receipt) that such Lender does not intend to make payment to the Administrative Agent of the proceeds of a Loan,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 and (2) the Administrative Agent shall notify the Borrower of</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4" w:name="page55"/>
    <w:bookmarkEnd w:id="54"/>
    <w:p>
      <w:pPr>
        <w:jc w:val="both"/>
        <w:ind w:left="200" w:right="219"/>
        <w:spacing w:after="0" w:line="249" w:lineRule="auto"/>
        <w:rPr>
          <w:sz w:val="20"/>
          <w:szCs w:val="20"/>
          <w:color w:val="auto"/>
        </w:rPr>
      </w:pPr>
      <w:r>
        <w:rPr>
          <w:rFonts w:ascii="Arial" w:cs="Arial" w:eastAsia="Arial" w:hAnsi="Arial"/>
          <w:sz w:val="19"/>
          <w:szCs w:val="19"/>
          <w:color w:val="auto"/>
        </w:rPr>
        <w:t>such Lender’s failure to pay. If such amount is not received from such Lender by the Administrative Agent immediately upon demand, the Borrower will, on demand, promptly, and in no event later than 11:00 a.m. (New York time) on the date that is two (2) Business Days following such demand, repay to the Administrative Agent the proceeds of the Loan attributable to such Lender with interest thereon at a rate per annum equal to the interest rate applicable to the Loan, which payment may be in the form of a Base Rate Loan under this Agreement, but without such payment being considered a payment or prepayment of a Loan under Section 1.11 hereof so that the Borrower will have no liability under such Section with respect to such payment.</w:t>
      </w:r>
    </w:p>
    <w:p>
      <w:pPr>
        <w:spacing w:after="0" w:line="179"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Maturity of Loans</w:t>
      </w:r>
      <w:r>
        <w:rPr>
          <w:rFonts w:ascii="Arial" w:cs="Arial" w:eastAsia="Arial" w:hAnsi="Arial"/>
          <w:sz w:val="18"/>
          <w:szCs w:val="18"/>
          <w:color w:val="auto"/>
        </w:rPr>
        <w:t>.</w:t>
      </w:r>
    </w:p>
    <w:p>
      <w:pPr>
        <w:spacing w:after="0" w:line="191" w:lineRule="exact"/>
        <w:rPr>
          <w:sz w:val="20"/>
          <w:szCs w:val="20"/>
          <w:color w:val="auto"/>
        </w:rPr>
      </w:pPr>
    </w:p>
    <w:p>
      <w:pPr>
        <w:ind w:left="200" w:right="219" w:firstLine="1190"/>
        <w:spacing w:after="0" w:line="253" w:lineRule="auto"/>
        <w:tabs>
          <w:tab w:leader="none" w:pos="198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Borrower shall repay to the Term Lenders on the Maturity Date for the Term Facility the aggregate principal amount of all Term Loans outstanding on such date.</w:t>
      </w:r>
    </w:p>
    <w:p>
      <w:pPr>
        <w:spacing w:after="0" w:line="158"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Incremental Loans</w:t>
      </w:r>
      <w:r>
        <w:rPr>
          <w:rFonts w:ascii="Arial" w:cs="Arial" w:eastAsia="Arial" w:hAnsi="Arial"/>
          <w:sz w:val="20"/>
          <w:szCs w:val="20"/>
          <w:color w:val="auto"/>
        </w:rPr>
        <w:t>. Borrower shall repay to the applicable Incremental Term Lenders on the applicable Maturity Date for the Incremental Term Loan Facility, the aggregate principal amount of all Incremental Term Loans of the applicable tranche outstanding under such Incremental Term Loan Facility on such date.</w:t>
      </w:r>
    </w:p>
    <w:p>
      <w:pPr>
        <w:spacing w:after="0" w:line="185"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7"/>
          <w:szCs w:val="17"/>
          <w:u w:val="single" w:color="auto"/>
          <w:color w:val="auto"/>
        </w:rPr>
        <w:t>Prepayments</w:t>
      </w:r>
      <w:r>
        <w:rPr>
          <w:rFonts w:ascii="Arial" w:cs="Arial" w:eastAsia="Arial" w:hAnsi="Arial"/>
          <w:sz w:val="17"/>
          <w:szCs w:val="17"/>
          <w:color w:val="auto"/>
        </w:rPr>
        <w:t>.</w:t>
      </w:r>
    </w:p>
    <w:p>
      <w:pPr>
        <w:spacing w:after="0" w:line="191" w:lineRule="exact"/>
        <w:rPr>
          <w:sz w:val="20"/>
          <w:szCs w:val="20"/>
          <w:color w:val="auto"/>
        </w:rPr>
      </w:pPr>
    </w:p>
    <w:p>
      <w:pPr>
        <w:jc w:val="both"/>
        <w:ind w:left="200" w:right="219" w:firstLine="1190"/>
        <w:spacing w:after="0" w:line="248" w:lineRule="auto"/>
        <w:tabs>
          <w:tab w:leader="none" w:pos="1982"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The Borrower may prepay in whole or in part (but, if in part, then: (i) if such Borrowing is of Base Rate Loans, in an amount not less than $100,000, (ii) if such Borrowing is of Eurodollar Loans, in an amount not less than $100,000, and (iii) in each case, in an amount such that the minimum amount required for a Borrowing pursuant to Section 1.5 hereof remains outstanding) any Borrowing of Eurodollar Loans at any time upon three (3) Business Days prior notice by the Borrower to the Administrative Agent or, in the case of a Borrowing of Base Rate Loans, notice delivered by the Borrower to the Administrative Agent no later than 10:00 a.m. (New York time) on the date of prepayment (or, in any case, such shorter period of time then agreed to by the Administrative Agent), such prepayment to be made by the payment of the principal amount to be prepaid and, in the case of any Eurodollar Loans, accrued interest thereon to the date fixed for prepayment plus any amounts due the Lenders under Section 1.11 hereof.</w:t>
      </w:r>
    </w:p>
    <w:p>
      <w:pPr>
        <w:spacing w:after="0" w:line="165" w:lineRule="exact"/>
        <w:rPr>
          <w:rFonts w:ascii="Arial" w:cs="Arial" w:eastAsia="Arial" w:hAnsi="Arial"/>
          <w:sz w:val="19"/>
          <w:szCs w:val="19"/>
          <w:color w:val="auto"/>
        </w:rPr>
      </w:pPr>
    </w:p>
    <w:p>
      <w:pPr>
        <w:ind w:left="1980" w:hanging="590"/>
        <w:spacing w:after="0"/>
        <w:tabs>
          <w:tab w:leader="none" w:pos="198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800" w:right="219" w:firstLine="1184"/>
        <w:spacing w:after="0" w:line="266" w:lineRule="auto"/>
        <w:tabs>
          <w:tab w:leader="none" w:pos="31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at any time the sum of the unpaid principal balance of the Loans then outstanding shall be in excess of the lesser of the aggregate Commitments and the Adjusted Borrowing Base as then determined and computed, as contained in the most recent Borrowing Base Certificate delivered in accordance with Section 8.5(d) hereof, the Borrower shall promptly, and in no event later than 11:00 a.m. (New York time) on the date that is two (2) Business Days following such delivery, and without notice or demand pay the amount of the excess to the Administrative Agent for the account of the Lenders as a mandatory prepayment on such Obligations.</w:t>
      </w:r>
    </w:p>
    <w:p>
      <w:pPr>
        <w:spacing w:after="0" w:line="151" w:lineRule="exact"/>
        <w:rPr>
          <w:rFonts w:ascii="Arial" w:cs="Arial" w:eastAsia="Arial" w:hAnsi="Arial"/>
          <w:sz w:val="18"/>
          <w:szCs w:val="18"/>
          <w:color w:val="auto"/>
        </w:rPr>
      </w:pPr>
    </w:p>
    <w:p>
      <w:pPr>
        <w:jc w:val="both"/>
        <w:ind w:left="800" w:right="219" w:firstLine="1184"/>
        <w:spacing w:after="0" w:line="243" w:lineRule="auto"/>
        <w:tabs>
          <w:tab w:leader="none" w:pos="2582" w:val="left"/>
        </w:tabs>
        <w:numPr>
          <w:ilvl w:val="1"/>
          <w:numId w:val="29"/>
        </w:numPr>
        <w:rPr>
          <w:rFonts w:ascii="Arial" w:cs="Arial" w:eastAsia="Arial" w:hAnsi="Arial"/>
          <w:sz w:val="20"/>
          <w:szCs w:val="20"/>
          <w:color w:val="auto"/>
        </w:rPr>
      </w:pPr>
      <w:r>
        <w:rPr>
          <w:rFonts w:ascii="Arial" w:cs="Arial" w:eastAsia="Arial" w:hAnsi="Arial"/>
          <w:sz w:val="20"/>
          <w:szCs w:val="20"/>
          <w:color w:val="auto"/>
        </w:rPr>
        <w:t>Unless the Borrower otherwise directs, prepayments of Loans under this Section 1.8(b) shall be applied first to Borrowings of Base Rate Loans until payment in full thereof with any balance applied to Borrowings of Eurodollar Loans in the order in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5" w:name="page56"/>
    <w:bookmarkEnd w:id="55"/>
    <w:p>
      <w:pPr>
        <w:jc w:val="both"/>
        <w:ind w:left="800" w:right="219"/>
        <w:spacing w:after="0" w:line="239" w:lineRule="auto"/>
        <w:rPr>
          <w:sz w:val="20"/>
          <w:szCs w:val="20"/>
          <w:color w:val="auto"/>
        </w:rPr>
      </w:pPr>
      <w:r>
        <w:rPr>
          <w:rFonts w:ascii="Arial" w:cs="Arial" w:eastAsia="Arial" w:hAnsi="Arial"/>
          <w:sz w:val="20"/>
          <w:szCs w:val="20"/>
          <w:color w:val="auto"/>
        </w:rPr>
        <w:t>which their Interest Periods expire. Each prepayment of Loans under this Section 1.8(b) shall be made by the payment of the principal amount to be prepaid and, in the case of any Eurodollar Loans, accrued interest thereon to the date of prepayment together with any amounts due the Lenders under Section 1.11 hereof.</w:t>
      </w:r>
    </w:p>
    <w:p>
      <w:pPr>
        <w:spacing w:after="0" w:line="173" w:lineRule="exact"/>
        <w:rPr>
          <w:sz w:val="20"/>
          <w:szCs w:val="20"/>
          <w:color w:val="auto"/>
        </w:rPr>
      </w:pPr>
    </w:p>
    <w:p>
      <w:pPr>
        <w:ind w:left="1980" w:hanging="590"/>
        <w:spacing w:after="0"/>
        <w:tabs>
          <w:tab w:leader="none" w:pos="198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No Reborrowing</w:t>
      </w:r>
      <w:r>
        <w:rPr>
          <w:rFonts w:ascii="Arial" w:cs="Arial" w:eastAsia="Arial" w:hAnsi="Arial"/>
          <w:sz w:val="20"/>
          <w:szCs w:val="20"/>
          <w:i w:val="1"/>
          <w:iCs w:val="1"/>
          <w:color w:val="auto"/>
        </w:rPr>
        <w:t>.</w:t>
      </w:r>
      <w:r>
        <w:rPr>
          <w:rFonts w:ascii="Arial" w:cs="Arial" w:eastAsia="Arial" w:hAnsi="Arial"/>
          <w:sz w:val="20"/>
          <w:szCs w:val="20"/>
          <w:color w:val="auto"/>
        </w:rPr>
        <w:t xml:space="preserve"> Any Loans repaid or prepaid may not be reborrowed.</w:t>
      </w:r>
    </w:p>
    <w:p>
      <w:pPr>
        <w:spacing w:after="0" w:line="203" w:lineRule="exact"/>
        <w:rPr>
          <w:sz w:val="20"/>
          <w:szCs w:val="20"/>
          <w:color w:val="auto"/>
        </w:rPr>
      </w:pPr>
    </w:p>
    <w:p>
      <w:pPr>
        <w:jc w:val="both"/>
        <w:ind w:left="200" w:right="219" w:firstLine="594"/>
        <w:spacing w:after="0" w:line="252"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Default Rate</w:t>
      </w:r>
      <w:r>
        <w:rPr>
          <w:rFonts w:ascii="Arial" w:cs="Arial" w:eastAsia="Arial" w:hAnsi="Arial"/>
          <w:sz w:val="20"/>
          <w:szCs w:val="20"/>
          <w:color w:val="auto"/>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spacing w:after="0" w:line="160" w:lineRule="exact"/>
        <w:rPr>
          <w:sz w:val="20"/>
          <w:szCs w:val="20"/>
          <w:color w:val="auto"/>
        </w:rPr>
      </w:pPr>
    </w:p>
    <w:p>
      <w:pPr>
        <w:ind w:left="200" w:right="219" w:firstLine="1190"/>
        <w:spacing w:after="0" w:line="253" w:lineRule="auto"/>
        <w:tabs>
          <w:tab w:leader="none" w:pos="1982"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for any Base Rate Loan, the sum of 2.0%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Base Rate from time to time in effect; and</w:t>
      </w:r>
    </w:p>
    <w:p>
      <w:pPr>
        <w:spacing w:after="0" w:line="158"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for any Eurodollar Loan, the sum of 2.0%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rate of interest in effect thereon at the time of such default until the end of the Interest Period applicable thereto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and, thereafter, at a rate per annum equal to the sum of 2.0%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for Base Rate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Base Rate from time to time in effect;</w:t>
      </w:r>
    </w:p>
    <w:p>
      <w:pPr>
        <w:spacing w:after="0" w:line="173" w:lineRule="exact"/>
        <w:rPr>
          <w:sz w:val="20"/>
          <w:szCs w:val="20"/>
          <w:color w:val="auto"/>
        </w:rPr>
      </w:pPr>
    </w:p>
    <w:p>
      <w:pPr>
        <w:jc w:val="both"/>
        <w:ind w:left="200" w:right="219"/>
        <w:spacing w:after="0" w:line="27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the absence of acceleration, any adjustments pursuant to this Section 1.9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Evidence of Indebtedness</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39" w:lineRule="auto"/>
        <w:tabs>
          <w:tab w:leader="none" w:pos="1982" w:val="left"/>
        </w:tabs>
        <w:numPr>
          <w:ilvl w:val="0"/>
          <w:numId w:val="32"/>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spacing w:after="0" w:line="173" w:lineRule="exact"/>
        <w:rPr>
          <w:rFonts w:ascii="Arial" w:cs="Arial" w:eastAsia="Arial" w:hAnsi="Arial"/>
          <w:sz w:val="20"/>
          <w:szCs w:val="20"/>
          <w:color w:val="auto"/>
        </w:rPr>
      </w:pPr>
    </w:p>
    <w:p>
      <w:pPr>
        <w:jc w:val="both"/>
        <w:ind w:left="200" w:right="219" w:firstLine="1190"/>
        <w:spacing w:after="0" w:line="253" w:lineRule="auto"/>
        <w:tabs>
          <w:tab w:leader="none" w:pos="1982"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60" w:lineRule="exact"/>
        <w:rPr>
          <w:rFonts w:ascii="Arial" w:cs="Arial" w:eastAsia="Arial" w:hAnsi="Arial"/>
          <w:sz w:val="19"/>
          <w:szCs w:val="19"/>
          <w:color w:val="auto"/>
        </w:rPr>
      </w:pPr>
    </w:p>
    <w:p>
      <w:pPr>
        <w:jc w:val="both"/>
        <w:ind w:left="200" w:right="219" w:firstLine="1190"/>
        <w:spacing w:after="0" w:line="238" w:lineRule="auto"/>
        <w:tabs>
          <w:tab w:leader="none" w:pos="1982"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The entries maintained in the accounts maintained pursuant to paragraphs (a) and (b) above shall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existence and amounts of the Obligations therein recorded absent manifest error;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71"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Term Lender or Incremental Term Lender may request that its Loans be evidenced by a promissory note or notes in the forms of Exhibit D being herein referred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6" w:name="page57"/>
    <w:bookmarkEnd w:id="56"/>
    <w:p>
      <w:pPr>
        <w:jc w:val="both"/>
        <w:ind w:left="200" w:right="219"/>
        <w:spacing w:after="0" w:line="249" w:lineRule="auto"/>
        <w:rPr>
          <w:sz w:val="20"/>
          <w:szCs w:val="20"/>
          <w:color w:val="auto"/>
        </w:rPr>
      </w:pPr>
      <w:r>
        <w:rPr>
          <w:rFonts w:ascii="Arial" w:cs="Arial" w:eastAsia="Arial" w:hAnsi="Arial"/>
          <w:sz w:val="19"/>
          <w:szCs w:val="19"/>
          <w:color w:val="auto"/>
        </w:rPr>
        <w:t xml:space="preserve">collectively as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Notes</w:t>
      </w:r>
      <w:r>
        <w:rPr>
          <w:rFonts w:ascii="Arial" w:cs="Arial" w:eastAsia="Arial" w:hAnsi="Arial"/>
          <w:sz w:val="19"/>
          <w:szCs w:val="19"/>
          <w:i w:val="1"/>
          <w:iCs w:val="1"/>
          <w:color w:val="auto"/>
        </w:rPr>
        <w:t>”</w:t>
      </w:r>
      <w:r>
        <w:rPr>
          <w:rFonts w:ascii="Arial" w:cs="Arial" w:eastAsia="Arial" w:hAnsi="Arial"/>
          <w:sz w:val="19"/>
          <w:szCs w:val="19"/>
          <w:color w:val="auto"/>
        </w:rPr>
        <w:t xml:space="preserve"> and individually as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Note</w:t>
      </w:r>
      <w:r>
        <w:rPr>
          <w:rFonts w:ascii="Arial" w:cs="Arial" w:eastAsia="Arial" w:hAnsi="Arial"/>
          <w:sz w:val="19"/>
          <w:szCs w:val="19"/>
          <w:i w:val="1"/>
          <w:iCs w:val="1"/>
          <w:color w:val="auto"/>
        </w:rPr>
        <w:t>”</w:t>
      </w:r>
      <w:r>
        <w:rPr>
          <w:rFonts w:ascii="Arial" w:cs="Arial" w:eastAsia="Arial" w:hAnsi="Arial"/>
          <w:sz w:val="19"/>
          <w:szCs w:val="19"/>
          <w:color w:val="auto"/>
        </w:rPr>
        <w:t>). In such event, the Borrower shall prepare, execute and deliver to such Term Lender or Incremental Term Lender a Note payable to such Lender or its registered assigns in the amount of the Term Loan Commitment or Incremental Term Loan Commitment, as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spacing w:after="0" w:line="179" w:lineRule="exact"/>
        <w:rPr>
          <w:sz w:val="20"/>
          <w:szCs w:val="20"/>
          <w:color w:val="auto"/>
        </w:rPr>
      </w:pPr>
    </w:p>
    <w:p>
      <w:pPr>
        <w:ind w:left="200" w:right="279" w:firstLine="594"/>
        <w:spacing w:after="0" w:line="28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Funding Indemnity</w:t>
      </w:r>
      <w:r>
        <w:rPr>
          <w:rFonts w:ascii="Arial" w:cs="Arial" w:eastAsia="Arial" w:hAnsi="Arial"/>
          <w:sz w:val="18"/>
          <w:szCs w:val="18"/>
          <w:color w:val="auto"/>
        </w:rPr>
        <w:t>. If any Lender shall incur any loss, cost or reasonable expense (including, without limitation, any loss, cost or reasonable expense incurred by reason of the liquidation or re-employment of deposits or other funds acquired by such Lender to fund or maintain any Eurodollar Loan or the relending or reinvesting of such deposits or amounts paid or prepaid to such Lender) as a result of:</w:t>
      </w:r>
    </w:p>
    <w:p>
      <w:pPr>
        <w:spacing w:after="0" w:line="129" w:lineRule="exact"/>
        <w:rPr>
          <w:sz w:val="20"/>
          <w:szCs w:val="20"/>
          <w:color w:val="auto"/>
        </w:rPr>
      </w:pPr>
    </w:p>
    <w:p>
      <w:pPr>
        <w:ind w:left="200" w:right="219" w:firstLine="1190"/>
        <w:spacing w:after="0" w:line="253" w:lineRule="auto"/>
        <w:tabs>
          <w:tab w:leader="none" w:pos="198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payment, prepayment or conversion of a Eurodollar Loan on a date other than the last day of its Interest Period,</w:t>
      </w:r>
    </w:p>
    <w:p>
      <w:pPr>
        <w:spacing w:after="0" w:line="158" w:lineRule="exact"/>
        <w:rPr>
          <w:rFonts w:ascii="Arial" w:cs="Arial" w:eastAsia="Arial" w:hAnsi="Arial"/>
          <w:sz w:val="20"/>
          <w:szCs w:val="20"/>
          <w:color w:val="auto"/>
        </w:rPr>
      </w:pPr>
    </w:p>
    <w:p>
      <w:pPr>
        <w:jc w:val="both"/>
        <w:ind w:left="200" w:right="219" w:firstLine="1190"/>
        <w:spacing w:after="0" w:line="262" w:lineRule="auto"/>
        <w:tabs>
          <w:tab w:leader="none" w:pos="198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failure (because of a failure to meet the conditions of Section 7 or otherwise) by the Borrower to borrow or continue a Eurodollar Loan, or to convert a Base Rate Loan into a Eurodollar Loan, on the date specified in a notice given pursuant to Section 1.6(a) hereof,</w:t>
      </w:r>
    </w:p>
    <w:p>
      <w:pPr>
        <w:spacing w:after="0" w:line="150" w:lineRule="exact"/>
        <w:rPr>
          <w:rFonts w:ascii="Arial" w:cs="Arial" w:eastAsia="Arial" w:hAnsi="Arial"/>
          <w:sz w:val="19"/>
          <w:szCs w:val="19"/>
          <w:color w:val="auto"/>
        </w:rPr>
      </w:pPr>
    </w:p>
    <w:p>
      <w:pPr>
        <w:ind w:left="200" w:right="219" w:firstLine="1190"/>
        <w:spacing w:after="0" w:line="253" w:lineRule="auto"/>
        <w:tabs>
          <w:tab w:leader="none" w:pos="198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failure by the Borrower to make any payment of principal on any Eurodollar Loan when due (whether by acceleration or otherwise), or</w:t>
      </w:r>
    </w:p>
    <w:p>
      <w:pPr>
        <w:spacing w:after="0" w:line="158"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acceleration of the maturity of a Eurodollar Loan as a result of the occurrence of any Event of Default hereunder,</w:t>
      </w:r>
    </w:p>
    <w:p>
      <w:pPr>
        <w:spacing w:after="0" w:line="159"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9"/>
          <w:szCs w:val="19"/>
          <w:color w:val="auto"/>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Reserved.</w:t>
      </w:r>
    </w:p>
    <w:p>
      <w:pPr>
        <w:spacing w:after="0" w:line="203" w:lineRule="exact"/>
        <w:rPr>
          <w:sz w:val="20"/>
          <w:szCs w:val="20"/>
          <w:color w:val="auto"/>
        </w:rPr>
      </w:pPr>
    </w:p>
    <w:p>
      <w:pPr>
        <w:ind w:left="200" w:right="239" w:firstLine="594"/>
        <w:spacing w:after="0" w:line="262"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Substitution of Lenders</w:t>
      </w:r>
      <w:r>
        <w:rPr>
          <w:rFonts w:ascii="Arial" w:cs="Arial" w:eastAsia="Arial" w:hAnsi="Arial"/>
          <w:sz w:val="19"/>
          <w:szCs w:val="19"/>
          <w:color w:val="auto"/>
        </w:rPr>
        <w:t xml:space="preserve">. 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Arial" w:cs="Arial" w:eastAsia="Arial" w:hAnsi="Arial"/>
          <w:sz w:val="19"/>
          <w:szCs w:val="19"/>
          <w:i w:val="1"/>
          <w:iCs w:val="1"/>
          <w:color w:val="auto"/>
        </w:rPr>
        <w:t>“Affected Lender”</w:t>
      </w:r>
      <w:r>
        <w:rPr>
          <w:rFonts w:ascii="Arial" w:cs="Arial" w:eastAsia="Arial" w:hAnsi="Arial"/>
          <w:sz w:val="19"/>
          <w:szCs w:val="19"/>
          <w:color w:val="auto"/>
        </w:rPr>
        <w:t>), the Borrower may, in addition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7" w:name="page58"/>
    <w:bookmarkEnd w:id="57"/>
    <w:p>
      <w:pPr>
        <w:jc w:val="both"/>
        <w:ind w:left="200" w:right="219"/>
        <w:spacing w:after="0" w:line="275" w:lineRule="auto"/>
        <w:rPr>
          <w:sz w:val="20"/>
          <w:szCs w:val="20"/>
          <w:color w:val="auto"/>
        </w:rPr>
      </w:pPr>
      <w:r>
        <w:rPr>
          <w:rFonts w:ascii="Arial" w:cs="Arial" w:eastAsia="Arial" w:hAnsi="Arial"/>
          <w:sz w:val="18"/>
          <w:szCs w:val="18"/>
          <w:color w:val="auto"/>
        </w:rPr>
        <w:t xml:space="preserve">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assignment shall not conflict with or violate any law, rule or regulation or order of any court or other governmental authority,</w:t>
      </w:r>
    </w:p>
    <w:p>
      <w:pPr>
        <w:spacing w:after="0" w:line="3" w:lineRule="exact"/>
        <w:rPr>
          <w:sz w:val="20"/>
          <w:szCs w:val="20"/>
          <w:color w:val="auto"/>
        </w:rPr>
      </w:pPr>
    </w:p>
    <w:p>
      <w:pPr>
        <w:jc w:val="both"/>
        <w:ind w:left="200" w:right="219" w:firstLine="2"/>
        <w:spacing w:after="0" w:line="280" w:lineRule="auto"/>
        <w:tabs>
          <w:tab w:leader="none" w:pos="5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spacing w:after="0" w:line="151" w:lineRule="exact"/>
        <w:rPr>
          <w:sz w:val="20"/>
          <w:szCs w:val="20"/>
          <w:color w:val="auto"/>
        </w:rPr>
      </w:pPr>
    </w:p>
    <w:p>
      <w:pPr>
        <w:ind w:left="200" w:right="239" w:firstLine="594"/>
        <w:spacing w:after="0" w:line="275"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Defaulting Lenders</w:t>
      </w:r>
      <w:r>
        <w:rPr>
          <w:rFonts w:ascii="Arial" w:cs="Arial" w:eastAsia="Arial" w:hAnsi="Arial"/>
          <w:sz w:val="18"/>
          <w:szCs w:val="18"/>
          <w:i w:val="1"/>
          <w:iCs w:val="1"/>
          <w:color w:val="auto"/>
        </w:rPr>
        <w:t>.</w:t>
      </w:r>
      <w:r>
        <w:rPr>
          <w:rFonts w:ascii="Arial" w:cs="Arial" w:eastAsia="Arial" w:hAnsi="Arial"/>
          <w:sz w:val="18"/>
          <w:szCs w:val="18"/>
          <w:color w:val="auto"/>
        </w:rPr>
        <w:t xml:space="preserve"> Anything contained herein to the contrary notwithstanding, in the event that any Lender at any time is a Defaulting Lender, then (a) during any Defaulting Lender Period with respect to such Defaulting Lender, such Defaulting Lender shall be deemed not to be a </w:t>
      </w:r>
      <w:r>
        <w:rPr>
          <w:rFonts w:ascii="Arial" w:cs="Arial" w:eastAsia="Arial" w:hAnsi="Arial"/>
          <w:sz w:val="18"/>
          <w:szCs w:val="18"/>
          <w:i w:val="1"/>
          <w:iCs w:val="1"/>
          <w:color w:val="auto"/>
        </w:rPr>
        <w:t>“Lender”</w:t>
      </w:r>
      <w:r>
        <w:rPr>
          <w:rFonts w:ascii="Arial" w:cs="Arial" w:eastAsia="Arial" w:hAnsi="Arial"/>
          <w:sz w:val="18"/>
          <w:szCs w:val="18"/>
          <w:color w:val="auto"/>
        </w:rPr>
        <w:t xml:space="preserve"> for purposes of voting on any matters (including the granting of any consents or waivers) with respect to any of the Loan Documents and such Defaulting Lender’s Commitments shall be excluded for purposes of determining </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(provided that the foregoing shall not permit an increase in such Lender’s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1.15.  </w:t>
      </w:r>
      <w:r>
        <w:rPr>
          <w:rFonts w:ascii="Arial" w:cs="Arial" w:eastAsia="Arial" w:hAnsi="Arial"/>
          <w:sz w:val="20"/>
          <w:szCs w:val="20"/>
          <w:u w:val="single" w:color="auto"/>
          <w:color w:val="auto"/>
        </w:rPr>
        <w:t>Increase in Commitments.</w:t>
      </w:r>
    </w:p>
    <w:p>
      <w:pPr>
        <w:spacing w:after="0" w:line="191" w:lineRule="exact"/>
        <w:rPr>
          <w:sz w:val="20"/>
          <w:szCs w:val="20"/>
          <w:color w:val="auto"/>
        </w:rPr>
      </w:pPr>
    </w:p>
    <w:p>
      <w:pPr>
        <w:jc w:val="both"/>
        <w:ind w:left="200" w:right="219" w:firstLine="1190"/>
        <w:spacing w:after="0" w:line="264" w:lineRule="auto"/>
        <w:tabs>
          <w:tab w:leader="none" w:pos="198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to Effective of Increase</w:t>
      </w:r>
      <w:r>
        <w:rPr>
          <w:rFonts w:ascii="Arial" w:cs="Arial" w:eastAsia="Arial" w:hAnsi="Arial"/>
          <w:sz w:val="18"/>
          <w:szCs w:val="18"/>
          <w:color w:val="auto"/>
        </w:rPr>
        <w:t>. Upon notice to Administrative Agent (which shall promptly notify the Lenders), Borrower may from time to time, request to incur additional indebtedness under this Agreement pursuant to one or more tranches of term loans (each an “</w:t>
      </w:r>
      <w:r>
        <w:rPr>
          <w:rFonts w:ascii="Arial" w:cs="Arial" w:eastAsia="Arial" w:hAnsi="Arial"/>
          <w:sz w:val="18"/>
          <w:szCs w:val="18"/>
          <w:i w:val="1"/>
          <w:iCs w:val="1"/>
          <w:color w:val="auto"/>
        </w:rPr>
        <w:t>Incremental</w:t>
      </w:r>
      <w:r>
        <w:rPr>
          <w:rFonts w:ascii="Arial" w:cs="Arial" w:eastAsia="Arial" w:hAnsi="Arial"/>
          <w:sz w:val="18"/>
          <w:szCs w:val="18"/>
          <w:color w:val="auto"/>
        </w:rPr>
        <w:t xml:space="preserve"> </w:t>
      </w:r>
      <w:r>
        <w:rPr>
          <w:rFonts w:ascii="Arial" w:cs="Arial" w:eastAsia="Arial" w:hAnsi="Arial"/>
          <w:sz w:val="18"/>
          <w:szCs w:val="18"/>
          <w:i w:val="1"/>
          <w:iCs w:val="1"/>
          <w:color w:val="auto"/>
        </w:rPr>
        <w:t>Term Loan Facility</w:t>
      </w:r>
      <w:r>
        <w:rPr>
          <w:rFonts w:ascii="Arial" w:cs="Arial" w:eastAsia="Arial" w:hAnsi="Arial"/>
          <w:sz w:val="18"/>
          <w:szCs w:val="18"/>
          <w:color w:val="auto"/>
        </w:rPr>
        <w:t>”; and the term loans made pursuant thereto, each an “</w:t>
      </w:r>
      <w:r>
        <w:rPr>
          <w:rFonts w:ascii="Arial" w:cs="Arial" w:eastAsia="Arial" w:hAnsi="Arial"/>
          <w:sz w:val="18"/>
          <w:szCs w:val="18"/>
          <w:i w:val="1"/>
          <w:iCs w:val="1"/>
          <w:color w:val="auto"/>
        </w:rPr>
        <w:t>Incremental Term Loan</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made pursuant thereto, an “</w:t>
      </w:r>
      <w:r>
        <w:rPr>
          <w:rFonts w:ascii="Arial" w:cs="Arial" w:eastAsia="Arial" w:hAnsi="Arial"/>
          <w:sz w:val="18"/>
          <w:szCs w:val="18"/>
          <w:i w:val="1"/>
          <w:iCs w:val="1"/>
          <w:color w:val="auto"/>
        </w:rPr>
        <w:t>Incremental Term Loan Commitment</w:t>
      </w:r>
      <w:r>
        <w:rPr>
          <w:rFonts w:ascii="Arial" w:cs="Arial" w:eastAsia="Arial" w:hAnsi="Arial"/>
          <w:sz w:val="18"/>
          <w:szCs w:val="18"/>
          <w:color w:val="auto"/>
        </w:rPr>
        <w:t>”) in an aggregate amount not exceeding $120,000,000 (each such increase or additional tranche, a “</w:t>
      </w:r>
      <w:r>
        <w:rPr>
          <w:rFonts w:ascii="Arial" w:cs="Arial" w:eastAsia="Arial" w:hAnsi="Arial"/>
          <w:sz w:val="18"/>
          <w:szCs w:val="18"/>
          <w:i w:val="1"/>
          <w:iCs w:val="1"/>
          <w:color w:val="auto"/>
        </w:rPr>
        <w:t>Commitment Increase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the aggregate amount of the Commitments shall not be increased to an amount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$200,000,000, (ii) Borrower may request a maximum of three (3) such Commitment Increases during the term of the Loan, each in a minimum amount of $20,000,000 or such lesser amount as approved by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58" w:name="page59"/>
    <w:bookmarkEnd w:id="58"/>
    <w:p>
      <w:pPr>
        <w:jc w:val="both"/>
        <w:ind w:left="200" w:right="219"/>
        <w:spacing w:after="0" w:line="275" w:lineRule="auto"/>
        <w:rPr>
          <w:sz w:val="20"/>
          <w:szCs w:val="20"/>
          <w:color w:val="auto"/>
        </w:rPr>
      </w:pPr>
      <w:r>
        <w:rPr>
          <w:rFonts w:ascii="Arial" w:cs="Arial" w:eastAsia="Arial" w:hAnsi="Arial"/>
          <w:sz w:val="17"/>
          <w:szCs w:val="17"/>
          <w:color w:val="auto"/>
        </w:rPr>
        <w:t>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seven</w:t>
      </w:r>
    </w:p>
    <w:p>
      <w:pPr>
        <w:spacing w:after="0" w:line="5" w:lineRule="exact"/>
        <w:rPr>
          <w:sz w:val="20"/>
          <w:szCs w:val="20"/>
          <w:color w:val="auto"/>
        </w:rPr>
      </w:pPr>
    </w:p>
    <w:p>
      <w:pPr>
        <w:jc w:val="both"/>
        <w:ind w:left="200" w:right="219" w:firstLine="2"/>
        <w:spacing w:after="0" w:line="258" w:lineRule="auto"/>
        <w:tabs>
          <w:tab w:leader="none" w:pos="5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days prior to the effective date of such Commitment Increase, Borrower shall have provided to such additional Lender, and such additional Lender shall be reasonably satisfied with, the documentation and</w:t>
      </w:r>
    </w:p>
    <w:p>
      <w:pPr>
        <w:spacing w:after="0" w:line="1"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18"/>
          <w:szCs w:val="18"/>
          <w:color w:val="auto"/>
        </w:rPr>
        <w:t>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Loans in an amount sufficient such that after giving effect to its advance each Lender shall have outstanding its Applicable Percentage of Loans.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no Lender shall have any obligation to increase its Commitment and no Lender’s Commitment shall be increased without its consent thereto.</w:t>
      </w:r>
    </w:p>
    <w:p>
      <w:pPr>
        <w:spacing w:after="0" w:line="163" w:lineRule="exact"/>
        <w:rPr>
          <w:sz w:val="20"/>
          <w:szCs w:val="20"/>
          <w:color w:val="auto"/>
        </w:rPr>
      </w:pPr>
    </w:p>
    <w:p>
      <w:pPr>
        <w:jc w:val="both"/>
        <w:ind w:left="200" w:right="219" w:firstLine="1190"/>
        <w:spacing w:after="0" w:line="261" w:lineRule="auto"/>
        <w:tabs>
          <w:tab w:leader="none" w:pos="198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Incremental Term Loan Amendment</w:t>
      </w:r>
      <w:r>
        <w:rPr>
          <w:rFonts w:ascii="Arial" w:cs="Arial" w:eastAsia="Arial" w:hAnsi="Arial"/>
          <w:sz w:val="18"/>
          <w:szCs w:val="18"/>
          <w:color w:val="auto"/>
        </w:rPr>
        <w:t>. Each Commitment Increase may be made hereunder pursuant to an amendment or restatement (each, an “</w:t>
      </w:r>
      <w:r>
        <w:rPr>
          <w:rFonts w:ascii="Arial" w:cs="Arial" w:eastAsia="Arial" w:hAnsi="Arial"/>
          <w:sz w:val="18"/>
          <w:szCs w:val="18"/>
          <w:i w:val="1"/>
          <w:iCs w:val="1"/>
          <w:color w:val="auto"/>
        </w:rPr>
        <w:t>Incremental Term Loan Amendment</w:t>
      </w:r>
      <w:r>
        <w:rPr>
          <w:rFonts w:ascii="Arial" w:cs="Arial" w:eastAsia="Arial" w:hAnsi="Arial"/>
          <w:sz w:val="18"/>
          <w:szCs w:val="18"/>
          <w:color w:val="auto"/>
        </w:rPr>
        <w:t>”) of this Agreement and, as appropriate, the other Loan Documents, executed by Borrower, each Incremental Term Lender participating in such tranche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the Term Loans, (ii) shall not mature earlier than the latest Maturity Date for any then-existing Facility (but may have amortization prior to such date), and (iii) shall be treated substantially the same as (and in any event no more favorably than) the Term Loans and each other tranche of Incremental Term Loans; provided that (I) the terms and conditions applicable to any tranche of Incremental Term Loans maturing after the Maturity Date for the Term Facility may provide for material additional or different financial or other covenants or prepayment requirements applicable only during periods after the Maturity Date for the Term Facility and (II) each tranche of Incremental Term Loans may be priced differently than the Term Loans and any other tranche of Incremental Term Loans. Each applicable Incremental Term Lender shall fund the applicable Incremental Term Loans in accordance with the requirements of the applicable Incremental Term Loan Amendment.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59" w:name="page60"/>
    <w:bookmarkEnd w:id="59"/>
    <w:p>
      <w:pPr>
        <w:ind w:left="200"/>
        <w:spacing w:after="0"/>
        <w:tabs>
          <w:tab w:leader="none" w:pos="13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7"/>
          <w:szCs w:val="17"/>
          <w:color w:val="auto"/>
        </w:rPr>
        <w:t>FEES.</w:t>
      </w:r>
    </w:p>
    <w:p>
      <w:pPr>
        <w:spacing w:after="0" w:line="203" w:lineRule="exact"/>
        <w:rPr>
          <w:sz w:val="20"/>
          <w:szCs w:val="20"/>
          <w:color w:val="auto"/>
        </w:rPr>
      </w:pPr>
    </w:p>
    <w:p>
      <w:pPr>
        <w:jc w:val="both"/>
        <w:ind w:left="200" w:right="219" w:firstLine="594"/>
        <w:spacing w:after="0" w:line="252"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Administrative Agent and Other Fees</w:t>
      </w:r>
      <w:r>
        <w:rPr>
          <w:rFonts w:ascii="Arial" w:cs="Arial" w:eastAsia="Arial" w:hAnsi="Arial"/>
          <w:sz w:val="20"/>
          <w:szCs w:val="20"/>
          <w:color w:val="auto"/>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spacing w:after="0" w:line="160"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9"/>
          <w:szCs w:val="19"/>
          <w:color w:val="auto"/>
        </w:rPr>
        <w:t>PLACE AND APPLICATION OF PAYMENTS.</w:t>
      </w:r>
    </w:p>
    <w:p>
      <w:pPr>
        <w:spacing w:after="0" w:line="203" w:lineRule="exact"/>
        <w:rPr>
          <w:sz w:val="20"/>
          <w:szCs w:val="20"/>
          <w:color w:val="auto"/>
        </w:rPr>
      </w:pPr>
    </w:p>
    <w:p>
      <w:pPr>
        <w:ind w:left="200" w:right="219" w:firstLine="594"/>
        <w:spacing w:after="0" w:line="292"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Place and Application of Payments.</w:t>
      </w:r>
      <w:r>
        <w:rPr>
          <w:rFonts w:ascii="Arial" w:cs="Arial" w:eastAsia="Arial" w:hAnsi="Arial"/>
          <w:sz w:val="17"/>
          <w:szCs w:val="17"/>
          <w:color w:val="auto"/>
        </w:rPr>
        <w:t xml:space="preserve"> All payments of principal of and interest on the Loans, and of all other Obligations payable by the Borrower under this Agreement and the other Loan Documents, shall be made by the Borrower to the Administrative Agent by no later than 12:00 Noon (New York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the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spacing w:after="0" w:line="132"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color w:val="auto"/>
        </w:rPr>
        <w:t>Anything contained herein to the contrary notwithstanding (including, without limitation, Section 1.8(b) hereof), all payments and collections received in respect of the Obligations by the 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172" w:lineRule="exact"/>
        <w:rPr>
          <w:sz w:val="20"/>
          <w:szCs w:val="20"/>
          <w:color w:val="auto"/>
        </w:rPr>
      </w:pPr>
    </w:p>
    <w:p>
      <w:pPr>
        <w:jc w:val="both"/>
        <w:ind w:left="200" w:right="219" w:firstLine="1190"/>
        <w:spacing w:after="0" w:line="236" w:lineRule="auto"/>
        <w:tabs>
          <w:tab w:leader="none" w:pos="1982" w:val="left"/>
        </w:tabs>
        <w:numPr>
          <w:ilvl w:val="0"/>
          <w:numId w:val="38"/>
        </w:numPr>
        <w:rPr>
          <w:rFonts w:ascii="Arial" w:cs="Arial" w:eastAsia="Arial" w:hAnsi="Arial"/>
          <w:sz w:val="20"/>
          <w:szCs w:val="20"/>
          <w:color w:val="auto"/>
        </w:rPr>
      </w:pPr>
      <w:r>
        <w:rPr>
          <w:rFonts w:ascii="Arial" w:cs="Arial" w:eastAsia="Arial" w:hAnsi="Arial"/>
          <w:sz w:val="20"/>
          <w:szCs w:val="20"/>
          <w:color w:val="auto"/>
        </w:rPr>
        <w:t>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0" w:name="page61"/>
    <w:bookmarkEnd w:id="60"/>
    <w:p>
      <w:pPr>
        <w:jc w:val="both"/>
        <w:ind w:left="200" w:right="219" w:firstLine="1190"/>
        <w:spacing w:after="0" w:line="243" w:lineRule="auto"/>
        <w:tabs>
          <w:tab w:leader="none" w:pos="1982"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second, to the payment of any outstanding interest and fees due under the Loan Documents to be allocated pro rata in accordance with the aggregate unpaid amounts owing to each holder thereof;</w:t>
      </w:r>
    </w:p>
    <w:p>
      <w:pPr>
        <w:spacing w:after="0" w:line="167"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third, to the payment of principal on the Loans, any Hedging Liability, the aggregate amount paid to, or held as collateral security for, the Lenders and, in the case of Hedging Liability, their Affiliates to be allocated pro rata in accordance with the aggregate unpaid amounts owing to each holder thereof;</w:t>
      </w:r>
    </w:p>
    <w:p>
      <w:pPr>
        <w:spacing w:after="0" w:line="173" w:lineRule="exact"/>
        <w:rPr>
          <w:rFonts w:ascii="Arial" w:cs="Arial" w:eastAsia="Arial" w:hAnsi="Arial"/>
          <w:sz w:val="20"/>
          <w:szCs w:val="20"/>
          <w:color w:val="auto"/>
        </w:rPr>
      </w:pPr>
    </w:p>
    <w:p>
      <w:pPr>
        <w:jc w:val="both"/>
        <w:ind w:left="200" w:right="219" w:firstLine="1190"/>
        <w:spacing w:after="0" w:line="256" w:lineRule="auto"/>
        <w:tabs>
          <w:tab w:leader="none" w:pos="1982" w:val="left"/>
        </w:tabs>
        <w:numPr>
          <w:ilvl w:val="0"/>
          <w:numId w:val="39"/>
        </w:numPr>
        <w:rPr>
          <w:rFonts w:ascii="Arial" w:cs="Arial" w:eastAsia="Arial" w:hAnsi="Arial"/>
          <w:sz w:val="19"/>
          <w:szCs w:val="19"/>
          <w:color w:val="auto"/>
        </w:rPr>
      </w:pPr>
      <w:r>
        <w:rPr>
          <w:rFonts w:ascii="Arial" w:cs="Arial" w:eastAsia="Arial" w:hAnsi="Arial"/>
          <w:sz w:val="19"/>
          <w:szCs w:val="19"/>
          <w:color w:val="auto"/>
        </w:rPr>
        <w:t>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spacing w:after="0" w:line="156" w:lineRule="exact"/>
        <w:rPr>
          <w:rFonts w:ascii="Arial" w:cs="Arial" w:eastAsia="Arial" w:hAnsi="Arial"/>
          <w:sz w:val="19"/>
          <w:szCs w:val="19"/>
          <w:color w:val="auto"/>
        </w:rPr>
      </w:pPr>
    </w:p>
    <w:p>
      <w:pPr>
        <w:ind w:left="1980" w:hanging="590"/>
        <w:spacing w:after="0"/>
        <w:tabs>
          <w:tab w:leader="none" w:pos="1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finally, to the Borrower or whoever else may be lawfully entitled thereto.</w:t>
      </w:r>
    </w:p>
    <w:p>
      <w:pPr>
        <w:spacing w:after="0" w:line="191"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color w:val="auto"/>
        </w:rPr>
        <w:t>GUARANTIES</w:t>
      </w:r>
    </w:p>
    <w:p>
      <w:pPr>
        <w:spacing w:after="0" w:line="203" w:lineRule="exact"/>
        <w:rPr>
          <w:sz w:val="20"/>
          <w:szCs w:val="20"/>
          <w:color w:val="auto"/>
        </w:rPr>
      </w:pPr>
    </w:p>
    <w:p>
      <w:pPr>
        <w:ind w:left="200" w:right="239" w:firstLine="594"/>
        <w:spacing w:after="0" w:line="27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Guaranties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The payment and performance of the Obligations, Hedging Liability, and Funds Transfer and Deposit Account Liability shall at all times be guaranteed by (i) Parent and (ii)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Arial" w:cs="Arial" w:eastAsia="Arial" w:hAnsi="Arial"/>
          <w:sz w:val="18"/>
          <w:szCs w:val="18"/>
          <w:i w:val="1"/>
          <w:iCs w:val="1"/>
          <w:color w:val="auto"/>
        </w:rPr>
        <w:t>“Guaranty”</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 xml:space="preserve">“Guaranties” </w:t>
      </w:r>
      <w:r>
        <w:rPr>
          <w:rFonts w:ascii="Arial" w:cs="Arial" w:eastAsia="Arial" w:hAnsi="Arial"/>
          <w:sz w:val="18"/>
          <w:szCs w:val="18"/>
          <w:color w:val="auto"/>
        </w:rPr>
        <w:t>and each such Material Subsidiary executing and delivering a Guaranty being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herein as a </w:t>
      </w:r>
      <w:r>
        <w:rPr>
          <w:rFonts w:ascii="Arial" w:cs="Arial" w:eastAsia="Arial" w:hAnsi="Arial"/>
          <w:sz w:val="18"/>
          <w:szCs w:val="18"/>
          <w:i w:val="1"/>
          <w:iCs w:val="1"/>
          <w:color w:val="auto"/>
        </w:rPr>
        <w:t>“Guarantor”</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“Guarantors”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respect to any Guarantor, Hedging Liability guaranteed by such Guarantor shall exclude all Excluded Swap Obligations.</w:t>
      </w:r>
    </w:p>
    <w:p>
      <w:pPr>
        <w:spacing w:after="0" w:line="154" w:lineRule="exact"/>
        <w:rPr>
          <w:sz w:val="20"/>
          <w:szCs w:val="20"/>
          <w:color w:val="auto"/>
        </w:rPr>
      </w:pPr>
    </w:p>
    <w:p>
      <w:pPr>
        <w:ind w:left="200" w:right="319" w:firstLine="594"/>
        <w:spacing w:after="0" w:line="27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Additional Guarantor Supplement</w:t>
      </w:r>
      <w:r>
        <w:rPr>
          <w:rFonts w:ascii="Arial" w:cs="Arial" w:eastAsia="Arial" w:hAnsi="Arial"/>
          <w:sz w:val="18"/>
          <w:szCs w:val="18"/>
          <w:i w:val="1"/>
          <w:iCs w:val="1"/>
          <w:color w:val="auto"/>
        </w:rPr>
        <w:t>”</w:t>
      </w:r>
      <w:r>
        <w:rPr>
          <w:rFonts w:ascii="Arial" w:cs="Arial" w:eastAsia="Arial" w:hAnsi="Arial"/>
          <w:sz w:val="18"/>
          <w:szCs w:val="18"/>
          <w:color w:val="auto"/>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spacing w:after="0" w:line="142"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color w:val="auto"/>
        </w:rPr>
        <w:t>DEFINITIONS; INTERPRETATION.</w:t>
      </w:r>
    </w:p>
    <w:p>
      <w:pPr>
        <w:spacing w:after="0" w:line="203" w:lineRule="exact"/>
        <w:rPr>
          <w:sz w:val="20"/>
          <w:szCs w:val="20"/>
          <w:color w:val="auto"/>
        </w:rPr>
      </w:pPr>
    </w:p>
    <w:p>
      <w:pPr>
        <w:ind w:left="200" w:right="1039" w:firstLine="594"/>
        <w:spacing w:after="0" w:line="266"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Definitions</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xml:space="preserve"> The following terms when used herein shall have the following meanings:</w:t>
      </w:r>
    </w:p>
    <w:p>
      <w:pPr>
        <w:spacing w:after="0" w:line="146" w:lineRule="exact"/>
        <w:rPr>
          <w:sz w:val="20"/>
          <w:szCs w:val="20"/>
          <w:color w:val="auto"/>
        </w:rPr>
      </w:pPr>
    </w:p>
    <w:p>
      <w:pPr>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“1031 Cash Proceeds” </w:t>
      </w:r>
      <w:r>
        <w:rPr>
          <w:rFonts w:ascii="Arial" w:cs="Arial" w:eastAsia="Arial" w:hAnsi="Arial"/>
          <w:sz w:val="20"/>
          <w:szCs w:val="20"/>
          <w:color w:val="auto"/>
        </w:rPr>
        <w:t>means cash proceeds from the sale of Property in a transaction under Section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1031 of the Code held by a qualifying intermediary; </w:t>
      </w:r>
      <w:r>
        <w:rPr>
          <w:rFonts w:ascii="Arial" w:cs="Arial" w:eastAsia="Arial" w:hAnsi="Arial"/>
          <w:sz w:val="20"/>
          <w:szCs w:val="20"/>
          <w:i w:val="1"/>
          <w:iCs w:val="1"/>
          <w:color w:val="auto"/>
        </w:rPr>
        <w:t>provided</w:t>
      </w:r>
      <w:r>
        <w:rPr>
          <w:rFonts w:ascii="Arial" w:cs="Arial" w:eastAsia="Arial" w:hAnsi="Arial"/>
          <w:sz w:val="20"/>
          <w:szCs w:val="20"/>
          <w:color w:val="auto"/>
        </w:rPr>
        <w:t>, that, such proceeds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1" w:name="page62"/>
    <w:bookmarkEnd w:id="61"/>
    <w:p>
      <w:pPr>
        <w:jc w:val="both"/>
        <w:ind w:left="200" w:right="219"/>
        <w:spacing w:after="0" w:line="253" w:lineRule="auto"/>
        <w:rPr>
          <w:sz w:val="20"/>
          <w:szCs w:val="20"/>
          <w:color w:val="auto"/>
        </w:rPr>
      </w:pPr>
      <w:r>
        <w:rPr>
          <w:rFonts w:ascii="Arial" w:cs="Arial" w:eastAsia="Arial" w:hAnsi="Arial"/>
          <w:sz w:val="20"/>
          <w:szCs w:val="20"/>
          <w:color w:val="auto"/>
        </w:rPr>
        <w:t>shall cease to be 1031 Cash Proceeds as of the last day on which Borrower or the applicable Subsidiary can consummate a tax-deferred transaction under Section 1031 of the Code.</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“1031 Property” </w:t>
      </w:r>
      <w:r>
        <w:rPr>
          <w:rFonts w:ascii="Arial" w:cs="Arial" w:eastAsia="Arial" w:hAnsi="Arial"/>
          <w:sz w:val="20"/>
          <w:szCs w:val="20"/>
          <w:color w:val="auto"/>
        </w:rPr>
        <w:t>means, as of any Borrowing Base Determination Date, any Property owned by a</w:t>
      </w:r>
      <w:r>
        <w:rPr>
          <w:rFonts w:ascii="Arial" w:cs="Arial" w:eastAsia="Arial" w:hAnsi="Arial"/>
          <w:sz w:val="20"/>
          <w:szCs w:val="20"/>
          <w:i w:val="1"/>
          <w:iCs w:val="1"/>
          <w:color w:val="auto"/>
        </w:rPr>
        <w:t xml:space="preserve"> </w:t>
      </w:r>
      <w:r>
        <w:rPr>
          <w:rFonts w:ascii="Arial" w:cs="Arial" w:eastAsia="Arial" w:hAnsi="Arial"/>
          <w:sz w:val="20"/>
          <w:szCs w:val="20"/>
          <w:color w:val="auto"/>
        </w:rPr>
        <w:t>1031 Property Holder which is intended to qualify for tax treatment under, Section 1031 of the Code and which satisfies the following conditions:</w:t>
      </w:r>
    </w:p>
    <w:p>
      <w:pPr>
        <w:spacing w:after="0" w:line="168" w:lineRule="exact"/>
        <w:rPr>
          <w:sz w:val="20"/>
          <w:szCs w:val="20"/>
          <w:color w:val="auto"/>
        </w:rPr>
      </w:pPr>
    </w:p>
    <w:p>
      <w:pPr>
        <w:ind w:left="1980" w:hanging="48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Property meets all of the requirements of the definition of Eligible Property; and</w:t>
      </w:r>
    </w:p>
    <w:p>
      <w:pPr>
        <w:spacing w:after="0" w:line="213" w:lineRule="exact"/>
        <w:rPr>
          <w:rFonts w:ascii="Arial" w:cs="Arial" w:eastAsia="Arial" w:hAnsi="Arial"/>
          <w:sz w:val="18"/>
          <w:szCs w:val="18"/>
          <w:color w:val="auto"/>
        </w:rPr>
      </w:pPr>
    </w:p>
    <w:p>
      <w:pPr>
        <w:jc w:val="both"/>
        <w:ind w:left="800" w:right="219" w:firstLine="645"/>
        <w:spacing w:after="0" w:line="243" w:lineRule="auto"/>
        <w:tabs>
          <w:tab w:leader="none" w:pos="1988"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Borrower or a Guarantor has the unconditional contractual right to require and cause fee simple title to such Property to be transferred at any time to any Person as directed by the Borrower or a Guarantor.</w:t>
      </w:r>
    </w:p>
    <w:p>
      <w:pPr>
        <w:spacing w:after="0" w:line="168"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For purposes of determining Total Asset Value, such 1031 Property shall be deemed to have been owned or leased by the Borrower or a Guarantor from the date acquired by the 1031 Property Holder that owns such 1031 Property.</w:t>
      </w:r>
    </w:p>
    <w:p>
      <w:pPr>
        <w:spacing w:after="0" w:line="168" w:lineRule="exact"/>
        <w:rPr>
          <w:sz w:val="20"/>
          <w:szCs w:val="20"/>
          <w:color w:val="auto"/>
        </w:rPr>
      </w:pPr>
    </w:p>
    <w:p>
      <w:pPr>
        <w:jc w:val="both"/>
        <w:ind w:left="200" w:right="219" w:firstLine="594"/>
        <w:spacing w:after="0" w:line="283" w:lineRule="auto"/>
        <w:rPr>
          <w:sz w:val="20"/>
          <w:szCs w:val="20"/>
          <w:color w:val="auto"/>
        </w:rPr>
      </w:pPr>
      <w:r>
        <w:rPr>
          <w:rFonts w:ascii="Arial" w:cs="Arial" w:eastAsia="Arial" w:hAnsi="Arial"/>
          <w:sz w:val="18"/>
          <w:szCs w:val="18"/>
          <w:i w:val="1"/>
          <w:iCs w:val="1"/>
          <w:color w:val="auto"/>
        </w:rPr>
        <w:t xml:space="preserve">“1031 Property Holder” </w:t>
      </w:r>
      <w:r>
        <w:rPr>
          <w:rFonts w:ascii="Arial" w:cs="Arial" w:eastAsia="Arial" w:hAnsi="Arial"/>
          <w:sz w:val="18"/>
          <w:szCs w:val="18"/>
          <w:color w:val="auto"/>
        </w:rPr>
        <w:t>means the “qualified intermediary” or “exchange accommodation</w:t>
      </w:r>
      <w:r>
        <w:rPr>
          <w:rFonts w:ascii="Arial" w:cs="Arial" w:eastAsia="Arial" w:hAnsi="Arial"/>
          <w:sz w:val="18"/>
          <w:szCs w:val="18"/>
          <w:i w:val="1"/>
          <w:iCs w:val="1"/>
          <w:color w:val="auto"/>
        </w:rPr>
        <w:t xml:space="preserve"> </w:t>
      </w:r>
      <w:r>
        <w:rPr>
          <w:rFonts w:ascii="Arial" w:cs="Arial" w:eastAsia="Arial" w:hAnsi="Arial"/>
          <w:sz w:val="18"/>
          <w:szCs w:val="18"/>
          <w:color w:val="auto"/>
        </w:rPr>
        <w:t>titleholder” with respect to a 1031 Property as contemplated under Section 1031 of the Code, the regulations of the U.S. Department of Treasury adopted thereunder and related revenue procedures related thereto.</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“Additional Guarantor Supplement” </w:t>
      </w:r>
      <w:r>
        <w:rPr>
          <w:rFonts w:ascii="Arial" w:cs="Arial" w:eastAsia="Arial" w:hAnsi="Arial"/>
          <w:sz w:val="20"/>
          <w:szCs w:val="20"/>
          <w:color w:val="auto"/>
        </w:rPr>
        <w:t>is defined in Section 4.2 hereof.</w:t>
      </w:r>
    </w:p>
    <w:p>
      <w:pPr>
        <w:spacing w:after="0" w:line="19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Adjusted Borrowing Base</w:t>
      </w:r>
      <w:r>
        <w:rPr>
          <w:rFonts w:ascii="Arial" w:cs="Arial" w:eastAsia="Arial" w:hAnsi="Arial"/>
          <w:sz w:val="20"/>
          <w:szCs w:val="20"/>
          <w:color w:val="auto"/>
        </w:rPr>
        <w:t xml:space="preserve">” means, at any time of determination, an amount equal to (x) the Borrowing Base most recently delivered to the Lender </w:t>
      </w:r>
      <w:r>
        <w:rPr>
          <w:rFonts w:ascii="Arial" w:cs="Arial" w:eastAsia="Arial" w:hAnsi="Arial"/>
          <w:sz w:val="20"/>
          <w:szCs w:val="20"/>
          <w:i w:val="1"/>
          <w:iCs w:val="1"/>
          <w:color w:val="auto"/>
        </w:rPr>
        <w:t>minus</w:t>
      </w:r>
      <w:r>
        <w:rPr>
          <w:rFonts w:ascii="Arial" w:cs="Arial" w:eastAsia="Arial" w:hAnsi="Arial"/>
          <w:sz w:val="20"/>
          <w:szCs w:val="20"/>
          <w:color w:val="auto"/>
        </w:rPr>
        <w:t xml:space="preserve"> (y) the aggregate Other Unsecured Indebtedness outstanding on such date.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“Adjusted EBITDA” </w:t>
      </w:r>
      <w:r>
        <w:rPr>
          <w:rFonts w:ascii="Arial" w:cs="Arial" w:eastAsia="Arial" w:hAnsi="Arial"/>
          <w:sz w:val="20"/>
          <w:szCs w:val="20"/>
          <w:color w:val="auto"/>
        </w:rPr>
        <w:t>means EBITDA</w:t>
      </w:r>
      <w:r>
        <w:rPr>
          <w:rFonts w:ascii="Arial" w:cs="Arial" w:eastAsia="Arial" w:hAnsi="Arial"/>
          <w:sz w:val="20"/>
          <w:szCs w:val="20"/>
          <w:i w:val="1"/>
          <w:iCs w:val="1"/>
          <w:color w:val="auto"/>
        </w:rPr>
        <w:t xml:space="preserve"> minus </w:t>
      </w:r>
      <w:r>
        <w:rPr>
          <w:rFonts w:ascii="Arial" w:cs="Arial" w:eastAsia="Arial" w:hAnsi="Arial"/>
          <w:sz w:val="20"/>
          <w:szCs w:val="20"/>
          <w:color w:val="auto"/>
        </w:rPr>
        <w:t>the Annual Capital Expenditure Reserve.</w:t>
      </w:r>
    </w:p>
    <w:p>
      <w:pPr>
        <w:spacing w:after="0" w:line="191"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8"/>
          <w:szCs w:val="18"/>
          <w:i w:val="1"/>
          <w:iCs w:val="1"/>
          <w:color w:val="auto"/>
        </w:rPr>
        <w:t xml:space="preserve">“Adjusted FFO” </w:t>
      </w:r>
      <w:r>
        <w:rPr>
          <w:rFonts w:ascii="Arial" w:cs="Arial" w:eastAsia="Arial" w:hAnsi="Arial"/>
          <w:sz w:val="18"/>
          <w:szCs w:val="18"/>
          <w:color w:val="auto"/>
        </w:rPr>
        <w:t>means for any period, “funds from operations” as defined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resolutions adopted by the Board of Governors of the National Association of Real Estate Investment Trusts as in effect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Adjusted FFO shall (i) be based on net income after payment of distributions to holders of preferred partnership units in Parent and distributions necessary to pay holders of preferred stock of Parent, and (ii) at all times exclude (a) charges for impairment losses from property sales,</w:t>
      </w:r>
    </w:p>
    <w:p>
      <w:pPr>
        <w:jc w:val="both"/>
        <w:ind w:left="200" w:right="219" w:firstLine="2"/>
        <w:spacing w:after="0" w:line="235" w:lineRule="auto"/>
        <w:tabs>
          <w:tab w:leader="none" w:pos="522" w:val="left"/>
        </w:tabs>
        <w:numPr>
          <w:ilvl w:val="0"/>
          <w:numId w:val="41"/>
        </w:numPr>
        <w:rPr>
          <w:rFonts w:ascii="Arial" w:cs="Arial" w:eastAsia="Arial" w:hAnsi="Arial"/>
          <w:sz w:val="20"/>
          <w:szCs w:val="20"/>
          <w:color w:val="auto"/>
        </w:rPr>
      </w:pPr>
      <w:r>
        <w:rPr>
          <w:rFonts w:ascii="Arial" w:cs="Arial" w:eastAsia="Arial" w:hAnsi="Arial"/>
          <w:sz w:val="20"/>
          <w:szCs w:val="20"/>
          <w:color w:val="auto"/>
        </w:rPr>
        <w:t>stock-based compensation, (c) write-offs or reserves of straight-line rent related to sold assets, (d) amortization of debt costs, and (e) non-recurring charges, including, without limitation, acquisition expenses, non-cash charges related to the write-off of deferred equity and financing costs and one-time charges related to the transition to self-management.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“Adjusted LIBOR” </w:t>
      </w:r>
      <w:r>
        <w:rPr>
          <w:rFonts w:ascii="Arial" w:cs="Arial" w:eastAsia="Arial" w:hAnsi="Arial"/>
          <w:sz w:val="20"/>
          <w:szCs w:val="20"/>
          <w:color w:val="auto"/>
        </w:rPr>
        <w:t>is defined in Section 1.4(b) hereof.</w:t>
      </w:r>
    </w:p>
    <w:p>
      <w:pPr>
        <w:spacing w:after="0" w:line="191" w:lineRule="exact"/>
        <w:rPr>
          <w:sz w:val="20"/>
          <w:szCs w:val="20"/>
          <w:color w:val="auto"/>
        </w:rPr>
      </w:pPr>
    </w:p>
    <w:p>
      <w:pPr>
        <w:ind w:left="200" w:right="219" w:firstLine="668"/>
        <w:spacing w:after="0" w:line="279" w:lineRule="auto"/>
        <w:rPr>
          <w:sz w:val="20"/>
          <w:szCs w:val="20"/>
          <w:color w:val="auto"/>
        </w:rPr>
      </w:pPr>
      <w:r>
        <w:rPr>
          <w:rFonts w:ascii="Arial" w:cs="Arial" w:eastAsia="Arial" w:hAnsi="Arial"/>
          <w:sz w:val="19"/>
          <w:szCs w:val="19"/>
          <w:i w:val="1"/>
          <w:iCs w:val="1"/>
          <w:color w:val="auto"/>
        </w:rPr>
        <w:t xml:space="preserve">“Administrative Agent” </w:t>
      </w:r>
      <w:r>
        <w:rPr>
          <w:rFonts w:ascii="Arial" w:cs="Arial" w:eastAsia="Arial" w:hAnsi="Arial"/>
          <w:sz w:val="19"/>
          <w:szCs w:val="19"/>
          <w:color w:val="auto"/>
        </w:rPr>
        <w:t>means KeyBank National Association, in its capacity as Administrative</w:t>
      </w:r>
      <w:r>
        <w:rPr>
          <w:rFonts w:ascii="Arial" w:cs="Arial" w:eastAsia="Arial" w:hAnsi="Arial"/>
          <w:sz w:val="19"/>
          <w:szCs w:val="19"/>
          <w:i w:val="1"/>
          <w:iCs w:val="1"/>
          <w:color w:val="auto"/>
        </w:rPr>
        <w:t xml:space="preserve"> </w:t>
      </w:r>
      <w:r>
        <w:rPr>
          <w:rFonts w:ascii="Arial" w:cs="Arial" w:eastAsia="Arial" w:hAnsi="Arial"/>
          <w:sz w:val="19"/>
          <w:szCs w:val="19"/>
          <w:color w:val="auto"/>
        </w:rPr>
        <w:t>Agent hereunder, and any successor in such capacity pursuant to Section 11.6 hereof.</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2" w:name="page63"/>
    <w:bookmarkEnd w:id="62"/>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“Administrative Questionnaire” </w:t>
      </w:r>
      <w:r>
        <w:rPr>
          <w:rFonts w:ascii="Arial" w:cs="Arial" w:eastAsia="Arial" w:hAnsi="Arial"/>
          <w:sz w:val="20"/>
          <w:szCs w:val="20"/>
          <w:color w:val="auto"/>
        </w:rPr>
        <w:t>means an Administrative Questionnaire in a form supplied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Agent.</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“Affected Financial Institution” </w:t>
      </w:r>
      <w:r>
        <w:rPr>
          <w:rFonts w:ascii="Arial" w:cs="Arial" w:eastAsia="Arial" w:hAnsi="Arial"/>
          <w:sz w:val="20"/>
          <w:szCs w:val="20"/>
          <w:color w:val="auto"/>
        </w:rPr>
        <w:t>means (a) any EEA Financial Institution or (b) any UK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Institution.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“Affected Lender” </w:t>
      </w:r>
      <w:r>
        <w:rPr>
          <w:rFonts w:ascii="Arial" w:cs="Arial" w:eastAsia="Arial" w:hAnsi="Arial"/>
          <w:sz w:val="20"/>
          <w:szCs w:val="20"/>
          <w:color w:val="auto"/>
        </w:rPr>
        <w:t>is defined in Section 1.13 hereof.</w:t>
      </w:r>
    </w:p>
    <w:p>
      <w:pPr>
        <w:spacing w:after="0" w:line="191" w:lineRule="exact"/>
        <w:rPr>
          <w:sz w:val="20"/>
          <w:szCs w:val="20"/>
          <w:color w:val="auto"/>
        </w:rPr>
      </w:pPr>
    </w:p>
    <w:p>
      <w:pPr>
        <w:jc w:val="both"/>
        <w:ind w:left="200" w:right="219" w:firstLine="594"/>
        <w:spacing w:after="0" w:line="264"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any Person directly or indirectly controlling or controlled by, or under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Arial" w:cs="Arial" w:eastAsia="Arial" w:hAnsi="Arial"/>
          <w:sz w:val="18"/>
          <w:szCs w:val="18"/>
          <w:i w:val="1"/>
          <w:iCs w:val="1"/>
          <w:color w:val="auto"/>
        </w:rPr>
        <w:t>provided that</w:t>
      </w:r>
      <w:r>
        <w:rPr>
          <w:rFonts w:ascii="Arial" w:cs="Arial" w:eastAsia="Arial" w:hAnsi="Arial"/>
          <w:sz w:val="18"/>
          <w:szCs w:val="18"/>
          <w:color w:val="auto"/>
        </w:rPr>
        <w:t>,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“Aggregate Term Facility Amount” </w:t>
      </w:r>
      <w:r>
        <w:rPr>
          <w:rFonts w:ascii="Arial" w:cs="Arial" w:eastAsia="Arial" w:hAnsi="Arial"/>
          <w:sz w:val="20"/>
          <w:szCs w:val="20"/>
          <w:color w:val="auto"/>
        </w:rPr>
        <w:t>means $80,000,000.00.</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“Agreement” </w:t>
      </w:r>
      <w:r>
        <w:rPr>
          <w:rFonts w:ascii="Arial" w:cs="Arial" w:eastAsia="Arial" w:hAnsi="Arial"/>
          <w:sz w:val="20"/>
          <w:szCs w:val="20"/>
          <w:color w:val="auto"/>
        </w:rPr>
        <w:t>means this Credit Agreement, as the same may be amended, modified, restated or</w:t>
      </w:r>
      <w:r>
        <w:rPr>
          <w:rFonts w:ascii="Arial" w:cs="Arial" w:eastAsia="Arial" w:hAnsi="Arial"/>
          <w:sz w:val="20"/>
          <w:szCs w:val="20"/>
          <w:i w:val="1"/>
          <w:iCs w:val="1"/>
          <w:color w:val="auto"/>
        </w:rPr>
        <w:t xml:space="preserve"> </w:t>
      </w:r>
      <w:r>
        <w:rPr>
          <w:rFonts w:ascii="Arial" w:cs="Arial" w:eastAsia="Arial" w:hAnsi="Arial"/>
          <w:sz w:val="20"/>
          <w:szCs w:val="20"/>
          <w:color w:val="auto"/>
        </w:rPr>
        <w:t>supplemented from time to time pursuant to the terms hereof.</w:t>
      </w:r>
    </w:p>
    <w:p>
      <w:pPr>
        <w:spacing w:after="0" w:line="159" w:lineRule="exact"/>
        <w:rPr>
          <w:sz w:val="20"/>
          <w:szCs w:val="20"/>
          <w:color w:val="auto"/>
        </w:rPr>
      </w:pPr>
    </w:p>
    <w:p>
      <w:pPr>
        <w:jc w:val="both"/>
        <w:ind w:left="200" w:right="219" w:firstLine="594"/>
        <w:spacing w:after="0" w:line="251" w:lineRule="auto"/>
        <w:rPr>
          <w:sz w:val="20"/>
          <w:szCs w:val="20"/>
          <w:color w:val="auto"/>
        </w:rPr>
      </w:pPr>
      <w:r>
        <w:rPr>
          <w:rFonts w:ascii="Arial" w:cs="Arial" w:eastAsia="Arial" w:hAnsi="Arial"/>
          <w:sz w:val="19"/>
          <w:szCs w:val="19"/>
          <w:i w:val="1"/>
          <w:iCs w:val="1"/>
          <w:color w:val="auto"/>
        </w:rPr>
        <w:t xml:space="preserve">“Annual Capital Expenditure Reserve” </w:t>
      </w:r>
      <w:r>
        <w:rPr>
          <w:rFonts w:ascii="Arial" w:cs="Arial" w:eastAsia="Arial" w:hAnsi="Arial"/>
          <w:sz w:val="19"/>
          <w:szCs w:val="19"/>
          <w:color w:val="auto"/>
        </w:rPr>
        <w:t>means the sum of (a) an amount equal to the product of (i)</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$0.15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aggregate net rentable area, determined on a square footage basis, for retail and industrial properties,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an amount equal to the product of (i) $0.50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(ii) the aggregate net rentable area, determined on a square footage basis, for office properties;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this definition of Annual Capital Expenditure Reserve shall not apply to any Land Assets or any Ground Leases;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is not obligated for Capital Expenditures.</w:t>
      </w:r>
    </w:p>
    <w:p>
      <w:pPr>
        <w:spacing w:after="0" w:line="164" w:lineRule="exact"/>
        <w:rPr>
          <w:sz w:val="20"/>
          <w:szCs w:val="20"/>
          <w:color w:val="auto"/>
        </w:rPr>
      </w:pPr>
    </w:p>
    <w:p>
      <w:pPr>
        <w:jc w:val="both"/>
        <w:ind w:left="200" w:right="219" w:firstLine="594"/>
        <w:spacing w:after="0" w:line="308" w:lineRule="auto"/>
        <w:rPr>
          <w:sz w:val="20"/>
          <w:szCs w:val="20"/>
          <w:color w:val="auto"/>
        </w:rPr>
      </w:pPr>
      <w:r>
        <w:rPr>
          <w:rFonts w:ascii="Arial" w:cs="Arial" w:eastAsia="Arial" w:hAnsi="Arial"/>
          <w:sz w:val="18"/>
          <w:szCs w:val="18"/>
          <w:i w:val="1"/>
          <w:iCs w:val="1"/>
          <w:color w:val="auto"/>
        </w:rPr>
        <w:t xml:space="preserve">“Anti-Corruption Law” </w:t>
      </w:r>
      <w:r>
        <w:rPr>
          <w:rFonts w:ascii="Arial" w:cs="Arial" w:eastAsia="Arial" w:hAnsi="Arial"/>
          <w:sz w:val="18"/>
          <w:szCs w:val="18"/>
          <w:color w:val="auto"/>
        </w:rPr>
        <w:t>means the FCPA and any law, rule or regulation of any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or relating to bribery or corruption that are applicable to Borrower or any Subsidiary or Affiliate.</w:t>
      </w:r>
    </w:p>
    <w:p>
      <w:pPr>
        <w:spacing w:after="0" w:line="112"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“Applicable Margin” </w:t>
      </w:r>
      <w:r>
        <w:rPr>
          <w:rFonts w:ascii="Arial" w:cs="Arial" w:eastAsia="Arial" w:hAnsi="Arial"/>
          <w:sz w:val="20"/>
          <w:szCs w:val="20"/>
          <w:color w:val="auto"/>
        </w:rPr>
        <w:t>means, with respect to the Closing Date Term Loan, until the first Pricing</w:t>
      </w:r>
      <w:r>
        <w:rPr>
          <w:rFonts w:ascii="Arial" w:cs="Arial" w:eastAsia="Arial" w:hAnsi="Arial"/>
          <w:sz w:val="20"/>
          <w:szCs w:val="20"/>
          <w:i w:val="1"/>
          <w:iCs w:val="1"/>
          <w:color w:val="auto"/>
        </w:rPr>
        <w:t xml:space="preserve"> </w:t>
      </w:r>
      <w:r>
        <w:rPr>
          <w:rFonts w:ascii="Arial" w:cs="Arial" w:eastAsia="Arial" w:hAnsi="Arial"/>
          <w:sz w:val="20"/>
          <w:szCs w:val="20"/>
          <w:color w:val="auto"/>
        </w:rPr>
        <w:t>Date, the rates shown opposite Level II below, and thereafter, from one Pricing Date to the next the rates per annum determined in accordance with the following schedule: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3" w:name="page64"/>
    <w:bookmarkEnd w:id="63"/>
    <w:p>
      <w:pPr>
        <w:spacing w:after="0" w:line="109"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OTAL</w:t>
            </w:r>
            <w:r>
              <w:rPr>
                <w:rFonts w:ascii="Arial" w:cs="Arial" w:eastAsia="Arial" w:hAnsi="Arial"/>
                <w:sz w:val="20"/>
                <w:szCs w:val="20"/>
                <w:color w:val="auto"/>
              </w:rPr>
              <w:t xml:space="preserve"> I</w:t>
            </w:r>
            <w:r>
              <w:rPr>
                <w:rFonts w:ascii="Arial" w:cs="Arial" w:eastAsia="Arial" w:hAnsi="Arial"/>
                <w:sz w:val="13"/>
                <w:szCs w:val="13"/>
                <w:color w:val="auto"/>
              </w:rPr>
              <w:t>NDEBTEDNESS TO</w:t>
            </w:r>
          </w:p>
        </w:tc>
        <w:tc>
          <w:tcPr>
            <w:tcW w:w="2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2400" w:type="dxa"/>
            <w:vAlign w:val="bottom"/>
          </w:tcPr>
          <w:p>
            <w:pPr>
              <w:jc w:val="center"/>
              <w:spacing w:after="0" w:line="223" w:lineRule="exact"/>
              <w:rPr>
                <w:sz w:val="20"/>
                <w:szCs w:val="20"/>
                <w:color w:val="auto"/>
              </w:rPr>
            </w:pPr>
            <w:r>
              <w:rPr>
                <w:rFonts w:ascii="Arial" w:cs="Arial" w:eastAsia="Arial" w:hAnsi="Arial"/>
                <w:sz w:val="20"/>
                <w:szCs w:val="20"/>
                <w:color w:val="auto"/>
                <w:w w:val="99"/>
              </w:rPr>
              <w:t>T</w:t>
            </w:r>
            <w:r>
              <w:rPr>
                <w:rFonts w:ascii="Arial" w:cs="Arial" w:eastAsia="Arial" w:hAnsi="Arial"/>
                <w:sz w:val="13"/>
                <w:szCs w:val="13"/>
                <w:color w:val="auto"/>
                <w:w w:val="99"/>
              </w:rPr>
              <w:t>OTAL</w:t>
            </w:r>
            <w:r>
              <w:rPr>
                <w:rFonts w:ascii="Arial" w:cs="Arial" w:eastAsia="Arial" w:hAnsi="Arial"/>
                <w:sz w:val="20"/>
                <w:szCs w:val="20"/>
                <w:color w:val="auto"/>
                <w:w w:val="99"/>
              </w:rPr>
              <w:t xml:space="preserve"> A</w:t>
            </w:r>
            <w:r>
              <w:rPr>
                <w:rFonts w:ascii="Arial" w:cs="Arial" w:eastAsia="Arial" w:hAnsi="Arial"/>
                <w:sz w:val="13"/>
                <w:szCs w:val="13"/>
                <w:color w:val="auto"/>
                <w:w w:val="99"/>
              </w:rPr>
              <w:t>SSET</w:t>
            </w:r>
            <w:r>
              <w:rPr>
                <w:rFonts w:ascii="Arial" w:cs="Arial" w:eastAsia="Arial" w:hAnsi="Arial"/>
                <w:sz w:val="20"/>
                <w:szCs w:val="20"/>
                <w:color w:val="auto"/>
                <w:w w:val="99"/>
              </w:rPr>
              <w:t xml:space="preserve"> V</w:t>
            </w:r>
            <w:r>
              <w:rPr>
                <w:rFonts w:ascii="Arial" w:cs="Arial" w:eastAsia="Arial" w:hAnsi="Arial"/>
                <w:sz w:val="13"/>
                <w:szCs w:val="13"/>
                <w:color w:val="auto"/>
                <w:w w:val="99"/>
              </w:rPr>
              <w:t>ALUE</w:t>
            </w:r>
            <w:r>
              <w:rPr>
                <w:rFonts w:ascii="Arial" w:cs="Arial" w:eastAsia="Arial" w:hAnsi="Arial"/>
                <w:sz w:val="20"/>
                <w:szCs w:val="20"/>
                <w:color w:val="auto"/>
                <w:w w:val="99"/>
              </w:rPr>
              <w:t xml:space="preserve"> R</w:t>
            </w:r>
            <w:r>
              <w:rPr>
                <w:rFonts w:ascii="Arial" w:cs="Arial" w:eastAsia="Arial" w:hAnsi="Arial"/>
                <w:sz w:val="13"/>
                <w:szCs w:val="13"/>
                <w:color w:val="auto"/>
                <w:w w:val="99"/>
              </w:rPr>
              <w:t>ATIO</w:t>
            </w:r>
          </w:p>
        </w:tc>
        <w:tc>
          <w:tcPr>
            <w:tcW w:w="2300" w:type="dxa"/>
            <w:vAlign w:val="bottom"/>
          </w:tcPr>
          <w:p>
            <w:pPr>
              <w:jc w:val="center"/>
              <w:spacing w:after="0" w:line="223" w:lineRule="exact"/>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PPLICABLE</w:t>
            </w:r>
            <w:r>
              <w:rPr>
                <w:rFonts w:ascii="Arial" w:cs="Arial" w:eastAsia="Arial" w:hAnsi="Arial"/>
                <w:sz w:val="20"/>
                <w:szCs w:val="20"/>
                <w:color w:val="auto"/>
              </w:rPr>
              <w:t xml:space="preserve"> M</w:t>
            </w:r>
            <w:r>
              <w:rPr>
                <w:rFonts w:ascii="Arial" w:cs="Arial" w:eastAsia="Arial" w:hAnsi="Arial"/>
                <w:sz w:val="13"/>
                <w:szCs w:val="13"/>
                <w:color w:val="auto"/>
              </w:rPr>
              <w:t>ARGIN FOR</w:t>
            </w:r>
          </w:p>
        </w:tc>
        <w:tc>
          <w:tcPr>
            <w:tcW w:w="2420" w:type="dxa"/>
            <w:vAlign w:val="bottom"/>
          </w:tcPr>
          <w:p>
            <w:pPr>
              <w:jc w:val="center"/>
              <w:ind w:left="1"/>
              <w:spacing w:after="0" w:line="223" w:lineRule="exact"/>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PPLICABLE</w:t>
            </w:r>
            <w:r>
              <w:rPr>
                <w:rFonts w:ascii="Arial" w:cs="Arial" w:eastAsia="Arial" w:hAnsi="Arial"/>
                <w:sz w:val="20"/>
                <w:szCs w:val="20"/>
                <w:color w:val="auto"/>
              </w:rPr>
              <w:t xml:space="preserve"> M</w:t>
            </w:r>
            <w:r>
              <w:rPr>
                <w:rFonts w:ascii="Arial" w:cs="Arial" w:eastAsia="Arial" w:hAnsi="Arial"/>
                <w:sz w:val="13"/>
                <w:szCs w:val="13"/>
                <w:color w:val="auto"/>
              </w:rPr>
              <w:t>ARGIN FOR</w:t>
            </w:r>
          </w:p>
        </w:tc>
      </w:tr>
      <w:tr>
        <w:trPr>
          <w:trHeight w:val="250"/>
        </w:trPr>
        <w:tc>
          <w:tcPr>
            <w:tcW w:w="600" w:type="dxa"/>
            <w:vAlign w:val="bottom"/>
          </w:tcPr>
          <w:p>
            <w:pPr>
              <w:jc w:val="center"/>
              <w:ind w:right="41"/>
              <w:spacing w:after="0"/>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EVEL</w:t>
            </w:r>
          </w:p>
        </w:tc>
        <w:tc>
          <w:tcPr>
            <w:tcW w:w="2400" w:type="dxa"/>
            <w:vAlign w:val="bottom"/>
          </w:tcPr>
          <w:p>
            <w:pPr>
              <w:jc w:val="center"/>
              <w:spacing w:after="0"/>
              <w:rPr>
                <w:sz w:val="20"/>
                <w:szCs w:val="20"/>
                <w:color w:val="auto"/>
              </w:rPr>
            </w:pPr>
            <w:r>
              <w:rPr>
                <w:rFonts w:ascii="Arial" w:cs="Arial" w:eastAsia="Arial" w:hAnsi="Arial"/>
                <w:sz w:val="14"/>
                <w:szCs w:val="14"/>
                <w:color w:val="auto"/>
                <w:w w:val="95"/>
              </w:rPr>
              <w:t xml:space="preserve">FOR </w:t>
            </w:r>
            <w:r>
              <w:rPr>
                <w:rFonts w:ascii="Arial" w:cs="Arial" w:eastAsia="Arial" w:hAnsi="Arial"/>
                <w:sz w:val="19"/>
                <w:szCs w:val="19"/>
                <w:color w:val="auto"/>
                <w:w w:val="95"/>
              </w:rPr>
              <w:t>S</w:t>
            </w:r>
            <w:r>
              <w:rPr>
                <w:rFonts w:ascii="Arial" w:cs="Arial" w:eastAsia="Arial" w:hAnsi="Arial"/>
                <w:sz w:val="14"/>
                <w:szCs w:val="14"/>
                <w:color w:val="auto"/>
                <w:w w:val="95"/>
              </w:rPr>
              <w:t xml:space="preserve">UCH </w:t>
            </w:r>
            <w:r>
              <w:rPr>
                <w:rFonts w:ascii="Arial" w:cs="Arial" w:eastAsia="Arial" w:hAnsi="Arial"/>
                <w:sz w:val="19"/>
                <w:szCs w:val="19"/>
                <w:color w:val="auto"/>
                <w:w w:val="95"/>
              </w:rPr>
              <w:t>P</w:t>
            </w:r>
            <w:r>
              <w:rPr>
                <w:rFonts w:ascii="Arial" w:cs="Arial" w:eastAsia="Arial" w:hAnsi="Arial"/>
                <w:sz w:val="14"/>
                <w:szCs w:val="14"/>
                <w:color w:val="auto"/>
                <w:w w:val="95"/>
              </w:rPr>
              <w:t xml:space="preserve">RICING </w:t>
            </w:r>
            <w:r>
              <w:rPr>
                <w:rFonts w:ascii="Arial" w:cs="Arial" w:eastAsia="Arial" w:hAnsi="Arial"/>
                <w:sz w:val="19"/>
                <w:szCs w:val="19"/>
                <w:color w:val="auto"/>
                <w:w w:val="95"/>
              </w:rPr>
              <w:t>D</w:t>
            </w:r>
            <w:r>
              <w:rPr>
                <w:rFonts w:ascii="Arial" w:cs="Arial" w:eastAsia="Arial" w:hAnsi="Arial"/>
                <w:sz w:val="14"/>
                <w:szCs w:val="14"/>
                <w:color w:val="auto"/>
                <w:w w:val="95"/>
              </w:rPr>
              <w:t>ATE</w:t>
            </w:r>
          </w:p>
        </w:tc>
        <w:tc>
          <w:tcPr>
            <w:tcW w:w="2300" w:type="dxa"/>
            <w:vAlign w:val="bottom"/>
          </w:tcPr>
          <w:p>
            <w:pPr>
              <w:jc w:val="center"/>
              <w:spacing w:after="0"/>
              <w:rPr>
                <w:sz w:val="20"/>
                <w:szCs w:val="20"/>
                <w:color w:val="auto"/>
              </w:rPr>
            </w:pPr>
            <w:r>
              <w:rPr>
                <w:rFonts w:ascii="Arial" w:cs="Arial" w:eastAsia="Arial" w:hAnsi="Arial"/>
                <w:sz w:val="20"/>
                <w:szCs w:val="20"/>
                <w:color w:val="auto"/>
              </w:rPr>
              <w:t>B</w:t>
            </w:r>
            <w:r>
              <w:rPr>
                <w:rFonts w:ascii="Arial" w:cs="Arial" w:eastAsia="Arial" w:hAnsi="Arial"/>
                <w:sz w:val="13"/>
                <w:szCs w:val="13"/>
                <w:color w:val="auto"/>
              </w:rPr>
              <w:t>ASE</w:t>
            </w:r>
            <w:r>
              <w:rPr>
                <w:rFonts w:ascii="Arial" w:cs="Arial" w:eastAsia="Arial" w:hAnsi="Arial"/>
                <w:sz w:val="20"/>
                <w:szCs w:val="20"/>
                <w:color w:val="auto"/>
              </w:rPr>
              <w:t xml:space="preserve"> R</w:t>
            </w:r>
            <w:r>
              <w:rPr>
                <w:rFonts w:ascii="Arial" w:cs="Arial" w:eastAsia="Arial" w:hAnsi="Arial"/>
                <w:sz w:val="13"/>
                <w:szCs w:val="13"/>
                <w:color w:val="auto"/>
              </w:rPr>
              <w:t>ATE</w:t>
            </w:r>
            <w:r>
              <w:rPr>
                <w:rFonts w:ascii="Arial" w:cs="Arial" w:eastAsia="Arial" w:hAnsi="Arial"/>
                <w:sz w:val="20"/>
                <w:szCs w:val="20"/>
                <w:color w:val="auto"/>
              </w:rPr>
              <w:t xml:space="preserve"> L</w:t>
            </w:r>
            <w:r>
              <w:rPr>
                <w:rFonts w:ascii="Arial" w:cs="Arial" w:eastAsia="Arial" w:hAnsi="Arial"/>
                <w:sz w:val="13"/>
                <w:szCs w:val="13"/>
                <w:color w:val="auto"/>
              </w:rPr>
              <w:t>OANS SHALL BE</w:t>
            </w:r>
            <w:r>
              <w:rPr>
                <w:rFonts w:ascii="Arial" w:cs="Arial" w:eastAsia="Arial" w:hAnsi="Arial"/>
                <w:sz w:val="20"/>
                <w:szCs w:val="20"/>
                <w:color w:val="auto"/>
              </w:rPr>
              <w:t>:</w:t>
            </w:r>
          </w:p>
        </w:tc>
        <w:tc>
          <w:tcPr>
            <w:tcW w:w="2420" w:type="dxa"/>
            <w:vAlign w:val="bottom"/>
          </w:tcPr>
          <w:p>
            <w:pPr>
              <w:jc w:val="center"/>
              <w:spacing w:after="0"/>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URODOLLAR</w:t>
            </w:r>
            <w:r>
              <w:rPr>
                <w:rFonts w:ascii="Arial" w:cs="Arial" w:eastAsia="Arial" w:hAnsi="Arial"/>
                <w:sz w:val="20"/>
                <w:szCs w:val="20"/>
                <w:color w:val="auto"/>
              </w:rPr>
              <w:t xml:space="preserve"> L</w:t>
            </w:r>
            <w:r>
              <w:rPr>
                <w:rFonts w:ascii="Arial" w:cs="Arial" w:eastAsia="Arial" w:hAnsi="Arial"/>
                <w:sz w:val="13"/>
                <w:szCs w:val="13"/>
                <w:color w:val="auto"/>
              </w:rPr>
              <w:t>OANS</w:t>
            </w:r>
            <w:r>
              <w:rPr>
                <w:rFonts w:ascii="Arial" w:cs="Arial" w:eastAsia="Arial" w:hAnsi="Arial"/>
                <w:sz w:val="20"/>
                <w:szCs w:val="20"/>
                <w:color w:val="auto"/>
              </w:rPr>
              <w:t xml:space="preserve"> S</w:t>
            </w:r>
            <w:r>
              <w:rPr>
                <w:rFonts w:ascii="Arial" w:cs="Arial" w:eastAsia="Arial" w:hAnsi="Arial"/>
                <w:sz w:val="13"/>
                <w:szCs w:val="13"/>
                <w:color w:val="auto"/>
              </w:rPr>
              <w:t>HALL</w:t>
            </w:r>
            <w:r>
              <w:rPr>
                <w:rFonts w:ascii="Arial" w:cs="Arial" w:eastAsia="Arial" w:hAnsi="Arial"/>
                <w:sz w:val="20"/>
                <w:szCs w:val="20"/>
                <w:color w:val="auto"/>
              </w:rPr>
              <w:t xml:space="preserve"> B</w:t>
            </w:r>
            <w:r>
              <w:rPr>
                <w:rFonts w:ascii="Arial" w:cs="Arial" w:eastAsia="Arial" w:hAnsi="Arial"/>
                <w:sz w:val="13"/>
                <w:szCs w:val="13"/>
                <w:color w:val="auto"/>
              </w:rPr>
              <w:t>E</w:t>
            </w:r>
            <w:r>
              <w:rPr>
                <w:rFonts w:ascii="Arial" w:cs="Arial" w:eastAsia="Arial" w:hAnsi="Arial"/>
                <w:sz w:val="20"/>
                <w:szCs w:val="20"/>
                <w:color w:val="auto"/>
              </w:rPr>
              <w:t>:</w:t>
            </w:r>
          </w:p>
        </w:tc>
      </w:tr>
      <w:tr>
        <w:trPr>
          <w:trHeight w:val="554"/>
        </w:trPr>
        <w:tc>
          <w:tcPr>
            <w:tcW w:w="600" w:type="dxa"/>
            <w:vAlign w:val="bottom"/>
          </w:tcPr>
          <w:p>
            <w:pPr>
              <w:jc w:val="center"/>
              <w:ind w:right="41"/>
              <w:spacing w:after="0"/>
              <w:rPr>
                <w:sz w:val="20"/>
                <w:szCs w:val="20"/>
                <w:color w:val="auto"/>
              </w:rPr>
            </w:pPr>
            <w:r>
              <w:rPr>
                <w:rFonts w:ascii="Arial" w:cs="Arial" w:eastAsia="Arial" w:hAnsi="Arial"/>
                <w:sz w:val="20"/>
                <w:szCs w:val="20"/>
                <w:color w:val="auto"/>
              </w:rPr>
              <w:t>I</w:t>
            </w:r>
          </w:p>
        </w:tc>
        <w:tc>
          <w:tcPr>
            <w:tcW w:w="2400" w:type="dxa"/>
            <w:vAlign w:val="bottom"/>
          </w:tcPr>
          <w:p>
            <w:pPr>
              <w:ind w:left="140"/>
              <w:spacing w:after="0"/>
              <w:rPr>
                <w:sz w:val="20"/>
                <w:szCs w:val="20"/>
                <w:color w:val="auto"/>
              </w:rPr>
            </w:pPr>
            <w:r>
              <w:rPr>
                <w:rFonts w:ascii="Arial" w:cs="Arial" w:eastAsia="Arial" w:hAnsi="Arial"/>
                <w:sz w:val="20"/>
                <w:szCs w:val="20"/>
                <w:color w:val="auto"/>
                <w:w w:val="96"/>
              </w:rPr>
              <w:t>Less than or equal to 0.40</w:t>
            </w:r>
          </w:p>
        </w:tc>
        <w:tc>
          <w:tcPr>
            <w:tcW w:w="230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2420" w:type="dxa"/>
            <w:vAlign w:val="bottom"/>
          </w:tcPr>
          <w:p>
            <w:pPr>
              <w:jc w:val="center"/>
              <w:spacing w:after="0"/>
              <w:rPr>
                <w:sz w:val="20"/>
                <w:szCs w:val="20"/>
                <w:color w:val="auto"/>
              </w:rPr>
            </w:pPr>
            <w:r>
              <w:rPr>
                <w:rFonts w:ascii="Arial" w:cs="Arial" w:eastAsia="Arial" w:hAnsi="Arial"/>
                <w:sz w:val="20"/>
                <w:szCs w:val="20"/>
                <w:color w:val="auto"/>
                <w:w w:val="88"/>
              </w:rPr>
              <w:t>1.25%</w:t>
            </w:r>
          </w:p>
        </w:tc>
      </w:tr>
      <w:tr>
        <w:trPr>
          <w:trHeight w:val="250"/>
        </w:trPr>
        <w:tc>
          <w:tcPr>
            <w:tcW w:w="600" w:type="dxa"/>
            <w:vAlign w:val="bottom"/>
          </w:tcPr>
          <w:p>
            <w:pPr>
              <w:spacing w:after="0"/>
              <w:rPr>
                <w:sz w:val="21"/>
                <w:szCs w:val="21"/>
                <w:color w:val="auto"/>
              </w:rPr>
            </w:pPr>
          </w:p>
        </w:tc>
        <w:tc>
          <w:tcPr>
            <w:tcW w:w="2400" w:type="dxa"/>
            <w:vAlign w:val="bottom"/>
          </w:tcPr>
          <w:p>
            <w:pPr>
              <w:ind w:left="140"/>
              <w:spacing w:after="0"/>
              <w:rPr>
                <w:sz w:val="20"/>
                <w:szCs w:val="20"/>
                <w:color w:val="auto"/>
              </w:rPr>
            </w:pPr>
            <w:r>
              <w:rPr>
                <w:rFonts w:ascii="Arial" w:cs="Arial" w:eastAsia="Arial" w:hAnsi="Arial"/>
                <w:sz w:val="20"/>
                <w:szCs w:val="20"/>
                <w:color w:val="auto"/>
              </w:rPr>
              <w:t>to 1.00</w:t>
            </w:r>
          </w:p>
        </w:tc>
        <w:tc>
          <w:tcPr>
            <w:tcW w:w="23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54"/>
        </w:trPr>
        <w:tc>
          <w:tcPr>
            <w:tcW w:w="600" w:type="dxa"/>
            <w:vAlign w:val="bottom"/>
          </w:tcPr>
          <w:p>
            <w:pPr>
              <w:jc w:val="center"/>
              <w:ind w:right="41"/>
              <w:spacing w:after="0"/>
              <w:rPr>
                <w:sz w:val="20"/>
                <w:szCs w:val="20"/>
                <w:color w:val="auto"/>
              </w:rPr>
            </w:pPr>
            <w:r>
              <w:rPr>
                <w:rFonts w:ascii="Arial" w:cs="Arial" w:eastAsia="Arial" w:hAnsi="Arial"/>
                <w:sz w:val="20"/>
                <w:szCs w:val="20"/>
                <w:color w:val="auto"/>
              </w:rPr>
              <w:t>II</w:t>
            </w:r>
          </w:p>
        </w:tc>
        <w:tc>
          <w:tcPr>
            <w:tcW w:w="2400" w:type="dxa"/>
            <w:vAlign w:val="bottom"/>
          </w:tcPr>
          <w:p>
            <w:pPr>
              <w:ind w:left="140"/>
              <w:spacing w:after="0"/>
              <w:rPr>
                <w:sz w:val="20"/>
                <w:szCs w:val="20"/>
                <w:color w:val="auto"/>
              </w:rPr>
            </w:pPr>
            <w:r>
              <w:rPr>
                <w:rFonts w:ascii="Arial" w:cs="Arial" w:eastAsia="Arial" w:hAnsi="Arial"/>
                <w:sz w:val="20"/>
                <w:szCs w:val="20"/>
                <w:color w:val="auto"/>
                <w:w w:val="96"/>
              </w:rPr>
              <w:t>Less than or equal to 0.45</w:t>
            </w:r>
          </w:p>
        </w:tc>
        <w:tc>
          <w:tcPr>
            <w:tcW w:w="2300" w:type="dxa"/>
            <w:vAlign w:val="bottom"/>
          </w:tcPr>
          <w:p>
            <w:pPr>
              <w:jc w:val="center"/>
              <w:spacing w:after="0"/>
              <w:rPr>
                <w:sz w:val="20"/>
                <w:szCs w:val="20"/>
                <w:color w:val="auto"/>
              </w:rPr>
            </w:pPr>
            <w:r>
              <w:rPr>
                <w:rFonts w:ascii="Arial" w:cs="Arial" w:eastAsia="Arial" w:hAnsi="Arial"/>
                <w:sz w:val="20"/>
                <w:szCs w:val="20"/>
                <w:color w:val="auto"/>
                <w:w w:val="88"/>
              </w:rPr>
              <w:t>0.30%</w:t>
            </w:r>
          </w:p>
        </w:tc>
        <w:tc>
          <w:tcPr>
            <w:tcW w:w="2420" w:type="dxa"/>
            <w:vAlign w:val="bottom"/>
          </w:tcPr>
          <w:p>
            <w:pPr>
              <w:jc w:val="center"/>
              <w:spacing w:after="0"/>
              <w:rPr>
                <w:sz w:val="20"/>
                <w:szCs w:val="20"/>
                <w:color w:val="auto"/>
              </w:rPr>
            </w:pPr>
            <w:r>
              <w:rPr>
                <w:rFonts w:ascii="Arial" w:cs="Arial" w:eastAsia="Arial" w:hAnsi="Arial"/>
                <w:sz w:val="20"/>
                <w:szCs w:val="20"/>
                <w:color w:val="auto"/>
                <w:w w:val="88"/>
              </w:rPr>
              <w:t>1.30%</w:t>
            </w:r>
          </w:p>
        </w:tc>
      </w:tr>
      <w:tr>
        <w:trPr>
          <w:trHeight w:val="223"/>
        </w:trPr>
        <w:tc>
          <w:tcPr>
            <w:tcW w:w="600" w:type="dxa"/>
            <w:vAlign w:val="bottom"/>
          </w:tcPr>
          <w:p>
            <w:pPr>
              <w:spacing w:after="0"/>
              <w:rPr>
                <w:sz w:val="19"/>
                <w:szCs w:val="19"/>
                <w:color w:val="auto"/>
              </w:rPr>
            </w:pPr>
          </w:p>
        </w:tc>
        <w:tc>
          <w:tcPr>
            <w:tcW w:w="2400" w:type="dxa"/>
            <w:vAlign w:val="bottom"/>
          </w:tcPr>
          <w:p>
            <w:pPr>
              <w:ind w:left="140"/>
              <w:spacing w:after="0" w:line="223" w:lineRule="exact"/>
              <w:rPr>
                <w:sz w:val="20"/>
                <w:szCs w:val="20"/>
                <w:color w:val="auto"/>
              </w:rPr>
            </w:pPr>
            <w:r>
              <w:rPr>
                <w:rFonts w:ascii="Arial" w:cs="Arial" w:eastAsia="Arial" w:hAnsi="Arial"/>
                <w:sz w:val="20"/>
                <w:szCs w:val="20"/>
                <w:color w:val="auto"/>
              </w:rPr>
              <w:t>to 1.00, but greater than</w:t>
            </w:r>
          </w:p>
        </w:tc>
        <w:tc>
          <w:tcPr>
            <w:tcW w:w="2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50"/>
        </w:trPr>
        <w:tc>
          <w:tcPr>
            <w:tcW w:w="600" w:type="dxa"/>
            <w:vAlign w:val="bottom"/>
          </w:tcPr>
          <w:p>
            <w:pPr>
              <w:spacing w:after="0"/>
              <w:rPr>
                <w:sz w:val="21"/>
                <w:szCs w:val="21"/>
                <w:color w:val="auto"/>
              </w:rPr>
            </w:pPr>
          </w:p>
        </w:tc>
        <w:tc>
          <w:tcPr>
            <w:tcW w:w="2400" w:type="dxa"/>
            <w:vAlign w:val="bottom"/>
          </w:tcPr>
          <w:p>
            <w:pPr>
              <w:ind w:left="140"/>
              <w:spacing w:after="0"/>
              <w:rPr>
                <w:sz w:val="20"/>
                <w:szCs w:val="20"/>
                <w:color w:val="auto"/>
              </w:rPr>
            </w:pPr>
            <w:r>
              <w:rPr>
                <w:rFonts w:ascii="Arial" w:cs="Arial" w:eastAsia="Arial" w:hAnsi="Arial"/>
                <w:sz w:val="20"/>
                <w:szCs w:val="20"/>
                <w:color w:val="auto"/>
              </w:rPr>
              <w:t>0.40 to 1.00</w:t>
            </w:r>
          </w:p>
        </w:tc>
        <w:tc>
          <w:tcPr>
            <w:tcW w:w="23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54"/>
        </w:trPr>
        <w:tc>
          <w:tcPr>
            <w:tcW w:w="600" w:type="dxa"/>
            <w:vAlign w:val="bottom"/>
          </w:tcPr>
          <w:p>
            <w:pPr>
              <w:jc w:val="center"/>
              <w:ind w:right="61"/>
              <w:spacing w:after="0"/>
              <w:rPr>
                <w:sz w:val="20"/>
                <w:szCs w:val="20"/>
                <w:color w:val="auto"/>
              </w:rPr>
            </w:pPr>
            <w:r>
              <w:rPr>
                <w:rFonts w:ascii="Arial" w:cs="Arial" w:eastAsia="Arial" w:hAnsi="Arial"/>
                <w:sz w:val="20"/>
                <w:szCs w:val="20"/>
                <w:color w:val="auto"/>
              </w:rPr>
              <w:t>III</w:t>
            </w:r>
          </w:p>
        </w:tc>
        <w:tc>
          <w:tcPr>
            <w:tcW w:w="2400" w:type="dxa"/>
            <w:vAlign w:val="bottom"/>
          </w:tcPr>
          <w:p>
            <w:pPr>
              <w:ind w:left="140"/>
              <w:spacing w:after="0"/>
              <w:rPr>
                <w:sz w:val="20"/>
                <w:szCs w:val="20"/>
                <w:color w:val="auto"/>
              </w:rPr>
            </w:pPr>
            <w:r>
              <w:rPr>
                <w:rFonts w:ascii="Arial" w:cs="Arial" w:eastAsia="Arial" w:hAnsi="Arial"/>
                <w:sz w:val="20"/>
                <w:szCs w:val="20"/>
                <w:color w:val="auto"/>
                <w:w w:val="96"/>
              </w:rPr>
              <w:t>Less than or equal to 0.50</w:t>
            </w:r>
          </w:p>
        </w:tc>
        <w:tc>
          <w:tcPr>
            <w:tcW w:w="2300" w:type="dxa"/>
            <w:vAlign w:val="bottom"/>
          </w:tcPr>
          <w:p>
            <w:pPr>
              <w:jc w:val="center"/>
              <w:spacing w:after="0"/>
              <w:rPr>
                <w:sz w:val="20"/>
                <w:szCs w:val="20"/>
                <w:color w:val="auto"/>
              </w:rPr>
            </w:pPr>
            <w:r>
              <w:rPr>
                <w:rFonts w:ascii="Arial" w:cs="Arial" w:eastAsia="Arial" w:hAnsi="Arial"/>
                <w:sz w:val="20"/>
                <w:szCs w:val="20"/>
                <w:color w:val="auto"/>
                <w:w w:val="88"/>
              </w:rPr>
              <w:t>0.45%</w:t>
            </w:r>
          </w:p>
        </w:tc>
        <w:tc>
          <w:tcPr>
            <w:tcW w:w="2420" w:type="dxa"/>
            <w:vAlign w:val="bottom"/>
          </w:tcPr>
          <w:p>
            <w:pPr>
              <w:jc w:val="center"/>
              <w:spacing w:after="0"/>
              <w:rPr>
                <w:sz w:val="20"/>
                <w:szCs w:val="20"/>
                <w:color w:val="auto"/>
              </w:rPr>
            </w:pPr>
            <w:r>
              <w:rPr>
                <w:rFonts w:ascii="Arial" w:cs="Arial" w:eastAsia="Arial" w:hAnsi="Arial"/>
                <w:sz w:val="20"/>
                <w:szCs w:val="20"/>
                <w:color w:val="auto"/>
                <w:w w:val="88"/>
              </w:rPr>
              <w:t>1.45%</w:t>
            </w:r>
          </w:p>
        </w:tc>
      </w:tr>
      <w:tr>
        <w:trPr>
          <w:trHeight w:val="223"/>
        </w:trPr>
        <w:tc>
          <w:tcPr>
            <w:tcW w:w="600" w:type="dxa"/>
            <w:vAlign w:val="bottom"/>
          </w:tcPr>
          <w:p>
            <w:pPr>
              <w:spacing w:after="0"/>
              <w:rPr>
                <w:sz w:val="19"/>
                <w:szCs w:val="19"/>
                <w:color w:val="auto"/>
              </w:rPr>
            </w:pPr>
          </w:p>
        </w:tc>
        <w:tc>
          <w:tcPr>
            <w:tcW w:w="2400" w:type="dxa"/>
            <w:vAlign w:val="bottom"/>
          </w:tcPr>
          <w:p>
            <w:pPr>
              <w:ind w:left="140"/>
              <w:spacing w:after="0" w:line="223" w:lineRule="exact"/>
              <w:rPr>
                <w:sz w:val="20"/>
                <w:szCs w:val="20"/>
                <w:color w:val="auto"/>
              </w:rPr>
            </w:pPr>
            <w:r>
              <w:rPr>
                <w:rFonts w:ascii="Arial" w:cs="Arial" w:eastAsia="Arial" w:hAnsi="Arial"/>
                <w:sz w:val="20"/>
                <w:szCs w:val="20"/>
                <w:color w:val="auto"/>
              </w:rPr>
              <w:t>to 1.00, but greater than</w:t>
            </w:r>
          </w:p>
        </w:tc>
        <w:tc>
          <w:tcPr>
            <w:tcW w:w="2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50"/>
        </w:trPr>
        <w:tc>
          <w:tcPr>
            <w:tcW w:w="600" w:type="dxa"/>
            <w:vAlign w:val="bottom"/>
          </w:tcPr>
          <w:p>
            <w:pPr>
              <w:spacing w:after="0"/>
              <w:rPr>
                <w:sz w:val="21"/>
                <w:szCs w:val="21"/>
                <w:color w:val="auto"/>
              </w:rPr>
            </w:pPr>
          </w:p>
        </w:tc>
        <w:tc>
          <w:tcPr>
            <w:tcW w:w="2400" w:type="dxa"/>
            <w:vAlign w:val="bottom"/>
          </w:tcPr>
          <w:p>
            <w:pPr>
              <w:ind w:left="140"/>
              <w:spacing w:after="0"/>
              <w:rPr>
                <w:sz w:val="20"/>
                <w:szCs w:val="20"/>
                <w:color w:val="auto"/>
              </w:rPr>
            </w:pPr>
            <w:r>
              <w:rPr>
                <w:rFonts w:ascii="Arial" w:cs="Arial" w:eastAsia="Arial" w:hAnsi="Arial"/>
                <w:sz w:val="20"/>
                <w:szCs w:val="20"/>
                <w:color w:val="auto"/>
              </w:rPr>
              <w:t>0.45 to 1.00</w:t>
            </w:r>
          </w:p>
        </w:tc>
        <w:tc>
          <w:tcPr>
            <w:tcW w:w="23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54"/>
        </w:trPr>
        <w:tc>
          <w:tcPr>
            <w:tcW w:w="600" w:type="dxa"/>
            <w:vAlign w:val="bottom"/>
          </w:tcPr>
          <w:p>
            <w:pPr>
              <w:jc w:val="center"/>
              <w:ind w:right="41"/>
              <w:spacing w:after="0"/>
              <w:rPr>
                <w:sz w:val="20"/>
                <w:szCs w:val="20"/>
                <w:color w:val="auto"/>
              </w:rPr>
            </w:pPr>
            <w:r>
              <w:rPr>
                <w:rFonts w:ascii="Arial" w:cs="Arial" w:eastAsia="Arial" w:hAnsi="Arial"/>
                <w:sz w:val="20"/>
                <w:szCs w:val="20"/>
                <w:color w:val="auto"/>
              </w:rPr>
              <w:t>IV</w:t>
            </w:r>
          </w:p>
        </w:tc>
        <w:tc>
          <w:tcPr>
            <w:tcW w:w="2400" w:type="dxa"/>
            <w:vAlign w:val="bottom"/>
          </w:tcPr>
          <w:p>
            <w:pPr>
              <w:ind w:left="140"/>
              <w:spacing w:after="0"/>
              <w:rPr>
                <w:sz w:val="20"/>
                <w:szCs w:val="20"/>
                <w:color w:val="auto"/>
              </w:rPr>
            </w:pPr>
            <w:r>
              <w:rPr>
                <w:rFonts w:ascii="Arial" w:cs="Arial" w:eastAsia="Arial" w:hAnsi="Arial"/>
                <w:sz w:val="20"/>
                <w:szCs w:val="20"/>
                <w:color w:val="auto"/>
                <w:w w:val="96"/>
              </w:rPr>
              <w:t>Less than or equal to 0.55</w:t>
            </w:r>
          </w:p>
        </w:tc>
        <w:tc>
          <w:tcPr>
            <w:tcW w:w="2300" w:type="dxa"/>
            <w:vAlign w:val="bottom"/>
          </w:tcPr>
          <w:p>
            <w:pPr>
              <w:jc w:val="center"/>
              <w:spacing w:after="0"/>
              <w:rPr>
                <w:sz w:val="20"/>
                <w:szCs w:val="20"/>
                <w:color w:val="auto"/>
              </w:rPr>
            </w:pPr>
            <w:r>
              <w:rPr>
                <w:rFonts w:ascii="Arial" w:cs="Arial" w:eastAsia="Arial" w:hAnsi="Arial"/>
                <w:sz w:val="20"/>
                <w:szCs w:val="20"/>
                <w:color w:val="auto"/>
                <w:w w:val="88"/>
              </w:rPr>
              <w:t>0.60%</w:t>
            </w:r>
          </w:p>
        </w:tc>
        <w:tc>
          <w:tcPr>
            <w:tcW w:w="2420" w:type="dxa"/>
            <w:vAlign w:val="bottom"/>
          </w:tcPr>
          <w:p>
            <w:pPr>
              <w:jc w:val="center"/>
              <w:spacing w:after="0"/>
              <w:rPr>
                <w:sz w:val="20"/>
                <w:szCs w:val="20"/>
                <w:color w:val="auto"/>
              </w:rPr>
            </w:pPr>
            <w:r>
              <w:rPr>
                <w:rFonts w:ascii="Arial" w:cs="Arial" w:eastAsia="Arial" w:hAnsi="Arial"/>
                <w:sz w:val="20"/>
                <w:szCs w:val="20"/>
                <w:color w:val="auto"/>
                <w:w w:val="88"/>
              </w:rPr>
              <w:t>1.60%</w:t>
            </w:r>
          </w:p>
        </w:tc>
      </w:tr>
      <w:tr>
        <w:trPr>
          <w:trHeight w:val="223"/>
        </w:trPr>
        <w:tc>
          <w:tcPr>
            <w:tcW w:w="600" w:type="dxa"/>
            <w:vAlign w:val="bottom"/>
          </w:tcPr>
          <w:p>
            <w:pPr>
              <w:spacing w:after="0"/>
              <w:rPr>
                <w:sz w:val="19"/>
                <w:szCs w:val="19"/>
                <w:color w:val="auto"/>
              </w:rPr>
            </w:pPr>
          </w:p>
        </w:tc>
        <w:tc>
          <w:tcPr>
            <w:tcW w:w="2400" w:type="dxa"/>
            <w:vAlign w:val="bottom"/>
          </w:tcPr>
          <w:p>
            <w:pPr>
              <w:ind w:left="140"/>
              <w:spacing w:after="0" w:line="223" w:lineRule="exact"/>
              <w:rPr>
                <w:sz w:val="20"/>
                <w:szCs w:val="20"/>
                <w:color w:val="auto"/>
              </w:rPr>
            </w:pPr>
            <w:r>
              <w:rPr>
                <w:rFonts w:ascii="Arial" w:cs="Arial" w:eastAsia="Arial" w:hAnsi="Arial"/>
                <w:sz w:val="20"/>
                <w:szCs w:val="20"/>
                <w:color w:val="auto"/>
              </w:rPr>
              <w:t>to 1.00, but greater than</w:t>
            </w:r>
          </w:p>
        </w:tc>
        <w:tc>
          <w:tcPr>
            <w:tcW w:w="23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50"/>
        </w:trPr>
        <w:tc>
          <w:tcPr>
            <w:tcW w:w="600" w:type="dxa"/>
            <w:vAlign w:val="bottom"/>
          </w:tcPr>
          <w:p>
            <w:pPr>
              <w:spacing w:after="0"/>
              <w:rPr>
                <w:sz w:val="21"/>
                <w:szCs w:val="21"/>
                <w:color w:val="auto"/>
              </w:rPr>
            </w:pPr>
          </w:p>
        </w:tc>
        <w:tc>
          <w:tcPr>
            <w:tcW w:w="2400" w:type="dxa"/>
            <w:vAlign w:val="bottom"/>
          </w:tcPr>
          <w:p>
            <w:pPr>
              <w:ind w:left="140"/>
              <w:spacing w:after="0"/>
              <w:rPr>
                <w:sz w:val="20"/>
                <w:szCs w:val="20"/>
                <w:color w:val="auto"/>
              </w:rPr>
            </w:pPr>
            <w:r>
              <w:rPr>
                <w:rFonts w:ascii="Arial" w:cs="Arial" w:eastAsia="Arial" w:hAnsi="Arial"/>
                <w:sz w:val="20"/>
                <w:szCs w:val="20"/>
                <w:color w:val="auto"/>
              </w:rPr>
              <w:t>0.50 to 1.00</w:t>
            </w:r>
          </w:p>
        </w:tc>
        <w:tc>
          <w:tcPr>
            <w:tcW w:w="23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421"/>
        </w:trPr>
        <w:tc>
          <w:tcPr>
            <w:tcW w:w="600" w:type="dxa"/>
            <w:vAlign w:val="bottom"/>
          </w:tcPr>
          <w:p>
            <w:pPr>
              <w:jc w:val="center"/>
              <w:ind w:right="41"/>
              <w:spacing w:after="0"/>
              <w:rPr>
                <w:sz w:val="20"/>
                <w:szCs w:val="20"/>
                <w:color w:val="auto"/>
              </w:rPr>
            </w:pPr>
            <w:r>
              <w:rPr>
                <w:rFonts w:ascii="Arial" w:cs="Arial" w:eastAsia="Arial" w:hAnsi="Arial"/>
                <w:sz w:val="20"/>
                <w:szCs w:val="20"/>
                <w:color w:val="auto"/>
              </w:rPr>
              <w:t>V</w:t>
            </w:r>
          </w:p>
        </w:tc>
        <w:tc>
          <w:tcPr>
            <w:tcW w:w="2400" w:type="dxa"/>
            <w:vAlign w:val="bottom"/>
          </w:tcPr>
          <w:p>
            <w:pPr>
              <w:ind w:left="140"/>
              <w:spacing w:after="0"/>
              <w:rPr>
                <w:sz w:val="20"/>
                <w:szCs w:val="20"/>
                <w:color w:val="auto"/>
              </w:rPr>
            </w:pPr>
            <w:r>
              <w:rPr>
                <w:rFonts w:ascii="Arial" w:cs="Arial" w:eastAsia="Arial" w:hAnsi="Arial"/>
                <w:sz w:val="20"/>
                <w:szCs w:val="20"/>
                <w:color w:val="auto"/>
              </w:rPr>
              <w:t>Greater than 0.55 to 1.00</w:t>
            </w:r>
          </w:p>
        </w:tc>
        <w:tc>
          <w:tcPr>
            <w:tcW w:w="2300" w:type="dxa"/>
            <w:vAlign w:val="bottom"/>
          </w:tcPr>
          <w:p>
            <w:pPr>
              <w:jc w:val="center"/>
              <w:spacing w:after="0"/>
              <w:rPr>
                <w:sz w:val="20"/>
                <w:szCs w:val="20"/>
                <w:color w:val="auto"/>
              </w:rPr>
            </w:pPr>
            <w:r>
              <w:rPr>
                <w:rFonts w:ascii="Arial" w:cs="Arial" w:eastAsia="Arial" w:hAnsi="Arial"/>
                <w:sz w:val="20"/>
                <w:szCs w:val="20"/>
                <w:color w:val="auto"/>
                <w:w w:val="88"/>
              </w:rPr>
              <w:t>0.90%</w:t>
            </w:r>
          </w:p>
        </w:tc>
        <w:tc>
          <w:tcPr>
            <w:tcW w:w="2420" w:type="dxa"/>
            <w:vAlign w:val="bottom"/>
          </w:tcPr>
          <w:p>
            <w:pPr>
              <w:jc w:val="center"/>
              <w:spacing w:after="0"/>
              <w:rPr>
                <w:sz w:val="20"/>
                <w:szCs w:val="20"/>
                <w:color w:val="auto"/>
              </w:rPr>
            </w:pPr>
            <w:r>
              <w:rPr>
                <w:rFonts w:ascii="Arial" w:cs="Arial" w:eastAsia="Arial" w:hAnsi="Arial"/>
                <w:sz w:val="20"/>
                <w:szCs w:val="20"/>
                <w:color w:val="auto"/>
                <w:w w:val="88"/>
              </w:rPr>
              <w:t>1.90%</w:t>
            </w:r>
          </w:p>
        </w:tc>
      </w:tr>
    </w:tbl>
    <w:p>
      <w:pPr>
        <w:spacing w:after="0" w:line="170"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18"/>
          <w:szCs w:val="18"/>
          <w:color w:val="auto"/>
        </w:rPr>
        <w:t xml:space="preserve">For purposes hereof, the term </w:t>
      </w:r>
      <w:r>
        <w:rPr>
          <w:rFonts w:ascii="Arial" w:cs="Arial" w:eastAsia="Arial" w:hAnsi="Arial"/>
          <w:sz w:val="18"/>
          <w:szCs w:val="18"/>
          <w:i w:val="1"/>
          <w:iCs w:val="1"/>
          <w:color w:val="auto"/>
        </w:rPr>
        <w:t>“Pricing Date”</w:t>
      </w:r>
      <w:r>
        <w:rPr>
          <w:rFonts w:ascii="Arial" w:cs="Arial" w:eastAsia="Arial" w:hAnsi="Arial"/>
          <w:sz w:val="18"/>
          <w:szCs w:val="18"/>
          <w:color w:val="auto"/>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Arial" w:cs="Arial" w:eastAsia="Arial" w:hAnsi="Arial"/>
          <w:sz w:val="18"/>
          <w:szCs w:val="18"/>
          <w:i w:val="1"/>
          <w:iCs w:val="1"/>
          <w:color w:val="auto"/>
        </w:rPr>
        <w:t>i.e.,</w:t>
      </w:r>
      <w:r>
        <w:rPr>
          <w:rFonts w:ascii="Arial" w:cs="Arial" w:eastAsia="Arial" w:hAnsi="Arial"/>
          <w:sz w:val="18"/>
          <w:szCs w:val="18"/>
          <w:color w:val="auto"/>
        </w:rPr>
        <w:t xml:space="preserve"> Level V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Administrative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jc w:val="both"/>
        <w:ind w:left="200" w:right="219"/>
        <w:spacing w:after="0" w:line="261" w:lineRule="auto"/>
        <w:rPr>
          <w:sz w:val="20"/>
          <w:szCs w:val="20"/>
          <w:color w:val="auto"/>
        </w:rPr>
      </w:pPr>
      <w:r>
        <w:rPr>
          <w:rFonts w:ascii="Arial" w:cs="Arial" w:eastAsia="Arial" w:hAnsi="Arial"/>
          <w:sz w:val="18"/>
          <w:szCs w:val="18"/>
          <w:color w:val="auto"/>
        </w:rPr>
        <w:t xml:space="preserve">Agent and Lenders by Borrower (the </w:t>
      </w:r>
      <w:r>
        <w:rPr>
          <w:rFonts w:ascii="Arial" w:cs="Arial" w:eastAsia="Arial" w:hAnsi="Arial"/>
          <w:sz w:val="18"/>
          <w:szCs w:val="18"/>
          <w:i w:val="1"/>
          <w:iCs w:val="1"/>
          <w:color w:val="auto"/>
        </w:rPr>
        <w:t>"Borrower Information"</w:t>
      </w:r>
      <w:r>
        <w:rPr>
          <w:rFonts w:ascii="Arial" w:cs="Arial" w:eastAsia="Arial" w:hAnsi="Arial"/>
          <w:sz w:val="18"/>
          <w:szCs w:val="18"/>
          <w:color w:val="auto"/>
        </w:rPr>
        <w:t xml:space="preserve">). If it is subsequently determined that any such Borrower Information was incorrect (for whatever reason, including, without limitation, because of a subsequent restatement of earnings by the Borrower or Parent)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determined Applicable Rate set forth in each Incremental Term Loan Amendment for each Incremental Term Loan Facility.</w:t>
      </w:r>
    </w:p>
    <w:p>
      <w:pPr>
        <w:spacing w:after="0" w:line="159"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Percentage</w:t>
      </w:r>
      <w:r>
        <w:rPr>
          <w:rFonts w:ascii="Arial" w:cs="Arial" w:eastAsia="Arial" w:hAnsi="Arial"/>
          <w:sz w:val="19"/>
          <w:szCs w:val="19"/>
          <w:color w:val="auto"/>
        </w:rPr>
        <w:t>” means, (a) with respect to any Term Lender at any time, the percentage of the Term Facility represented by such Term Lender’s Term Commitment at such time, and (b)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The initial Applicable Percentage of each Lender in respect of the Term Facility is set forth opposite the name of such Lender on Schedule 1 or in the Assignment and Assumption pursuant to which such Lender becomes a party hereto, as applicable.</w:t>
      </w:r>
    </w:p>
    <w:p>
      <w:pPr>
        <w:spacing w:after="0" w:line="163"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Applicable Rate</w:t>
      </w:r>
      <w:r>
        <w:rPr>
          <w:rFonts w:ascii="Arial" w:cs="Arial" w:eastAsia="Arial" w:hAnsi="Arial"/>
          <w:sz w:val="20"/>
          <w:szCs w:val="20"/>
          <w:color w:val="auto"/>
        </w:rPr>
        <w:t>” means, a rate per annum equal to (a) in respect of the Term Facility, (i) the Applicable Margin with respect to Eurodollar Loans and (ii) and the Applicable Margin with respect to Base Rate Loans, and (ii) in respect of any Incremental Term Loan Facility, the interest rate set forth in the applicable Incremental Term Loan Amendment.</w:t>
      </w:r>
    </w:p>
    <w:p>
      <w:pPr>
        <w:spacing w:after="0" w:line="173" w:lineRule="exact"/>
        <w:rPr>
          <w:sz w:val="20"/>
          <w:szCs w:val="20"/>
          <w:color w:val="auto"/>
        </w:rPr>
      </w:pPr>
    </w:p>
    <w:p>
      <w:pPr>
        <w:jc w:val="both"/>
        <w:ind w:left="200" w:right="219" w:firstLine="643"/>
        <w:spacing w:after="0" w:line="279" w:lineRule="auto"/>
        <w:rPr>
          <w:sz w:val="20"/>
          <w:szCs w:val="20"/>
          <w:color w:val="auto"/>
        </w:rPr>
      </w:pPr>
      <w:r>
        <w:rPr>
          <w:rFonts w:ascii="Arial" w:cs="Arial" w:eastAsia="Arial" w:hAnsi="Arial"/>
          <w:sz w:val="19"/>
          <w:szCs w:val="19"/>
          <w:i w:val="1"/>
          <w:iCs w:val="1"/>
          <w:color w:val="auto"/>
        </w:rPr>
        <w:t xml:space="preserve">“Approved Fund” </w:t>
      </w:r>
      <w:r>
        <w:rPr>
          <w:rFonts w:ascii="Arial" w:cs="Arial" w:eastAsia="Arial" w:hAnsi="Arial"/>
          <w:sz w:val="19"/>
          <w:szCs w:val="19"/>
          <w:color w:val="auto"/>
        </w:rPr>
        <w:t>means any Fund that is administered or managed by (a) a Lender, (b) an 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of a Lender or (c) an entity or an Affiliate of an entity that administers or manages a Lender.</w:t>
      </w:r>
    </w:p>
    <w:p>
      <w:pPr>
        <w:spacing w:after="0" w:line="136" w:lineRule="exact"/>
        <w:rPr>
          <w:sz w:val="20"/>
          <w:szCs w:val="20"/>
          <w:color w:val="auto"/>
        </w:rPr>
      </w:pPr>
    </w:p>
    <w:p>
      <w:pPr>
        <w:jc w:val="both"/>
        <w:ind w:left="200" w:right="219" w:firstLine="594"/>
        <w:spacing w:after="0" w:line="308" w:lineRule="auto"/>
        <w:rPr>
          <w:sz w:val="20"/>
          <w:szCs w:val="20"/>
          <w:color w:val="auto"/>
        </w:rPr>
      </w:pPr>
      <w:r>
        <w:rPr>
          <w:rFonts w:ascii="Arial" w:cs="Arial" w:eastAsia="Arial" w:hAnsi="Arial"/>
          <w:sz w:val="18"/>
          <w:szCs w:val="18"/>
          <w:i w:val="1"/>
          <w:iCs w:val="1"/>
          <w:color w:val="auto"/>
        </w:rPr>
        <w:t xml:space="preserve">“Assets Under Development” </w:t>
      </w:r>
      <w:r>
        <w:rPr>
          <w:rFonts w:ascii="Arial" w:cs="Arial" w:eastAsia="Arial" w:hAnsi="Arial"/>
          <w:sz w:val="18"/>
          <w:szCs w:val="18"/>
          <w:color w:val="auto"/>
        </w:rPr>
        <w:t>means any real property under construction (excluding any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under minor renovation) until such property has received a certificate of occupancy.</w:t>
      </w:r>
    </w:p>
    <w:p>
      <w:pPr>
        <w:spacing w:after="0" w:line="112"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“Assignment and Acceptance” </w:t>
      </w:r>
      <w:r>
        <w:rPr>
          <w:rFonts w:ascii="Arial" w:cs="Arial" w:eastAsia="Arial" w:hAnsi="Arial"/>
          <w:sz w:val="20"/>
          <w:szCs w:val="20"/>
          <w:color w:val="auto"/>
        </w:rPr>
        <w:t>means an assignment and acceptance entered into by a Lender and an</w:t>
      </w:r>
      <w:r>
        <w:rPr>
          <w:rFonts w:ascii="Arial" w:cs="Arial" w:eastAsia="Arial" w:hAnsi="Arial"/>
          <w:sz w:val="20"/>
          <w:szCs w:val="20"/>
          <w:i w:val="1"/>
          <w:iCs w:val="1"/>
          <w:color w:val="auto"/>
        </w:rPr>
        <w:t xml:space="preserve"> </w:t>
      </w:r>
      <w:r>
        <w:rPr>
          <w:rFonts w:ascii="Arial" w:cs="Arial" w:eastAsia="Arial" w:hAnsi="Arial"/>
          <w:sz w:val="20"/>
          <w:szCs w:val="20"/>
          <w:color w:val="auto"/>
        </w:rPr>
        <w:t>Eligible Assignee (with the consent of any party whose consent is required by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5" w:name="page66"/>
    <w:bookmarkEnd w:id="65"/>
    <w:p>
      <w:pPr>
        <w:jc w:val="both"/>
        <w:ind w:left="200" w:right="219"/>
        <w:spacing w:after="0" w:line="253" w:lineRule="auto"/>
        <w:rPr>
          <w:sz w:val="20"/>
          <w:szCs w:val="20"/>
          <w:color w:val="auto"/>
        </w:rPr>
      </w:pPr>
      <w:r>
        <w:rPr>
          <w:rFonts w:ascii="Arial" w:cs="Arial" w:eastAsia="Arial" w:hAnsi="Arial"/>
          <w:sz w:val="20"/>
          <w:szCs w:val="20"/>
          <w:color w:val="auto"/>
        </w:rPr>
        <w:t>Section 12.12 hereof), and accepted by the Administrative Agent, in substantially the form of Exhibit F or any other form approved by the Administrative Agent.</w:t>
      </w:r>
    </w:p>
    <w:p>
      <w:pPr>
        <w:spacing w:after="0" w:line="159" w:lineRule="exact"/>
        <w:rPr>
          <w:sz w:val="20"/>
          <w:szCs w:val="20"/>
          <w:color w:val="auto"/>
        </w:rPr>
      </w:pPr>
    </w:p>
    <w:p>
      <w:pPr>
        <w:jc w:val="both"/>
        <w:ind w:left="200" w:right="219" w:firstLine="668"/>
        <w:spacing w:after="0" w:line="256" w:lineRule="auto"/>
        <w:rPr>
          <w:sz w:val="20"/>
          <w:szCs w:val="20"/>
          <w:color w:val="auto"/>
        </w:rPr>
      </w:pPr>
      <w:r>
        <w:rPr>
          <w:rFonts w:ascii="Arial" w:cs="Arial" w:eastAsia="Arial" w:hAnsi="Arial"/>
          <w:sz w:val="19"/>
          <w:szCs w:val="19"/>
          <w:i w:val="1"/>
          <w:iCs w:val="1"/>
          <w:color w:val="auto"/>
        </w:rPr>
        <w:t xml:space="preserve">“Authorized Representative” </w:t>
      </w:r>
      <w:r>
        <w:rPr>
          <w:rFonts w:ascii="Arial" w:cs="Arial" w:eastAsia="Arial" w:hAnsi="Arial"/>
          <w:sz w:val="19"/>
          <w:szCs w:val="19"/>
          <w:color w:val="auto"/>
        </w:rPr>
        <w:t>means those persons shown on the list of officers provided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spacing w:after="0" w:line="157"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“Bail-In Action” </w:t>
      </w:r>
      <w:r>
        <w:rPr>
          <w:rFonts w:ascii="Arial" w:cs="Arial" w:eastAsia="Arial" w:hAnsi="Arial"/>
          <w:sz w:val="20"/>
          <w:szCs w:val="20"/>
          <w:color w:val="auto"/>
        </w:rPr>
        <w:t>means the exercise of any Write-Down and Conversion Powers by the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Resolution Authority in respect of any liability of an Affected Financial Institution.</w:t>
      </w:r>
    </w:p>
    <w:p>
      <w:pPr>
        <w:spacing w:after="0" w:line="159" w:lineRule="exact"/>
        <w:rPr>
          <w:sz w:val="20"/>
          <w:szCs w:val="20"/>
          <w:color w:val="auto"/>
        </w:rPr>
      </w:pPr>
    </w:p>
    <w:p>
      <w:pPr>
        <w:jc w:val="both"/>
        <w:ind w:left="200" w:right="219" w:firstLine="594"/>
        <w:spacing w:after="0" w:line="236" w:lineRule="auto"/>
        <w:rPr>
          <w:sz w:val="20"/>
          <w:szCs w:val="20"/>
          <w:color w:val="auto"/>
        </w:rPr>
      </w:pPr>
      <w:r>
        <w:rPr>
          <w:rFonts w:ascii="Arial" w:cs="Arial" w:eastAsia="Arial" w:hAnsi="Arial"/>
          <w:sz w:val="20"/>
          <w:szCs w:val="20"/>
          <w:i w:val="1"/>
          <w:iCs w:val="1"/>
          <w:color w:val="auto"/>
        </w:rPr>
        <w:t xml:space="preserve">“Bail-In Legislation” </w:t>
      </w:r>
      <w:r>
        <w:rPr>
          <w:rFonts w:ascii="Arial" w:cs="Arial" w:eastAsia="Arial" w:hAnsi="Arial"/>
          <w:sz w:val="20"/>
          <w:szCs w:val="20"/>
          <w:color w:val="auto"/>
        </w:rPr>
        <w:t>means, (a) with respect to any EEA Member Country implementing Article 55</w:t>
      </w:r>
      <w:r>
        <w:rPr>
          <w:rFonts w:ascii="Arial" w:cs="Arial" w:eastAsia="Arial" w:hAnsi="Arial"/>
          <w:sz w:val="20"/>
          <w:szCs w:val="20"/>
          <w:i w:val="1"/>
          <w:iCs w:val="1"/>
          <w:color w:val="auto"/>
        </w:rPr>
        <w:t xml:space="preserve"> </w:t>
      </w:r>
      <w:r>
        <w:rPr>
          <w:rFonts w:ascii="Arial" w:cs="Arial" w:eastAsia="Arial" w:hAnsi="Arial"/>
          <w:sz w:val="20"/>
          <w:szCs w:val="20"/>
          <w:color w:val="auto"/>
        </w:rPr>
        <w:t>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“Bankruptcy Event” </w:t>
      </w:r>
      <w:r>
        <w:rPr>
          <w:rFonts w:ascii="Arial" w:cs="Arial" w:eastAsia="Arial" w:hAnsi="Arial"/>
          <w:sz w:val="20"/>
          <w:szCs w:val="20"/>
          <w:color w:val="auto"/>
        </w:rPr>
        <w:t>means, with respect to any Person, any event of the type described in clause (j)</w:t>
      </w:r>
      <w:r>
        <w:rPr>
          <w:rFonts w:ascii="Arial" w:cs="Arial" w:eastAsia="Arial" w:hAnsi="Arial"/>
          <w:sz w:val="20"/>
          <w:szCs w:val="20"/>
          <w:i w:val="1"/>
          <w:iCs w:val="1"/>
          <w:color w:val="auto"/>
        </w:rPr>
        <w:t xml:space="preserve"> </w:t>
      </w:r>
      <w:r>
        <w:rPr>
          <w:rFonts w:ascii="Arial" w:cs="Arial" w:eastAsia="Arial" w:hAnsi="Arial"/>
          <w:sz w:val="20"/>
          <w:szCs w:val="20"/>
          <w:color w:val="auto"/>
        </w:rPr>
        <w:t>or (k) of Section 9.1 hereof with respect to such Person.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“Base Rate” </w:t>
      </w:r>
      <w:r>
        <w:rPr>
          <w:rFonts w:ascii="Arial" w:cs="Arial" w:eastAsia="Arial" w:hAnsi="Arial"/>
          <w:sz w:val="20"/>
          <w:szCs w:val="20"/>
          <w:color w:val="auto"/>
        </w:rPr>
        <w:t>is defined in Section 1.4(a) hereof.</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“Base Rate Loan” </w:t>
      </w:r>
      <w:r>
        <w:rPr>
          <w:rFonts w:ascii="Arial" w:cs="Arial" w:eastAsia="Arial" w:hAnsi="Arial"/>
          <w:sz w:val="19"/>
          <w:szCs w:val="19"/>
          <w:color w:val="auto"/>
        </w:rPr>
        <w:t>means a Loan bearing interest at a rate specified in Section 1.4(a) hereof.</w:t>
      </w:r>
    </w:p>
    <w:p>
      <w:pPr>
        <w:spacing w:after="0" w:line="202"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“Beneficial Ownership Certification” </w:t>
      </w:r>
      <w:r>
        <w:rPr>
          <w:rFonts w:ascii="Arial" w:cs="Arial" w:eastAsia="Arial" w:hAnsi="Arial"/>
          <w:sz w:val="20"/>
          <w:szCs w:val="20"/>
          <w:color w:val="auto"/>
        </w:rPr>
        <w:t>means a certification regarding beneficial ownership as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by the Beneficial Ownership Regulation.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“Beneficial Ownership Regulation” </w:t>
      </w:r>
      <w:r>
        <w:rPr>
          <w:rFonts w:ascii="Arial" w:cs="Arial" w:eastAsia="Arial" w:hAnsi="Arial"/>
          <w:sz w:val="20"/>
          <w:szCs w:val="20"/>
          <w:color w:val="auto"/>
        </w:rPr>
        <w:t>means 31 C.F.R. § 1010.230.</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“Borrower” </w:t>
      </w:r>
      <w:r>
        <w:rPr>
          <w:rFonts w:ascii="Arial" w:cs="Arial" w:eastAsia="Arial" w:hAnsi="Arial"/>
          <w:sz w:val="20"/>
          <w:szCs w:val="20"/>
          <w:color w:val="auto"/>
        </w:rPr>
        <w:t>is defined in the introductory paragraph of this Agreement.</w:t>
      </w:r>
    </w:p>
    <w:p>
      <w:pPr>
        <w:spacing w:after="0" w:line="191" w:lineRule="exact"/>
        <w:rPr>
          <w:sz w:val="20"/>
          <w:szCs w:val="20"/>
          <w:color w:val="auto"/>
        </w:rPr>
      </w:pPr>
    </w:p>
    <w:p>
      <w:pPr>
        <w:jc w:val="both"/>
        <w:ind w:left="200" w:right="219" w:firstLine="594"/>
        <w:spacing w:after="0" w:line="236" w:lineRule="auto"/>
        <w:rPr>
          <w:sz w:val="20"/>
          <w:szCs w:val="20"/>
          <w:color w:val="auto"/>
        </w:rPr>
      </w:pPr>
      <w:r>
        <w:rPr>
          <w:rFonts w:ascii="Arial" w:cs="Arial" w:eastAsia="Arial" w:hAnsi="Arial"/>
          <w:sz w:val="20"/>
          <w:szCs w:val="20"/>
          <w:i w:val="1"/>
          <w:iCs w:val="1"/>
          <w:color w:val="auto"/>
        </w:rPr>
        <w:t xml:space="preserve">“Borrowing” </w:t>
      </w:r>
      <w:r>
        <w:rPr>
          <w:rFonts w:ascii="Arial" w:cs="Arial" w:eastAsia="Arial" w:hAnsi="Arial"/>
          <w:sz w:val="20"/>
          <w:szCs w:val="20"/>
          <w:color w:val="auto"/>
        </w:rPr>
        <w:t>means the total of Loans of a single type advanced, continued for an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Interest Period, or converted from a different type into such type by the Lenders on a single date and, in the case of Eurodollar Loans, for a single Interest Period. Borrowings of Loans are made and maintained ratably from each of the Lenders according to their Applicable Percentages. A Borrowing is </w:t>
      </w:r>
      <w:r>
        <w:rPr>
          <w:rFonts w:ascii="Arial" w:cs="Arial" w:eastAsia="Arial" w:hAnsi="Arial"/>
          <w:sz w:val="20"/>
          <w:szCs w:val="20"/>
          <w:i w:val="1"/>
          <w:iCs w:val="1"/>
          <w:color w:val="auto"/>
        </w:rPr>
        <w:t>“advanced”</w:t>
      </w:r>
      <w:r>
        <w:rPr>
          <w:rFonts w:ascii="Arial" w:cs="Arial" w:eastAsia="Arial" w:hAnsi="Arial"/>
          <w:sz w:val="20"/>
          <w:szCs w:val="20"/>
          <w:color w:val="auto"/>
        </w:rPr>
        <w:t xml:space="preserve"> on the day Lenders advance funds comprising such Borrowing to the Borrower, is </w:t>
      </w:r>
      <w:r>
        <w:rPr>
          <w:rFonts w:ascii="Arial" w:cs="Arial" w:eastAsia="Arial" w:hAnsi="Arial"/>
          <w:sz w:val="20"/>
          <w:szCs w:val="20"/>
          <w:i w:val="1"/>
          <w:iCs w:val="1"/>
          <w:color w:val="auto"/>
        </w:rPr>
        <w:t>“continued”</w:t>
      </w:r>
      <w:r>
        <w:rPr>
          <w:rFonts w:ascii="Arial" w:cs="Arial" w:eastAsia="Arial" w:hAnsi="Arial"/>
          <w:sz w:val="20"/>
          <w:szCs w:val="20"/>
          <w:color w:val="auto"/>
        </w:rPr>
        <w:t xml:space="preserve"> on the date a new Interest Period for the same type of Loans commences for such Borrowing, and is </w:t>
      </w:r>
      <w:r>
        <w:rPr>
          <w:rFonts w:ascii="Arial" w:cs="Arial" w:eastAsia="Arial" w:hAnsi="Arial"/>
          <w:sz w:val="20"/>
          <w:szCs w:val="20"/>
          <w:i w:val="1"/>
          <w:iCs w:val="1"/>
          <w:color w:val="auto"/>
        </w:rPr>
        <w:t>“converted”</w:t>
      </w:r>
      <w:r>
        <w:rPr>
          <w:rFonts w:ascii="Arial" w:cs="Arial" w:eastAsia="Arial" w:hAnsi="Arial"/>
          <w:sz w:val="20"/>
          <w:szCs w:val="20"/>
          <w:color w:val="auto"/>
        </w:rPr>
        <w:t xml:space="preserve"> when such Borrowing is changed from one type of Loans to the other, all as determined pursuant to Section 1.6 hereof.</w:t>
      </w:r>
    </w:p>
    <w:p>
      <w:pPr>
        <w:spacing w:after="0" w:line="17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“Borrowing Base” </w:t>
      </w:r>
      <w:r>
        <w:rPr>
          <w:rFonts w:ascii="Arial" w:cs="Arial" w:eastAsia="Arial" w:hAnsi="Arial"/>
          <w:sz w:val="20"/>
          <w:szCs w:val="20"/>
          <w:color w:val="auto"/>
        </w:rPr>
        <w:t>means, at any date of its determination, an amount equal to the lesser of (A) 60%</w:t>
      </w:r>
      <w:r>
        <w:rPr>
          <w:rFonts w:ascii="Arial" w:cs="Arial" w:eastAsia="Arial" w:hAnsi="Arial"/>
          <w:sz w:val="20"/>
          <w:szCs w:val="20"/>
          <w:i w:val="1"/>
          <w:iCs w:val="1"/>
          <w:color w:val="auto"/>
        </w:rPr>
        <w:t xml:space="preserve"> </w:t>
      </w:r>
      <w:r>
        <w:rPr>
          <w:rFonts w:ascii="Arial" w:cs="Arial" w:eastAsia="Arial" w:hAnsi="Arial"/>
          <w:sz w:val="20"/>
          <w:szCs w:val="20"/>
          <w:color w:val="auto"/>
        </w:rPr>
        <w:t>of the Borrowing Base Value of all Eligible Properties on such date and (B) the Debt Service Coverage Amount of all Eligible Properties on such date.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6" w:name="page67"/>
    <w:bookmarkEnd w:id="66"/>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“Borrowing Base Certificate” </w:t>
      </w:r>
      <w:r>
        <w:rPr>
          <w:rFonts w:ascii="Arial" w:cs="Arial" w:eastAsia="Arial" w:hAnsi="Arial"/>
          <w:sz w:val="20"/>
          <w:szCs w:val="20"/>
          <w:color w:val="auto"/>
        </w:rPr>
        <w:t>means the certificate in the form of Exhibit I hereto, or in such other</w:t>
      </w:r>
      <w:r>
        <w:rPr>
          <w:rFonts w:ascii="Arial" w:cs="Arial" w:eastAsia="Arial" w:hAnsi="Arial"/>
          <w:sz w:val="20"/>
          <w:szCs w:val="20"/>
          <w:i w:val="1"/>
          <w:iCs w:val="1"/>
          <w:color w:val="auto"/>
        </w:rPr>
        <w:t xml:space="preserve"> </w:t>
      </w:r>
      <w:r>
        <w:rPr>
          <w:rFonts w:ascii="Arial" w:cs="Arial" w:eastAsia="Arial" w:hAnsi="Arial"/>
          <w:sz w:val="20"/>
          <w:szCs w:val="20"/>
          <w:color w:val="auto"/>
        </w:rPr>
        <w:t>form acceptable to the Administrative Agent, to be delivered to the Administrative Agent pursuant to Sections 7.2(i), 7.3 and 8.5(d) hereof.</w:t>
      </w:r>
    </w:p>
    <w:p>
      <w:pPr>
        <w:spacing w:after="0" w:line="168"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“Borrowing Base Determination Date</w:t>
      </w:r>
      <w:r>
        <w:rPr>
          <w:rFonts w:ascii="Arial" w:cs="Arial" w:eastAsia="Arial" w:hAnsi="Arial"/>
          <w:sz w:val="20"/>
          <w:szCs w:val="20"/>
          <w:color w:val="auto"/>
        </w:rPr>
        <w:t>” means each date on which the Borrowing Base is certified in</w:t>
      </w:r>
      <w:r>
        <w:rPr>
          <w:rFonts w:ascii="Arial" w:cs="Arial" w:eastAsia="Arial" w:hAnsi="Arial"/>
          <w:sz w:val="20"/>
          <w:szCs w:val="20"/>
          <w:i w:val="1"/>
          <w:iCs w:val="1"/>
          <w:color w:val="auto"/>
        </w:rPr>
        <w:t xml:space="preserve"> </w:t>
      </w:r>
      <w:r>
        <w:rPr>
          <w:rFonts w:ascii="Arial" w:cs="Arial" w:eastAsia="Arial" w:hAnsi="Arial"/>
          <w:sz w:val="20"/>
          <w:szCs w:val="20"/>
          <w:color w:val="auto"/>
        </w:rPr>
        <w:t>writing to the Administrative Agent, as follows:</w:t>
      </w:r>
    </w:p>
    <w:p>
      <w:pPr>
        <w:spacing w:after="0" w:line="159" w:lineRule="exact"/>
        <w:rPr>
          <w:sz w:val="20"/>
          <w:szCs w:val="20"/>
          <w:color w:val="auto"/>
        </w:rPr>
      </w:pPr>
    </w:p>
    <w:p>
      <w:pPr>
        <w:ind w:left="1980" w:hanging="513"/>
        <w:spacing w:after="0"/>
        <w:tabs>
          <w:tab w:leader="none" w:pos="1980"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Quarterly</w:t>
      </w:r>
      <w:r>
        <w:rPr>
          <w:rFonts w:ascii="Arial" w:cs="Arial" w:eastAsia="Arial" w:hAnsi="Arial"/>
          <w:sz w:val="20"/>
          <w:szCs w:val="20"/>
          <w:color w:val="auto"/>
        </w:rPr>
        <w:t>. As of the last day of each Fiscal Quarter.</w:t>
      </w:r>
    </w:p>
    <w:p>
      <w:pPr>
        <w:spacing w:after="0" w:line="190" w:lineRule="exact"/>
        <w:rPr>
          <w:rFonts w:ascii="Arial" w:cs="Arial" w:eastAsia="Arial" w:hAnsi="Arial"/>
          <w:sz w:val="20"/>
          <w:szCs w:val="20"/>
          <w:color w:val="auto"/>
        </w:rPr>
      </w:pPr>
    </w:p>
    <w:p>
      <w:pPr>
        <w:ind w:left="800" w:right="219" w:firstLine="656"/>
        <w:spacing w:after="0" w:line="253" w:lineRule="auto"/>
        <w:tabs>
          <w:tab w:leader="none" w:pos="1988"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Property Adjustments</w:t>
      </w:r>
      <w:r>
        <w:rPr>
          <w:rFonts w:ascii="Arial" w:cs="Arial" w:eastAsia="Arial" w:hAnsi="Arial"/>
          <w:sz w:val="20"/>
          <w:szCs w:val="20"/>
          <w:color w:val="auto"/>
        </w:rPr>
        <w:t>. Following each addition or deletion of an Eligible Property,</w:t>
      </w:r>
      <w:r>
        <w:rPr>
          <w:rFonts w:ascii="Arial" w:cs="Arial" w:eastAsia="Arial" w:hAnsi="Arial"/>
          <w:sz w:val="20"/>
          <w:szCs w:val="20"/>
          <w:i w:val="1"/>
          <w:iCs w:val="1"/>
          <w:color w:val="auto"/>
        </w:rPr>
        <w:t xml:space="preserve"> </w:t>
      </w:r>
      <w:r>
        <w:rPr>
          <w:rFonts w:ascii="Arial" w:cs="Arial" w:eastAsia="Arial" w:hAnsi="Arial"/>
          <w:sz w:val="20"/>
          <w:szCs w:val="20"/>
          <w:color w:val="auto"/>
        </w:rPr>
        <w:t>the Borrowing Base Value shall be adjusted accordingly.</w:t>
      </w:r>
    </w:p>
    <w:p>
      <w:pPr>
        <w:spacing w:after="0" w:line="159" w:lineRule="exact"/>
        <w:rPr>
          <w:sz w:val="20"/>
          <w:szCs w:val="20"/>
          <w:color w:val="auto"/>
        </w:rPr>
      </w:pPr>
    </w:p>
    <w:p>
      <w:pPr>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“Borrowing Base NOI” </w:t>
      </w:r>
      <w:r>
        <w:rPr>
          <w:rFonts w:ascii="Arial" w:cs="Arial" w:eastAsia="Arial" w:hAnsi="Arial"/>
          <w:sz w:val="20"/>
          <w:szCs w:val="20"/>
          <w:color w:val="auto"/>
        </w:rPr>
        <w:t>means for the most recent Rolling Period, the aggregate Property NOI</w:t>
      </w:r>
      <w:r>
        <w:rPr>
          <w:rFonts w:ascii="Arial" w:cs="Arial" w:eastAsia="Arial" w:hAnsi="Arial"/>
          <w:sz w:val="20"/>
          <w:szCs w:val="20"/>
          <w:i w:val="1"/>
          <w:iCs w:val="1"/>
          <w:color w:val="auto"/>
        </w:rPr>
        <w:t xml:space="preserve"> </w:t>
      </w:r>
      <w:r>
        <w:rPr>
          <w:rFonts w:ascii="Arial" w:cs="Arial" w:eastAsia="Arial" w:hAnsi="Arial"/>
          <w:sz w:val="20"/>
          <w:szCs w:val="20"/>
          <w:color w:val="auto"/>
        </w:rPr>
        <w:t>attributable to the Eligible Properties.</w:t>
      </w:r>
    </w:p>
    <w:p>
      <w:pPr>
        <w:spacing w:after="0" w:line="159" w:lineRule="exact"/>
        <w:rPr>
          <w:sz w:val="20"/>
          <w:szCs w:val="20"/>
          <w:color w:val="auto"/>
        </w:rPr>
      </w:pPr>
    </w:p>
    <w:p>
      <w:pPr>
        <w:jc w:val="both"/>
        <w:ind w:left="200" w:right="219" w:firstLine="594"/>
        <w:spacing w:after="0" w:line="267" w:lineRule="auto"/>
        <w:rPr>
          <w:sz w:val="20"/>
          <w:szCs w:val="20"/>
          <w:color w:val="auto"/>
        </w:rPr>
      </w:pPr>
      <w:r>
        <w:rPr>
          <w:rFonts w:ascii="Arial" w:cs="Arial" w:eastAsia="Arial" w:hAnsi="Arial"/>
          <w:sz w:val="18"/>
          <w:szCs w:val="18"/>
          <w:i w:val="1"/>
          <w:iCs w:val="1"/>
          <w:color w:val="auto"/>
        </w:rPr>
        <w:t xml:space="preserve">“Borrowing Base Requirements” </w:t>
      </w:r>
      <w:r>
        <w:rPr>
          <w:rFonts w:ascii="Arial" w:cs="Arial" w:eastAsia="Arial" w:hAnsi="Arial"/>
          <w:sz w:val="18"/>
          <w:szCs w:val="18"/>
          <w:color w:val="auto"/>
        </w:rPr>
        <w:t>means with respect to the calculation of the Borrowing Base,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that (a) at all times such calculation shall be based on no less than ten (10) Eligible Properties;</w:t>
      </w:r>
    </w:p>
    <w:p>
      <w:pPr>
        <w:spacing w:after="0" w:line="1" w:lineRule="exact"/>
        <w:rPr>
          <w:sz w:val="20"/>
          <w:szCs w:val="20"/>
          <w:color w:val="auto"/>
        </w:rPr>
      </w:pPr>
    </w:p>
    <w:p>
      <w:pPr>
        <w:jc w:val="both"/>
        <w:ind w:left="200" w:right="219" w:firstLine="2"/>
        <w:spacing w:after="0" w:line="258" w:lineRule="auto"/>
        <w:tabs>
          <w:tab w:leader="none" w:pos="4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Borrowing Base Value shall at all times be equal to or in excess of $100,000,000; (c) no more than 20% of the Borrowing Base Value may be comprised of Eligible Properties which are not used as retail (provided entertainment Properties shall not constitute retail), office or mixed-use retail/office Properties;</w:t>
      </w:r>
    </w:p>
    <w:p>
      <w:pPr>
        <w:jc w:val="both"/>
        <w:ind w:left="200" w:right="219" w:firstLine="2"/>
        <w:spacing w:after="0" w:line="258" w:lineRule="auto"/>
        <w:tabs>
          <w:tab w:leader="none" w:pos="4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no more than 25% of the Borrowing Base Value may be comprised of any one Eligible Property (for the avoidance of doubt, an Eligible Property that exceeds this sublimit may be included in the calculation of Borrowing Base Value;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amount over 25% of the Borrowing Base Value is excluded from the calculation of the Borrowing Base Value); (e) no more than 20% of Borrowing Base Value may be from</w:t>
      </w:r>
    </w:p>
    <w:p>
      <w:pPr>
        <w:spacing w:after="0" w:line="1" w:lineRule="exact"/>
        <w:rPr>
          <w:rFonts w:ascii="Arial" w:cs="Arial" w:eastAsia="Arial" w:hAnsi="Arial"/>
          <w:sz w:val="18"/>
          <w:szCs w:val="18"/>
          <w:color w:val="auto"/>
        </w:rPr>
      </w:pPr>
    </w:p>
    <w:p>
      <w:pPr>
        <w:jc w:val="both"/>
        <w:ind w:left="200" w:right="219" w:firstLine="2"/>
        <w:spacing w:after="0" w:line="277" w:lineRule="auto"/>
        <w:tabs>
          <w:tab w:leader="none" w:pos="48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Eligible Properties that derive less than 80% of their Property NOI from a single Tenant (for the avoidance of doubt, to the extent such Eligible Properties exceed this sublimit, they may be included in the calculation of Borrowing Base Value in an amount of up to 20% of the Borrowing Base Value), or (ii) from any single Tenant, unless such Tenant’s Rating is equal to or better than BBB-/Baa3 from S&amp;P or Moody’s (a </w:t>
      </w:r>
      <w:r>
        <w:rPr>
          <w:rFonts w:ascii="Arial" w:cs="Arial" w:eastAsia="Arial" w:hAnsi="Arial"/>
          <w:sz w:val="17"/>
          <w:szCs w:val="17"/>
          <w:i w:val="1"/>
          <w:iCs w:val="1"/>
          <w:color w:val="auto"/>
        </w:rPr>
        <w:t>“Prime Tenant”</w:t>
      </w:r>
      <w:r>
        <w:rPr>
          <w:rFonts w:ascii="Arial" w:cs="Arial" w:eastAsia="Arial" w:hAnsi="Arial"/>
          <w:sz w:val="17"/>
          <w:szCs w:val="17"/>
          <w:color w:val="auto"/>
        </w:rPr>
        <w:t xml:space="preserve">), respectively (for the avoidance of doubt, to the extent that any single Tenant, other than a Prime Tenant, exceeds this sublimit, the related Eligible Properties may be included in the calculation of Borrowing Base Value in an amount of up to 20% of the Borrowing Base Value); (f) no more than 30% of Borrowing Base Value may be comprised of Permitted Ground Lease Investments; (g) the Eligible Properties (other than Permitted Ground Lease Investments) must have an aggregate Occupancy Rate of at least 85%; and (h) no more than 35% of the Borrowing Base Value may be comprised of Eligible Properties which are located in the same MSA (for the avoidance of doubt, an Eligible Property that exceeds this sublimit may be included in the calculation of Borrowing Base Value, </w:t>
      </w:r>
      <w:r>
        <w:rPr>
          <w:rFonts w:ascii="Arial" w:cs="Arial" w:eastAsia="Arial" w:hAnsi="Arial"/>
          <w:sz w:val="17"/>
          <w:szCs w:val="17"/>
          <w:i w:val="1"/>
          <w:iCs w:val="1"/>
          <w:color w:val="auto"/>
        </w:rPr>
        <w:t>provided</w:t>
      </w:r>
      <w:r>
        <w:rPr>
          <w:rFonts w:ascii="Arial" w:cs="Arial" w:eastAsia="Arial" w:hAnsi="Arial"/>
          <w:sz w:val="17"/>
          <w:szCs w:val="17"/>
          <w:color w:val="auto"/>
        </w:rPr>
        <w:t>, that any amount over 35% of the Borrowing Base Value is excluded from the calculation of the Borrowing Base Value).</w:t>
      </w:r>
    </w:p>
    <w:p>
      <w:pPr>
        <w:spacing w:after="0" w:line="145" w:lineRule="exact"/>
        <w:rPr>
          <w:sz w:val="20"/>
          <w:szCs w:val="20"/>
          <w:color w:val="auto"/>
        </w:rPr>
      </w:pPr>
    </w:p>
    <w:p>
      <w:pPr>
        <w:jc w:val="both"/>
        <w:ind w:left="200" w:right="219" w:firstLine="594"/>
        <w:spacing w:after="0" w:line="251" w:lineRule="auto"/>
        <w:rPr>
          <w:sz w:val="20"/>
          <w:szCs w:val="20"/>
          <w:color w:val="auto"/>
        </w:rPr>
      </w:pPr>
      <w:r>
        <w:rPr>
          <w:rFonts w:ascii="Arial" w:cs="Arial" w:eastAsia="Arial" w:hAnsi="Arial"/>
          <w:sz w:val="19"/>
          <w:szCs w:val="19"/>
          <w:i w:val="1"/>
          <w:iCs w:val="1"/>
          <w:color w:val="auto"/>
        </w:rPr>
        <w:t xml:space="preserve">“Borrowing Base Value” </w:t>
      </w:r>
      <w:r>
        <w:rPr>
          <w:rFonts w:ascii="Arial" w:cs="Arial" w:eastAsia="Arial" w:hAnsi="Arial"/>
          <w:sz w:val="19"/>
          <w:szCs w:val="19"/>
          <w:color w:val="auto"/>
        </w:rPr>
        <w:t>means an amount equal to the sum of (a) for all Eligible Properties owned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more than twelve (12) months, the quotient of (i) the Borrowing Base NOI divided by (ii) the Capitalization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for all Eligible Properties owned for twelve (12) months or less, the lesser of (i) the book value (as defined by GAAP) of any such Eligible Property and (ii), the value of any such Eligible Property as determined by the calculation in clause (a) above measured on an annualized basis rather than for the most recently ended period of four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7" w:name="page68"/>
    <w:bookmarkEnd w:id="67"/>
    <w:p>
      <w:pPr>
        <w:jc w:val="both"/>
        <w:ind w:left="200" w:right="219"/>
        <w:spacing w:after="0" w:line="243" w:lineRule="auto"/>
        <w:rPr>
          <w:sz w:val="20"/>
          <w:szCs w:val="20"/>
          <w:color w:val="auto"/>
        </w:rPr>
      </w:pPr>
      <w:r>
        <w:rPr>
          <w:rFonts w:ascii="Arial" w:cs="Arial" w:eastAsia="Arial" w:hAnsi="Arial"/>
          <w:sz w:val="20"/>
          <w:szCs w:val="20"/>
          <w:color w:val="auto"/>
        </w:rPr>
        <w:t xml:space="preserve">quarters;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Borrowing Base Value shall be reduced by excluding a portion of the Property NOI or book value of any Eligible Properties attributable to any Eligible Properties that exceed the concentration limits in the Borrowing Base Requirements.</w:t>
      </w:r>
    </w:p>
    <w:p>
      <w:pPr>
        <w:spacing w:after="0" w:line="168" w:lineRule="exact"/>
        <w:rPr>
          <w:sz w:val="20"/>
          <w:szCs w:val="20"/>
          <w:color w:val="auto"/>
        </w:rPr>
      </w:pPr>
    </w:p>
    <w:p>
      <w:pPr>
        <w:jc w:val="both"/>
        <w:ind w:left="200" w:right="219" w:firstLine="594"/>
        <w:spacing w:after="0" w:line="275"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or Sunday) on which banks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or required to close in New York, New York or Cleveland, Ohio and, if the applicable Business Day relates to the advance or continuation of, or conversion into, or payment of a Eurodollar Loan, on which banks are dealing in U.S. Dollar deposits in the interbank eurodollar market in London, England.</w:t>
      </w:r>
    </w:p>
    <w:p>
      <w:pPr>
        <w:spacing w:after="0" w:line="140"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“Capital Expenditures” </w:t>
      </w:r>
      <w:r>
        <w:rPr>
          <w:rFonts w:ascii="Arial" w:cs="Arial" w:eastAsia="Arial" w:hAnsi="Arial"/>
          <w:sz w:val="19"/>
          <w:szCs w:val="19"/>
          <w:color w:val="auto"/>
        </w:rPr>
        <w:t>means, with respect to any Person for any period, the aggregate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spacing w:after="0" w:line="160"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“Capital Lease</w:t>
      </w:r>
      <w:r>
        <w:rPr>
          <w:rFonts w:ascii="Arial" w:cs="Arial" w:eastAsia="Arial" w:hAnsi="Arial"/>
          <w:sz w:val="20"/>
          <w:szCs w:val="20"/>
          <w:color w:val="auto"/>
        </w:rPr>
        <w:t>” means any lease of Property which in accordance with GAAP is required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capitalized on the balance sheet of the lessee.</w:t>
      </w:r>
    </w:p>
    <w:p>
      <w:pPr>
        <w:spacing w:after="0" w:line="159"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19"/>
          <w:szCs w:val="19"/>
          <w:i w:val="1"/>
          <w:iCs w:val="1"/>
          <w:color w:val="auto"/>
        </w:rPr>
        <w:t xml:space="preserve">“Capitalization Rate” </w:t>
      </w:r>
      <w:r>
        <w:rPr>
          <w:rFonts w:ascii="Arial" w:cs="Arial" w:eastAsia="Arial" w:hAnsi="Arial"/>
          <w:sz w:val="19"/>
          <w:szCs w:val="19"/>
          <w:color w:val="auto"/>
        </w:rPr>
        <w:t>means (i) 6.25% for single-tenant Properties occupied by tenants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a BBB- or Baa3 Rating or better from S&amp;P’s or Moody’s, respectively, (ii) 7.00% for all retail (provided entertainment Properties shall not constitute retail) Properties, including mixed-use retail/office Properties not covered under the foregoing clause (i), (iii) 7.50% for all office and entertainment Properties not covered under the foregoing clause (i), and (iv) 10% for all other Properties not covered under the foregoing clauses (i), (ii), or (iii)</w:t>
      </w:r>
      <w:r>
        <w:rPr>
          <w:rFonts w:ascii="Arial" w:cs="Arial" w:eastAsia="Arial" w:hAnsi="Arial"/>
          <w:sz w:val="19"/>
          <w:szCs w:val="19"/>
          <w:i w:val="1"/>
          <w:iCs w:val="1"/>
          <w:color w:val="auto"/>
        </w:rPr>
        <w:t>; provided</w:t>
      </w:r>
      <w:r>
        <w:rPr>
          <w:rFonts w:ascii="Arial" w:cs="Arial" w:eastAsia="Arial" w:hAnsi="Arial"/>
          <w:sz w:val="19"/>
          <w:szCs w:val="19"/>
          <w:color w:val="auto"/>
        </w:rPr>
        <w:t>, for all Properties that are subject to Permitted Ground Lease Investments, the applicable Capitalization Rate shall be determined as if Borrower was the owner of the fully-completed building located on such Property.</w:t>
      </w:r>
    </w:p>
    <w:p>
      <w:pPr>
        <w:spacing w:after="0" w:line="167" w:lineRule="exact"/>
        <w:rPr>
          <w:sz w:val="20"/>
          <w:szCs w:val="20"/>
          <w:color w:val="auto"/>
        </w:rPr>
      </w:pPr>
    </w:p>
    <w:p>
      <w:pPr>
        <w:jc w:val="both"/>
        <w:ind w:left="200" w:right="219" w:firstLine="594"/>
        <w:spacing w:after="0" w:line="279" w:lineRule="auto"/>
        <w:rPr>
          <w:sz w:val="20"/>
          <w:szCs w:val="20"/>
          <w:color w:val="auto"/>
        </w:rPr>
      </w:pPr>
      <w:r>
        <w:rPr>
          <w:rFonts w:ascii="Arial" w:cs="Arial" w:eastAsia="Arial" w:hAnsi="Arial"/>
          <w:sz w:val="19"/>
          <w:szCs w:val="19"/>
          <w:i w:val="1"/>
          <w:iCs w:val="1"/>
          <w:color w:val="auto"/>
        </w:rPr>
        <w:t xml:space="preserve">“Capitalized Lease Obligation” </w:t>
      </w:r>
      <w:r>
        <w:rPr>
          <w:rFonts w:ascii="Arial" w:cs="Arial" w:eastAsia="Arial" w:hAnsi="Arial"/>
          <w:sz w:val="19"/>
          <w:szCs w:val="19"/>
          <w:color w:val="auto"/>
        </w:rPr>
        <w:t>means, for any Person, the amount of the liability shown on the</w:t>
      </w:r>
      <w:r>
        <w:rPr>
          <w:rFonts w:ascii="Arial" w:cs="Arial" w:eastAsia="Arial" w:hAnsi="Arial"/>
          <w:sz w:val="19"/>
          <w:szCs w:val="19"/>
          <w:i w:val="1"/>
          <w:iCs w:val="1"/>
          <w:color w:val="auto"/>
        </w:rPr>
        <w:t xml:space="preserve"> </w:t>
      </w:r>
      <w:r>
        <w:rPr>
          <w:rFonts w:ascii="Arial" w:cs="Arial" w:eastAsia="Arial" w:hAnsi="Arial"/>
          <w:sz w:val="19"/>
          <w:szCs w:val="19"/>
          <w:color w:val="auto"/>
        </w:rPr>
        <w:t>balance sheet of such Person in respect of a Capital Lease determined in accordance with GAAP.</w:t>
      </w:r>
    </w:p>
    <w:p>
      <w:pPr>
        <w:spacing w:after="0" w:line="136"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“CERCLA” </w:t>
      </w:r>
      <w:r>
        <w:rPr>
          <w:rFonts w:ascii="Arial" w:cs="Arial" w:eastAsia="Arial" w:hAnsi="Arial"/>
          <w:sz w:val="20"/>
          <w:szCs w:val="20"/>
          <w:color w:val="auto"/>
        </w:rPr>
        <w:t>means the Comprehensive Environmental Response, Compensation and Liability Act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1980, as amended by the Superfund Amendments and Reauthorization Act of 1986, 42 U.S.C. </w:t>
      </w:r>
      <w:r>
        <w:rPr>
          <w:rFonts w:ascii="Arial" w:cs="Arial" w:eastAsia="Arial" w:hAnsi="Arial"/>
          <w:sz w:val="20"/>
          <w:szCs w:val="20"/>
          <w:b w:val="1"/>
          <w:bCs w:val="1"/>
          <w:color w:val="auto"/>
        </w:rPr>
        <w:t>§§</w:t>
      </w:r>
      <w:r>
        <w:rPr>
          <w:rFonts w:ascii="Arial" w:cs="Arial" w:eastAsia="Arial" w:hAnsi="Arial"/>
          <w:sz w:val="20"/>
          <w:szCs w:val="20"/>
          <w:color w:val="auto"/>
        </w:rPr>
        <w:t xml:space="preserve">9601 </w:t>
      </w:r>
      <w:r>
        <w:rPr>
          <w:rFonts w:ascii="Arial" w:cs="Arial" w:eastAsia="Arial" w:hAnsi="Arial"/>
          <w:sz w:val="20"/>
          <w:szCs w:val="20"/>
          <w:i w:val="1"/>
          <w:iCs w:val="1"/>
          <w:color w:val="auto"/>
        </w:rPr>
        <w:t>et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seq., </w:t>
      </w:r>
      <w:r>
        <w:rPr>
          <w:rFonts w:ascii="Arial" w:cs="Arial" w:eastAsia="Arial" w:hAnsi="Arial"/>
          <w:sz w:val="20"/>
          <w:szCs w:val="20"/>
          <w:color w:val="auto"/>
        </w:rPr>
        <w:t>and any future amendments.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“Change in Law” </w:t>
      </w:r>
      <w:r>
        <w:rPr>
          <w:rFonts w:ascii="Arial" w:cs="Arial" w:eastAsia="Arial" w:hAnsi="Arial"/>
          <w:sz w:val="18"/>
          <w:szCs w:val="18"/>
          <w:color w:val="auto"/>
        </w:rPr>
        <w:t>means the occurrence, after the date of this Agreement, of any of the following:</w:t>
      </w:r>
    </w:p>
    <w:p>
      <w:pPr>
        <w:spacing w:after="0" w:line="32" w:lineRule="exact"/>
        <w:rPr>
          <w:sz w:val="20"/>
          <w:szCs w:val="20"/>
          <w:color w:val="auto"/>
        </w:rPr>
      </w:pPr>
    </w:p>
    <w:p>
      <w:pPr>
        <w:jc w:val="both"/>
        <w:ind w:left="200" w:right="219" w:firstLine="80"/>
        <w:spacing w:after="0" w:line="246" w:lineRule="auto"/>
        <w:tabs>
          <w:tab w:leader="none" w:pos="57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8" w:name="page69"/>
    <w:bookmarkEnd w:id="68"/>
    <w:p>
      <w:pPr>
        <w:jc w:val="both"/>
        <w:ind w:left="200" w:right="219"/>
        <w:spacing w:after="0" w:line="243" w:lineRule="auto"/>
        <w:rPr>
          <w:sz w:val="20"/>
          <w:szCs w:val="20"/>
          <w:color w:val="auto"/>
        </w:rPr>
      </w:pPr>
      <w:r>
        <w:rPr>
          <w:rFonts w:ascii="Arial" w:cs="Arial" w:eastAsia="Arial" w:hAnsi="Arial"/>
          <w:sz w:val="20"/>
          <w:szCs w:val="20"/>
          <w:color w:val="auto"/>
        </w:rPr>
        <w:t>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jc w:val="both"/>
        <w:ind w:left="200" w:right="219" w:firstLine="594"/>
        <w:spacing w:after="0" w:line="247" w:lineRule="auto"/>
        <w:rPr>
          <w:sz w:val="20"/>
          <w:szCs w:val="20"/>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means any of (a) the acquisition by any</w:t>
      </w:r>
      <w:r>
        <w:rPr>
          <w:rFonts w:ascii="Arial" w:cs="Arial" w:eastAsia="Arial" w:hAnsi="Arial"/>
          <w:sz w:val="19"/>
          <w:szCs w:val="19"/>
          <w:i w:val="1"/>
          <w:iCs w:val="1"/>
          <w:color w:val="auto"/>
        </w:rPr>
        <w:t xml:space="preserve"> “person” </w:t>
      </w:r>
      <w:r>
        <w:rPr>
          <w:rFonts w:ascii="Arial" w:cs="Arial" w:eastAsia="Arial" w:hAnsi="Arial"/>
          <w:sz w:val="19"/>
          <w:szCs w:val="19"/>
          <w:color w:val="auto"/>
        </w:rPr>
        <w:t>or</w:t>
      </w:r>
      <w:r>
        <w:rPr>
          <w:rFonts w:ascii="Arial" w:cs="Arial" w:eastAsia="Arial" w:hAnsi="Arial"/>
          <w:sz w:val="19"/>
          <w:szCs w:val="19"/>
          <w:i w:val="1"/>
          <w:iCs w:val="1"/>
          <w:color w:val="auto"/>
        </w:rPr>
        <w:t xml:space="preserve"> “group” </w:t>
      </w:r>
      <w:r>
        <w:rPr>
          <w:rFonts w:ascii="Arial" w:cs="Arial" w:eastAsia="Arial" w:hAnsi="Arial"/>
          <w:sz w:val="19"/>
          <w:szCs w:val="19"/>
          <w:color w:val="auto"/>
        </w:rPr>
        <w:t>(as such terms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used in sections 13(d) and 14(d) of the Securities Exchange Act of 1934, as amended) at any time that causes such person or group to become the </w:t>
      </w:r>
      <w:r>
        <w:rPr>
          <w:rFonts w:ascii="Arial" w:cs="Arial" w:eastAsia="Arial" w:hAnsi="Arial"/>
          <w:sz w:val="19"/>
          <w:szCs w:val="19"/>
          <w:i w:val="1"/>
          <w:iCs w:val="1"/>
          <w:color w:val="auto"/>
        </w:rPr>
        <w:t>“beneficial owner”</w:t>
      </w:r>
      <w:r>
        <w:rPr>
          <w:rFonts w:ascii="Arial" w:cs="Arial" w:eastAsia="Arial" w:hAnsi="Arial"/>
          <w:sz w:val="19"/>
          <w:szCs w:val="19"/>
          <w:color w:val="auto"/>
        </w:rPr>
        <w:t xml:space="preserve"> (as defined in Rules 13d-3 and 13d-5 under the Securities Exchange Act of 1934, as amended) of 51% or more of the outstanding capital stock or other equity interests of Parent on a fully-diluted basis, other than acquisitions of such interests by any party who is an officer or director of Parent as of the Closing Date, (b) the failure of individuals who are members of the board of directors (or similar governing body) of Parent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Parent, or (c) the failure of Parent or a Wholly-owned Subsidiary of Parent to (i) serve as the sole general partner of Borrower and (ii) to directly own 51% of the Equity Interests of Borrower.</w:t>
      </w:r>
    </w:p>
    <w:p>
      <w:pPr>
        <w:spacing w:after="0" w:line="173"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“Closing Date” </w:t>
      </w:r>
      <w:r>
        <w:rPr>
          <w:rFonts w:ascii="Arial" w:cs="Arial" w:eastAsia="Arial" w:hAnsi="Arial"/>
          <w:sz w:val="20"/>
          <w:szCs w:val="20"/>
          <w:color w:val="auto"/>
        </w:rPr>
        <w:t>means the date of this Agreement or such later Business Day upon which each</w:t>
      </w:r>
      <w:r>
        <w:rPr>
          <w:rFonts w:ascii="Arial" w:cs="Arial" w:eastAsia="Arial" w:hAnsi="Arial"/>
          <w:sz w:val="20"/>
          <w:szCs w:val="20"/>
          <w:i w:val="1"/>
          <w:iCs w:val="1"/>
          <w:color w:val="auto"/>
        </w:rPr>
        <w:t xml:space="preserve"> </w:t>
      </w:r>
      <w:r>
        <w:rPr>
          <w:rFonts w:ascii="Arial" w:cs="Arial" w:eastAsia="Arial" w:hAnsi="Arial"/>
          <w:sz w:val="20"/>
          <w:szCs w:val="20"/>
          <w:color w:val="auto"/>
        </w:rPr>
        <w:t>condition described in Section 7.2 shall be satisfied or waived in a manner acceptable to the Administrative Agent in its discretion.</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Closing Date Term Borrowing</w:t>
      </w:r>
      <w:r>
        <w:rPr>
          <w:rFonts w:ascii="Arial" w:cs="Arial" w:eastAsia="Arial" w:hAnsi="Arial"/>
          <w:sz w:val="20"/>
          <w:szCs w:val="20"/>
          <w:color w:val="auto"/>
        </w:rPr>
        <w:t>” means a Borrowing of Closing Date Term Loans.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 Term Loan</w:t>
      </w:r>
      <w:r>
        <w:rPr>
          <w:rFonts w:ascii="Arial" w:cs="Arial" w:eastAsia="Arial" w:hAnsi="Arial"/>
          <w:sz w:val="18"/>
          <w:szCs w:val="18"/>
          <w:color w:val="auto"/>
        </w:rPr>
        <w:t>” means an advance made by a Term Lender pursuant to Section 1.1(a).</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statute thereto.</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“Collateral Account” </w:t>
      </w:r>
      <w:r>
        <w:rPr>
          <w:rFonts w:ascii="Arial" w:cs="Arial" w:eastAsia="Arial" w:hAnsi="Arial"/>
          <w:sz w:val="20"/>
          <w:szCs w:val="20"/>
          <w:color w:val="auto"/>
        </w:rPr>
        <w:t>is defined in Section 9.4(b) hereof.</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Commitment</w:t>
      </w:r>
      <w:r>
        <w:rPr>
          <w:rFonts w:ascii="Arial" w:cs="Arial" w:eastAsia="Arial" w:hAnsi="Arial"/>
          <w:sz w:val="20"/>
          <w:szCs w:val="20"/>
          <w:color w:val="auto"/>
        </w:rPr>
        <w:t>” means a Term Commitment or an Incremental Term Loan Commitment, as the context may require.</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“Compliance Certificate” </w:t>
      </w:r>
      <w:r>
        <w:rPr>
          <w:rFonts w:ascii="Arial" w:cs="Arial" w:eastAsia="Arial" w:hAnsi="Arial"/>
          <w:sz w:val="20"/>
          <w:szCs w:val="20"/>
          <w:color w:val="auto"/>
        </w:rPr>
        <w:t>is defined in Section 8.5(e) hereof.</w:t>
      </w:r>
    </w:p>
    <w:p>
      <w:pPr>
        <w:spacing w:after="0" w:line="191" w:lineRule="exact"/>
        <w:rPr>
          <w:sz w:val="20"/>
          <w:szCs w:val="20"/>
          <w:color w:val="auto"/>
        </w:rPr>
      </w:pPr>
    </w:p>
    <w:p>
      <w:pPr>
        <w:jc w:val="both"/>
        <w:ind w:left="200" w:right="219" w:firstLine="594"/>
        <w:spacing w:after="0" w:line="279" w:lineRule="auto"/>
        <w:rPr>
          <w:sz w:val="20"/>
          <w:szCs w:val="20"/>
          <w:color w:val="auto"/>
        </w:rPr>
      </w:pPr>
      <w:r>
        <w:rPr>
          <w:rFonts w:ascii="Arial" w:cs="Arial" w:eastAsia="Arial" w:hAnsi="Arial"/>
          <w:sz w:val="19"/>
          <w:szCs w:val="19"/>
          <w:i w:val="1"/>
          <w:iCs w:val="1"/>
          <w:color w:val="auto"/>
        </w:rPr>
        <w:t xml:space="preserve">“Connection Income Taxes” </w:t>
      </w:r>
      <w:r>
        <w:rPr>
          <w:rFonts w:ascii="Arial" w:cs="Arial" w:eastAsia="Arial" w:hAnsi="Arial"/>
          <w:sz w:val="19"/>
          <w:szCs w:val="19"/>
          <w:color w:val="auto"/>
        </w:rPr>
        <w:t>means Other Connection Taxes that are imposed on or measured by net</w:t>
      </w:r>
      <w:r>
        <w:rPr>
          <w:rFonts w:ascii="Arial" w:cs="Arial" w:eastAsia="Arial" w:hAnsi="Arial"/>
          <w:sz w:val="19"/>
          <w:szCs w:val="19"/>
          <w:i w:val="1"/>
          <w:iCs w:val="1"/>
          <w:color w:val="auto"/>
        </w:rPr>
        <w:t xml:space="preserve"> </w:t>
      </w:r>
      <w:r>
        <w:rPr>
          <w:rFonts w:ascii="Arial" w:cs="Arial" w:eastAsia="Arial" w:hAnsi="Arial"/>
          <w:sz w:val="19"/>
          <w:szCs w:val="19"/>
          <w:color w:val="auto"/>
        </w:rPr>
        <w:t>income (however denominated) or that are franchise Taxes or branch profit Taxes.</w:t>
      </w:r>
    </w:p>
    <w:p>
      <w:pPr>
        <w:spacing w:after="0" w:line="136"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“Controlled Group” </w:t>
      </w:r>
      <w:r>
        <w:rPr>
          <w:rFonts w:ascii="Arial" w:cs="Arial" w:eastAsia="Arial" w:hAnsi="Arial"/>
          <w:sz w:val="20"/>
          <w:szCs w:val="20"/>
          <w:color w:val="auto"/>
        </w:rPr>
        <w:t>means all members of a controlled group of corporations and all trades or</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businesses (whether or not incorporated) under common control which, together with the Borrower, are treated as a single employer under Section 414 of the Code.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Covered Entity</w:t>
      </w:r>
      <w:r>
        <w:rPr>
          <w:rFonts w:ascii="Arial" w:cs="Arial" w:eastAsia="Arial" w:hAnsi="Arial"/>
          <w:sz w:val="20"/>
          <w:szCs w:val="20"/>
          <w:color w:val="auto"/>
        </w:rPr>
        <w:t>” has the meaning specified in Section 12.29.</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69" w:name="page70"/>
    <w:bookmarkEnd w:id="69"/>
    <w:p>
      <w:pPr>
        <w:jc w:val="both"/>
        <w:ind w:left="200" w:right="219" w:firstLine="594"/>
        <w:spacing w:after="0" w:line="262" w:lineRule="auto"/>
        <w:rPr>
          <w:sz w:val="20"/>
          <w:szCs w:val="20"/>
          <w:color w:val="auto"/>
        </w:rPr>
      </w:pPr>
      <w:r>
        <w:rPr>
          <w:rFonts w:ascii="Arial" w:cs="Arial" w:eastAsia="Arial" w:hAnsi="Arial"/>
          <w:sz w:val="18"/>
          <w:szCs w:val="18"/>
          <w:i w:val="1"/>
          <w:iCs w:val="1"/>
          <w:color w:val="auto"/>
        </w:rPr>
        <w:t xml:space="preserve">“Debt Service Coverage Amount” </w:t>
      </w:r>
      <w:r>
        <w:rPr>
          <w:rFonts w:ascii="Arial" w:cs="Arial" w:eastAsia="Arial" w:hAnsi="Arial"/>
          <w:sz w:val="18"/>
          <w:szCs w:val="18"/>
          <w:color w:val="auto"/>
        </w:rPr>
        <w:t>means the principal amount of Unsecured Indebtedness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serviced by the Borrowing Base NOI for the Rolling Period most recently ended for which financial statements have been delivered pursuant to Section 8.5 hereof at a debt service coverage ratio of 1.50 to 1.00 with interest and principal payments of Unsecured Indebtedness (in each case assuming a 30-year amortization) at the greater of (i) 6.5% per annum, (ii) a Eurodollar Loan with an Interest Period of one</w:t>
      </w:r>
    </w:p>
    <w:p>
      <w:pPr>
        <w:jc w:val="both"/>
        <w:ind w:left="200" w:right="219" w:firstLine="2"/>
        <w:spacing w:after="0" w:line="274" w:lineRule="auto"/>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month (including the Applicable Margin) and (iii) the 10-year treasury rate on the last day of such period plus 2.5%;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Borrowing Base NOI shall be reduced by excluding a portion of Property NOI attributable to Eligible Properties that exceed the concentration limits in the Borrowing Base Requirements.</w:t>
      </w:r>
    </w:p>
    <w:p>
      <w:pPr>
        <w:spacing w:after="0" w:line="141"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i w:val="1"/>
          <w:iCs w:val="1"/>
          <w:color w:val="auto"/>
        </w:rPr>
        <w:t xml:space="preserve">“Debtor Relief Laws” </w:t>
      </w:r>
      <w:r>
        <w:rPr>
          <w:rFonts w:ascii="Arial" w:cs="Arial" w:eastAsia="Arial" w:hAnsi="Arial"/>
          <w:sz w:val="20"/>
          <w:szCs w:val="20"/>
          <w:color w:val="auto"/>
        </w:rPr>
        <w:t>means the Bankruptcy Code of the United States of America, and all other</w:t>
      </w:r>
      <w:r>
        <w:rPr>
          <w:rFonts w:ascii="Arial" w:cs="Arial" w:eastAsia="Arial" w:hAnsi="Arial"/>
          <w:sz w:val="20"/>
          <w:szCs w:val="20"/>
          <w:i w:val="1"/>
          <w:iCs w:val="1"/>
          <w:color w:val="auto"/>
        </w:rPr>
        <w:t xml:space="preserve"> </w:t>
      </w:r>
      <w:r>
        <w:rPr>
          <w:rFonts w:ascii="Arial" w:cs="Arial" w:eastAsia="Arial" w:hAnsi="Arial"/>
          <w:sz w:val="20"/>
          <w:szCs w:val="20"/>
          <w:color w:val="auto"/>
        </w:rPr>
        <w:t>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3"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“Default” </w:t>
      </w:r>
      <w:r>
        <w:rPr>
          <w:rFonts w:ascii="Arial" w:cs="Arial" w:eastAsia="Arial" w:hAnsi="Arial"/>
          <w:sz w:val="20"/>
          <w:szCs w:val="20"/>
          <w:color w:val="auto"/>
        </w:rPr>
        <w:t>means any event or condition the occurrence of which would, with the passage of time or</w:t>
      </w:r>
      <w:r>
        <w:rPr>
          <w:rFonts w:ascii="Arial" w:cs="Arial" w:eastAsia="Arial" w:hAnsi="Arial"/>
          <w:sz w:val="20"/>
          <w:szCs w:val="20"/>
          <w:i w:val="1"/>
          <w:iCs w:val="1"/>
          <w:color w:val="auto"/>
        </w:rPr>
        <w:t xml:space="preserve"> </w:t>
      </w:r>
      <w:r>
        <w:rPr>
          <w:rFonts w:ascii="Arial" w:cs="Arial" w:eastAsia="Arial" w:hAnsi="Arial"/>
          <w:sz w:val="20"/>
          <w:szCs w:val="20"/>
          <w:color w:val="auto"/>
        </w:rPr>
        <w:t>the giving of notice, or both, constitute an Event of Default.</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“Defaulted Loan” </w:t>
      </w:r>
      <w:r>
        <w:rPr>
          <w:rFonts w:ascii="Arial" w:cs="Arial" w:eastAsia="Arial" w:hAnsi="Arial"/>
          <w:sz w:val="20"/>
          <w:szCs w:val="20"/>
          <w:color w:val="auto"/>
        </w:rPr>
        <w:t>is defined in the definition of</w:t>
      </w:r>
      <w:r>
        <w:rPr>
          <w:rFonts w:ascii="Arial" w:cs="Arial" w:eastAsia="Arial" w:hAnsi="Arial"/>
          <w:sz w:val="20"/>
          <w:szCs w:val="20"/>
          <w:i w:val="1"/>
          <w:iCs w:val="1"/>
          <w:color w:val="auto"/>
        </w:rPr>
        <w:t xml:space="preserve"> “Defaulting Lender” </w:t>
      </w:r>
      <w:r>
        <w:rPr>
          <w:rFonts w:ascii="Arial" w:cs="Arial" w:eastAsia="Arial" w:hAnsi="Arial"/>
          <w:sz w:val="20"/>
          <w:szCs w:val="20"/>
          <w:color w:val="auto"/>
        </w:rPr>
        <w:t>in this Section 5.1.</w:t>
      </w:r>
    </w:p>
    <w:p>
      <w:pPr>
        <w:spacing w:after="0" w:line="191" w:lineRule="exact"/>
        <w:rPr>
          <w:sz w:val="20"/>
          <w:szCs w:val="20"/>
          <w:color w:val="auto"/>
        </w:rPr>
      </w:pPr>
    </w:p>
    <w:p>
      <w:pPr>
        <w:jc w:val="both"/>
        <w:ind w:left="200" w:right="219" w:firstLine="594"/>
        <w:spacing w:after="0" w:line="265" w:lineRule="auto"/>
        <w:rPr>
          <w:sz w:val="20"/>
          <w:szCs w:val="20"/>
          <w:color w:val="auto"/>
        </w:rPr>
      </w:pPr>
      <w:r>
        <w:rPr>
          <w:rFonts w:ascii="Arial" w:cs="Arial" w:eastAsia="Arial" w:hAnsi="Arial"/>
          <w:sz w:val="18"/>
          <w:szCs w:val="18"/>
          <w:i w:val="1"/>
          <w:iCs w:val="1"/>
          <w:color w:val="auto"/>
        </w:rPr>
        <w:t xml:space="preserve">“Defaulting Lender” </w:t>
      </w:r>
      <w:r>
        <w:rPr>
          <w:rFonts w:ascii="Arial" w:cs="Arial" w:eastAsia="Arial" w:hAnsi="Arial"/>
          <w:sz w:val="18"/>
          <w:szCs w:val="18"/>
          <w:color w:val="auto"/>
        </w:rPr>
        <w:t>means any Lender that (a) has failed to fund any portion of the Loans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be funded by it hereunder (herein, a </w:t>
      </w:r>
      <w:r>
        <w:rPr>
          <w:rFonts w:ascii="Arial" w:cs="Arial" w:eastAsia="Arial" w:hAnsi="Arial"/>
          <w:sz w:val="18"/>
          <w:szCs w:val="18"/>
          <w:i w:val="1"/>
          <w:iCs w:val="1"/>
          <w:color w:val="auto"/>
        </w:rPr>
        <w:t>“Defaulted Loan”</w:t>
      </w:r>
      <w:r>
        <w:rPr>
          <w:rFonts w:ascii="Arial" w:cs="Arial" w:eastAsia="Arial" w:hAnsi="Arial"/>
          <w:sz w:val="18"/>
          <w:szCs w:val="18"/>
          <w:color w:val="auto"/>
        </w:rPr>
        <w:t>) within two (2) Business Days of the date required to be funded by it hereunder unless such failure has been cured, (b) has otherwise failed to pay over to the Administrative Agent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spacing w:after="0" w:line="152"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i w:val="1"/>
          <w:iCs w:val="1"/>
          <w:color w:val="auto"/>
        </w:rPr>
        <w:t xml:space="preserve">“Defaulting Lender Excess” </w:t>
      </w:r>
      <w:r>
        <w:rPr>
          <w:rFonts w:ascii="Arial" w:cs="Arial" w:eastAsia="Arial" w:hAnsi="Arial"/>
          <w:sz w:val="20"/>
          <w:szCs w:val="20"/>
          <w:color w:val="auto"/>
        </w:rPr>
        <w:t>means, with respect to any Defaulting Lender, the excess, if any, of</w:t>
      </w:r>
      <w:r>
        <w:rPr>
          <w:rFonts w:ascii="Arial" w:cs="Arial" w:eastAsia="Arial" w:hAnsi="Arial"/>
          <w:sz w:val="20"/>
          <w:szCs w:val="20"/>
          <w:i w:val="1"/>
          <w:iCs w:val="1"/>
          <w:color w:val="auto"/>
        </w:rPr>
        <w:t xml:space="preserve"> </w:t>
      </w:r>
      <w:r>
        <w:rPr>
          <w:rFonts w:ascii="Arial" w:cs="Arial" w:eastAsia="Arial" w:hAnsi="Arial"/>
          <w:sz w:val="20"/>
          <w:szCs w:val="20"/>
          <w:color w:val="auto"/>
        </w:rPr>
        <w:t>such Defaulting Lender’s 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spacing w:after="0" w:line="172" w:lineRule="exact"/>
        <w:rPr>
          <w:sz w:val="20"/>
          <w:szCs w:val="20"/>
          <w:color w:val="auto"/>
        </w:rPr>
      </w:pPr>
    </w:p>
    <w:p>
      <w:pPr>
        <w:jc w:val="both"/>
        <w:ind w:left="200" w:right="219" w:firstLine="594"/>
        <w:spacing w:after="0" w:line="265" w:lineRule="auto"/>
        <w:rPr>
          <w:sz w:val="20"/>
          <w:szCs w:val="20"/>
          <w:color w:val="auto"/>
        </w:rPr>
      </w:pPr>
      <w:r>
        <w:rPr>
          <w:rFonts w:ascii="Arial" w:cs="Arial" w:eastAsia="Arial" w:hAnsi="Arial"/>
          <w:sz w:val="18"/>
          <w:szCs w:val="18"/>
          <w:i w:val="1"/>
          <w:iCs w:val="1"/>
          <w:color w:val="auto"/>
        </w:rPr>
        <w:t xml:space="preserve">“Defaulting Lender Period” </w:t>
      </w:r>
      <w:r>
        <w:rPr>
          <w:rFonts w:ascii="Arial" w:cs="Arial" w:eastAsia="Arial" w:hAnsi="Arial"/>
          <w:sz w:val="18"/>
          <w:szCs w:val="18"/>
          <w:color w:val="auto"/>
        </w:rPr>
        <w:t>means, with respect to any Defaulting Lender, the period commencing</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upon which such Lender first became a Defaulting Lender and ending on the earliest of the following dates: the date on which (a) such Defaulting Lender is no longer the subject of a Bankruptcy Event or, if applicable, under the direction of a receiver or conservator, (b) the Defaulting Lender Excess with respect to such Defaulting Lender shall have been reduced to zero (whether by the funding by such Defaulting Lender of any Defaulted Loans of such Defaulting Lender or otherwise), and (c) such Defaulting Lender shall have delivered to Borrower and the Administrative Agent a written reaffirmation of its intention to honor its obligations hereunder, including with respect to its Commitments.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0" w:name="page71"/>
    <w:bookmarkEnd w:id="70"/>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“Dividends</w:t>
      </w:r>
      <w:r>
        <w:rPr>
          <w:rFonts w:ascii="Arial" w:cs="Arial" w:eastAsia="Arial" w:hAnsi="Arial"/>
          <w:sz w:val="20"/>
          <w:szCs w:val="20"/>
          <w:color w:val="auto"/>
        </w:rPr>
        <w:t>” means any dividend paid (or declared and then payable), as the case may be, in cash on</w:t>
      </w:r>
      <w:r>
        <w:rPr>
          <w:rFonts w:ascii="Arial" w:cs="Arial" w:eastAsia="Arial" w:hAnsi="Arial"/>
          <w:sz w:val="20"/>
          <w:szCs w:val="20"/>
          <w:i w:val="1"/>
          <w:iCs w:val="1"/>
          <w:color w:val="auto"/>
        </w:rPr>
        <w:t xml:space="preserve"> </w:t>
      </w:r>
      <w:r>
        <w:rPr>
          <w:rFonts w:ascii="Arial" w:cs="Arial" w:eastAsia="Arial" w:hAnsi="Arial"/>
          <w:sz w:val="20"/>
          <w:szCs w:val="20"/>
          <w:color w:val="auto"/>
        </w:rPr>
        <w:t>any equity security issued by the Borrower.</w:t>
      </w:r>
    </w:p>
    <w:p>
      <w:pPr>
        <w:spacing w:after="0" w:line="159"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i w:val="1"/>
          <w:iCs w:val="1"/>
          <w:color w:val="auto"/>
        </w:rPr>
        <w:t>Dividing</w:t>
      </w:r>
      <w:r>
        <w:rPr>
          <w:rFonts w:ascii="Arial" w:cs="Arial" w:eastAsia="Arial" w:hAnsi="Arial"/>
          <w:sz w:val="20"/>
          <w:szCs w:val="20"/>
          <w:color w:val="auto"/>
        </w:rPr>
        <w:t xml:space="preserve"> </w:t>
      </w:r>
      <w:r>
        <w:rPr>
          <w:rFonts w:ascii="Arial" w:cs="Arial" w:eastAsia="Arial" w:hAnsi="Arial"/>
          <w:sz w:val="20"/>
          <w:szCs w:val="20"/>
          <w:i w:val="1"/>
          <w:iCs w:val="1"/>
          <w:color w:val="auto"/>
        </w:rPr>
        <w:t>Person</w:t>
      </w:r>
      <w:r>
        <w:rPr>
          <w:rFonts w:ascii="Arial" w:cs="Arial" w:eastAsia="Arial" w:hAnsi="Arial"/>
          <w:sz w:val="20"/>
          <w:szCs w:val="20"/>
          <w:color w:val="auto"/>
        </w:rPr>
        <w:t>”) among two or more Persons, whether pursuant to a “plan of division” or similar arrangement</w:t>
      </w:r>
      <w:r>
        <w:rPr>
          <w:rFonts w:ascii="Arial" w:cs="Arial" w:eastAsia="Arial" w:hAnsi="Arial"/>
          <w:sz w:val="20"/>
          <w:szCs w:val="20"/>
          <w:i w:val="1"/>
          <w:iCs w:val="1"/>
          <w:color w:val="auto"/>
        </w:rPr>
        <w:t xml:space="preserve"> </w:t>
      </w:r>
      <w:r>
        <w:rPr>
          <w:rFonts w:ascii="Arial" w:cs="Arial" w:eastAsia="Arial" w:hAnsi="Arial"/>
          <w:sz w:val="20"/>
          <w:szCs w:val="20"/>
          <w:color w:val="auto"/>
        </w:rPr>
        <w:t>pursuant to Section 18-217 of the Delaware Limited Liability Company Act or any similar provision under the laws of any other applicable jurisdiction and pursuant to which the Dividing Person may or may not survive.</w:t>
      </w:r>
    </w:p>
    <w:p>
      <w:pPr>
        <w:spacing w:after="0" w:line="172" w:lineRule="exact"/>
        <w:rPr>
          <w:sz w:val="20"/>
          <w:szCs w:val="20"/>
          <w:color w:val="auto"/>
        </w:rPr>
      </w:pPr>
    </w:p>
    <w:p>
      <w:pPr>
        <w:jc w:val="both"/>
        <w:ind w:left="200" w:right="219" w:firstLine="594"/>
        <w:spacing w:after="0" w:line="250" w:lineRule="auto"/>
        <w:rPr>
          <w:sz w:val="20"/>
          <w:szCs w:val="20"/>
          <w:color w:val="auto"/>
        </w:rPr>
      </w:pPr>
      <w:r>
        <w:rPr>
          <w:rFonts w:ascii="Arial" w:cs="Arial" w:eastAsia="Arial" w:hAnsi="Arial"/>
          <w:sz w:val="19"/>
          <w:szCs w:val="19"/>
          <w:i w:val="1"/>
          <w:iCs w:val="1"/>
          <w:color w:val="auto"/>
        </w:rPr>
        <w:t xml:space="preserve">“EBITDA” </w:t>
      </w:r>
      <w:r>
        <w:rPr>
          <w:rFonts w:ascii="Arial" w:cs="Arial" w:eastAsia="Arial" w:hAnsi="Arial"/>
          <w:sz w:val="19"/>
          <w:szCs w:val="19"/>
          <w:color w:val="auto"/>
        </w:rPr>
        <w:t>means, for any period, determined on a consolidated basis of the Parent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Subsidiaries, in accordance with GAAP, the sum of net income (or loss) </w:t>
      </w:r>
      <w:r>
        <w:rPr>
          <w:rFonts w:ascii="Arial" w:cs="Arial" w:eastAsia="Arial" w:hAnsi="Arial"/>
          <w:sz w:val="19"/>
          <w:szCs w:val="19"/>
          <w:i w:val="1"/>
          <w:iCs w:val="1"/>
          <w:color w:val="auto"/>
        </w:rPr>
        <w:t>plus</w:t>
      </w:r>
      <w:r>
        <w:rPr>
          <w:rFonts w:ascii="Arial" w:cs="Arial" w:eastAsia="Arial" w:hAnsi="Arial"/>
          <w:sz w:val="19"/>
          <w:szCs w:val="19"/>
          <w:color w:val="auto"/>
        </w:rPr>
        <w:t>: (i) depreciation and amortization expense, to the extent included as an expense in the calculation of net income (or loss);</w:t>
      </w:r>
    </w:p>
    <w:p>
      <w:pPr>
        <w:spacing w:after="0" w:line="2" w:lineRule="exact"/>
        <w:rPr>
          <w:sz w:val="20"/>
          <w:szCs w:val="20"/>
          <w:color w:val="auto"/>
        </w:rPr>
      </w:pPr>
    </w:p>
    <w:p>
      <w:pPr>
        <w:jc w:val="both"/>
        <w:ind w:left="200" w:right="219" w:firstLine="2"/>
        <w:spacing w:after="0" w:line="258" w:lineRule="auto"/>
        <w:tabs>
          <w:tab w:leader="none" w:pos="49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Expense; (iii) income tax expense, to the extent included as an expense in the calculation of net income (or loss); (iv) extraordinary, unrealized or non-recurring losses, including (A) impairment charges,</w:t>
      </w:r>
    </w:p>
    <w:p>
      <w:pPr>
        <w:jc w:val="both"/>
        <w:ind w:left="200" w:right="219"/>
        <w:spacing w:after="0" w:line="249" w:lineRule="auto"/>
        <w:rPr>
          <w:rFonts w:ascii="Arial" w:cs="Arial" w:eastAsia="Arial" w:hAnsi="Arial"/>
          <w:sz w:val="18"/>
          <w:szCs w:val="18"/>
          <w:color w:val="auto"/>
        </w:rPr>
      </w:pPr>
      <w:r>
        <w:rPr>
          <w:rFonts w:ascii="Arial" w:cs="Arial" w:eastAsia="Arial" w:hAnsi="Arial"/>
          <w:sz w:val="19"/>
          <w:szCs w:val="19"/>
          <w:color w:val="auto"/>
        </w:rPr>
        <w:t xml:space="preserve">(B) losses from the sale of real property, and (v) non-cash compensation paid to employees of Parent in the form of Parent’s equity securities, </w:t>
      </w:r>
      <w:r>
        <w:rPr>
          <w:rFonts w:ascii="Arial" w:cs="Arial" w:eastAsia="Arial" w:hAnsi="Arial"/>
          <w:sz w:val="19"/>
          <w:szCs w:val="19"/>
          <w:i w:val="1"/>
          <w:iCs w:val="1"/>
          <w:color w:val="auto"/>
        </w:rPr>
        <w:t>minus</w:t>
      </w:r>
      <w:r>
        <w:rPr>
          <w:rFonts w:ascii="Arial" w:cs="Arial" w:eastAsia="Arial" w:hAnsi="Arial"/>
          <w:sz w:val="19"/>
          <w:szCs w:val="19"/>
          <w:color w:val="auto"/>
        </w:rPr>
        <w:t>: (a) extraordinary, unrealized or non-recurring gains, including (x) the write-up of assets and (y) gains from the sale of real property and (b) income tax benefits. Pro forma adjustments shall be made for any Property acquired or sold during any period as if the acquisition or disposition occurred on the first day of the applicable period.</w:t>
      </w:r>
    </w:p>
    <w:p>
      <w:pPr>
        <w:spacing w:after="0" w:line="162" w:lineRule="exact"/>
        <w:rPr>
          <w:sz w:val="20"/>
          <w:szCs w:val="20"/>
          <w:color w:val="auto"/>
        </w:rPr>
      </w:pPr>
    </w:p>
    <w:p>
      <w:pPr>
        <w:jc w:val="both"/>
        <w:ind w:left="200" w:right="219" w:firstLine="594"/>
        <w:spacing w:after="0" w:line="270" w:lineRule="auto"/>
        <w:rPr>
          <w:sz w:val="20"/>
          <w:szCs w:val="20"/>
          <w:color w:val="auto"/>
        </w:rPr>
      </w:pPr>
      <w:r>
        <w:rPr>
          <w:rFonts w:ascii="Arial" w:cs="Arial" w:eastAsia="Arial" w:hAnsi="Arial"/>
          <w:sz w:val="18"/>
          <w:szCs w:val="18"/>
          <w:i w:val="1"/>
          <w:iCs w:val="1"/>
          <w:color w:val="auto"/>
        </w:rPr>
        <w:t xml:space="preserve">“EEA Financial Institution” </w:t>
      </w:r>
      <w:r>
        <w:rPr>
          <w:rFonts w:ascii="Arial" w:cs="Arial" w:eastAsia="Arial" w:hAnsi="Arial"/>
          <w:sz w:val="18"/>
          <w:szCs w:val="18"/>
          <w:color w:val="auto"/>
        </w:rPr>
        <w:t>means (a) any institution established in any EEA Member Country</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subject to the supervision of an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48"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“EEA Member Country” </w:t>
      </w:r>
      <w:r>
        <w:rPr>
          <w:rFonts w:ascii="Arial" w:cs="Arial" w:eastAsia="Arial" w:hAnsi="Arial"/>
          <w:sz w:val="20"/>
          <w:szCs w:val="20"/>
          <w:color w:val="auto"/>
        </w:rPr>
        <w:t>means any of the member states of the European Union, Iceland,</w:t>
      </w:r>
      <w:r>
        <w:rPr>
          <w:rFonts w:ascii="Arial" w:cs="Arial" w:eastAsia="Arial" w:hAnsi="Arial"/>
          <w:sz w:val="20"/>
          <w:szCs w:val="20"/>
          <w:i w:val="1"/>
          <w:iCs w:val="1"/>
          <w:color w:val="auto"/>
        </w:rPr>
        <w:t xml:space="preserve"> </w:t>
      </w:r>
      <w:r>
        <w:rPr>
          <w:rFonts w:ascii="Arial" w:cs="Arial" w:eastAsia="Arial" w:hAnsi="Arial"/>
          <w:sz w:val="20"/>
          <w:szCs w:val="20"/>
          <w:color w:val="auto"/>
        </w:rPr>
        <w:t>Liechtenstein, and Norway.</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have responsibility for the resolution of any EEA Financial Institution.</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Electronic Copy</w:t>
      </w:r>
      <w:r>
        <w:rPr>
          <w:rFonts w:ascii="Arial" w:cs="Arial" w:eastAsia="Arial" w:hAnsi="Arial"/>
          <w:sz w:val="20"/>
          <w:szCs w:val="20"/>
          <w:color w:val="auto"/>
        </w:rPr>
        <w:t>” has the meaning specified in Section 8.22.</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Electronic Record</w:t>
      </w:r>
      <w:r>
        <w:rPr>
          <w:rFonts w:ascii="Arial" w:cs="Arial" w:eastAsia="Arial" w:hAnsi="Arial"/>
          <w:sz w:val="20"/>
          <w:szCs w:val="20"/>
          <w:color w:val="auto"/>
        </w:rPr>
        <w:t>” has the meaning specified in Section 8.22</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Electronic Signature</w:t>
      </w:r>
      <w:r>
        <w:rPr>
          <w:rFonts w:ascii="Arial" w:cs="Arial" w:eastAsia="Arial" w:hAnsi="Arial"/>
          <w:sz w:val="20"/>
          <w:szCs w:val="20"/>
          <w:color w:val="auto"/>
        </w:rPr>
        <w:t>” has the meaning specified in Section 8.22.</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“Eligible Assignee” </w:t>
      </w:r>
      <w:r>
        <w:rPr>
          <w:rFonts w:ascii="Arial" w:cs="Arial" w:eastAsia="Arial" w:hAnsi="Arial"/>
          <w:sz w:val="19"/>
          <w:szCs w:val="19"/>
          <w:color w:val="auto"/>
        </w:rPr>
        <w:t>means (a) a Lender, (b) an Affiliate of a Lender, (c) an Approved Fund, and</w:t>
      </w:r>
    </w:p>
    <w:p>
      <w:pPr>
        <w:spacing w:after="0" w:line="20" w:lineRule="exact"/>
        <w:rPr>
          <w:sz w:val="20"/>
          <w:szCs w:val="20"/>
          <w:color w:val="auto"/>
        </w:rPr>
      </w:pPr>
    </w:p>
    <w:p>
      <w:pPr>
        <w:jc w:val="both"/>
        <w:ind w:left="200" w:right="219" w:firstLine="2"/>
        <w:spacing w:after="0" w:line="234" w:lineRule="auto"/>
        <w:tabs>
          <w:tab w:leader="none" w:pos="488"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any other Person (other than a natural person) approved by (i) the Administrative Agent, and (ii) unless an Event of Default has occurred and is continuing, the Borrower (each such approval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notwithstanding the foregoing, “Eligible Assignee” shall not include the Borrower or any Guarantor or any of the Borrower’s or such Guarantor’s Affiliates or Subsidiaries.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1" w:name="page72"/>
    <w:bookmarkEnd w:id="71"/>
    <w:p>
      <w:pPr>
        <w:ind w:left="200" w:right="219" w:firstLine="594"/>
        <w:spacing w:after="0" w:line="279" w:lineRule="auto"/>
        <w:rPr>
          <w:sz w:val="20"/>
          <w:szCs w:val="20"/>
          <w:color w:val="auto"/>
        </w:rPr>
      </w:pPr>
      <w:r>
        <w:rPr>
          <w:rFonts w:ascii="Arial" w:cs="Arial" w:eastAsia="Arial" w:hAnsi="Arial"/>
          <w:sz w:val="19"/>
          <w:szCs w:val="19"/>
          <w:i w:val="1"/>
          <w:iCs w:val="1"/>
          <w:color w:val="auto"/>
        </w:rPr>
        <w:t xml:space="preserve">“Eligible Property” </w:t>
      </w:r>
      <w:r>
        <w:rPr>
          <w:rFonts w:ascii="Arial" w:cs="Arial" w:eastAsia="Arial" w:hAnsi="Arial"/>
          <w:sz w:val="19"/>
          <w:szCs w:val="19"/>
          <w:color w:val="auto"/>
        </w:rPr>
        <w:t>means, as of any Borrowing Base Determination Date, any Property owned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Borrower, a Guarantor or a 1031 Property Holder which satisfies the following conditions:</w:t>
      </w:r>
    </w:p>
    <w:p>
      <w:pPr>
        <w:spacing w:after="0" w:line="136" w:lineRule="exact"/>
        <w:rPr>
          <w:sz w:val="20"/>
          <w:szCs w:val="20"/>
          <w:color w:val="auto"/>
        </w:rPr>
      </w:pPr>
    </w:p>
    <w:p>
      <w:pPr>
        <w:jc w:val="both"/>
        <w:ind w:left="200" w:right="219" w:firstLine="1190"/>
        <w:spacing w:after="0" w:line="243" w:lineRule="auto"/>
        <w:tabs>
          <w:tab w:leader="none" w:pos="19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Is real property one hundred percent (100%) owned in fee simple, individually or collectively, by the Borrower, any Guarantor or any 1031 Property Holder, including Permitted Ground Lease Investments;</w:t>
      </w:r>
    </w:p>
    <w:p>
      <w:pPr>
        <w:spacing w:after="0" w:line="167" w:lineRule="exact"/>
        <w:rPr>
          <w:rFonts w:ascii="Arial" w:cs="Arial" w:eastAsia="Arial" w:hAnsi="Arial"/>
          <w:sz w:val="20"/>
          <w:szCs w:val="20"/>
          <w:color w:val="auto"/>
        </w:rPr>
      </w:pPr>
    </w:p>
    <w:p>
      <w:pPr>
        <w:ind w:left="1980" w:hanging="590"/>
        <w:spacing w:after="0"/>
        <w:tabs>
          <w:tab w:leader="none" w:pos="1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Is a Property located in the contiguous United States;</w:t>
      </w:r>
    </w:p>
    <w:p>
      <w:pPr>
        <w:spacing w:after="0" w:line="190" w:lineRule="exact"/>
        <w:rPr>
          <w:rFonts w:ascii="Arial" w:cs="Arial" w:eastAsia="Arial" w:hAnsi="Arial"/>
          <w:sz w:val="20"/>
          <w:szCs w:val="20"/>
          <w:color w:val="auto"/>
        </w:rPr>
      </w:pPr>
    </w:p>
    <w:p>
      <w:pPr>
        <w:jc w:val="both"/>
        <w:ind w:left="200" w:right="219" w:firstLine="1190"/>
        <w:spacing w:after="0" w:line="236" w:lineRule="auto"/>
        <w:tabs>
          <w:tab w:leader="none" w:pos="19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such Property is owned by the Borrower, (i) neither the Borrower’s beneficial ownership interest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a Ground Lease) to sell, transfer or otherwise dispose of such Property and to create a Lien on such Property as security for Indebtedness for Borrowed Money;</w:t>
      </w:r>
    </w:p>
    <w:p>
      <w:pPr>
        <w:spacing w:after="0" w:line="174" w:lineRule="exact"/>
        <w:rPr>
          <w:rFonts w:ascii="Arial" w:cs="Arial" w:eastAsia="Arial" w:hAnsi="Arial"/>
          <w:sz w:val="20"/>
          <w:szCs w:val="20"/>
          <w:color w:val="auto"/>
        </w:rPr>
      </w:pPr>
    </w:p>
    <w:p>
      <w:pPr>
        <w:jc w:val="both"/>
        <w:ind w:left="200" w:right="219" w:firstLine="1190"/>
        <w:spacing w:after="0" w:line="266" w:lineRule="auto"/>
        <w:tabs>
          <w:tab w:leader="none" w:pos="19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such Property is owned by a Material Subsidiary, (i) neither the Borrower’s beneficial ownership interest in such Material Subsidiary nor the Property is subject to any Lien (other than Permitted Liens or Liens in favor of the Administrative Agent) or to any negative pledge, (ii) the Material Subsidiary has the unilateral right (including the absence of any restrictions in a Ground Lease)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spacing w:after="0" w:line="151" w:lineRule="exact"/>
        <w:rPr>
          <w:rFonts w:ascii="Arial" w:cs="Arial" w:eastAsia="Arial" w:hAnsi="Arial"/>
          <w:sz w:val="18"/>
          <w:szCs w:val="18"/>
          <w:color w:val="auto"/>
        </w:rPr>
      </w:pPr>
    </w:p>
    <w:p>
      <w:pPr>
        <w:jc w:val="both"/>
        <w:ind w:left="200" w:right="219" w:firstLine="1190"/>
        <w:spacing w:after="0" w:line="243" w:lineRule="auto"/>
        <w:tabs>
          <w:tab w:leader="none" w:pos="19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Administrative Agent shall have received to the extent requested historic operating statements for such Property for the previous three (3) years, if available, and historic rent rolls for such Property for the previous three (3) years, if available;</w:t>
      </w:r>
    </w:p>
    <w:p>
      <w:pPr>
        <w:spacing w:after="0" w:line="167" w:lineRule="exact"/>
        <w:rPr>
          <w:rFonts w:ascii="Arial" w:cs="Arial" w:eastAsia="Arial" w:hAnsi="Arial"/>
          <w:sz w:val="20"/>
          <w:szCs w:val="20"/>
          <w:color w:val="auto"/>
        </w:rPr>
      </w:pPr>
    </w:p>
    <w:p>
      <w:pPr>
        <w:jc w:val="both"/>
        <w:ind w:left="200" w:right="219" w:firstLine="1190"/>
        <w:spacing w:after="0" w:line="265" w:lineRule="auto"/>
        <w:tabs>
          <w:tab w:leader="none" w:pos="19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spacing w:after="0" w:line="151" w:lineRule="exact"/>
        <w:rPr>
          <w:rFonts w:ascii="Arial" w:cs="Arial" w:eastAsia="Arial" w:hAnsi="Arial"/>
          <w:sz w:val="18"/>
          <w:szCs w:val="18"/>
          <w:color w:val="auto"/>
        </w:rPr>
      </w:pPr>
    </w:p>
    <w:p>
      <w:pPr>
        <w:ind w:left="200" w:right="219" w:firstLine="1190"/>
        <w:spacing w:after="0" w:line="279" w:lineRule="auto"/>
        <w:tabs>
          <w:tab w:leader="none" w:pos="1982"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 respect to such Property, any Tenant under a Significant Lease is not more than 60 days past due with respect to any monthly rent payment obligations under such Lease;</w:t>
      </w:r>
    </w:p>
    <w:p>
      <w:pPr>
        <w:spacing w:after="0" w:line="135" w:lineRule="exact"/>
        <w:rPr>
          <w:rFonts w:ascii="Arial" w:cs="Arial" w:eastAsia="Arial" w:hAnsi="Arial"/>
          <w:sz w:val="19"/>
          <w:szCs w:val="19"/>
          <w:color w:val="auto"/>
        </w:rPr>
      </w:pPr>
    </w:p>
    <w:p>
      <w:pPr>
        <w:jc w:val="both"/>
        <w:ind w:left="200" w:right="219" w:firstLine="1190"/>
        <w:spacing w:after="0" w:line="243" w:lineRule="auto"/>
        <w:tabs>
          <w:tab w:leader="none" w:pos="19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For each such Property, the Borrower, to the extent not previously provided, shall have delivered to the Administrative Agent a copy, certified as true and correct by the Borrower, of each of the following: if the Property Owner is not the Borrower, the Property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2" w:name="page73"/>
    <w:bookmarkEnd w:id="72"/>
    <w:p>
      <w:pPr>
        <w:jc w:val="both"/>
        <w:ind w:left="200" w:right="219"/>
        <w:spacing w:after="0" w:line="270" w:lineRule="auto"/>
        <w:rPr>
          <w:sz w:val="20"/>
          <w:szCs w:val="20"/>
          <w:color w:val="auto"/>
        </w:rPr>
      </w:pPr>
      <w:r>
        <w:rPr>
          <w:rFonts w:ascii="Arial" w:cs="Arial" w:eastAsia="Arial" w:hAnsi="Arial"/>
          <w:sz w:val="18"/>
          <w:szCs w:val="18"/>
          <w:color w:val="auto"/>
        </w:rPr>
        <w:t>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spacing w:after="0" w:line="148" w:lineRule="exact"/>
        <w:rPr>
          <w:sz w:val="20"/>
          <w:szCs w:val="20"/>
          <w:color w:val="auto"/>
        </w:rPr>
      </w:pPr>
    </w:p>
    <w:p>
      <w:pPr>
        <w:ind w:left="1980" w:hanging="590"/>
        <w:spacing w:after="0"/>
        <w:tabs>
          <w:tab w:leader="none" w:pos="1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Property is not an Asset Under Development or a Land Asset.</w:t>
      </w:r>
    </w:p>
    <w:p>
      <w:pPr>
        <w:spacing w:after="0" w:line="191" w:lineRule="exact"/>
        <w:rPr>
          <w:sz w:val="20"/>
          <w:szCs w:val="20"/>
          <w:color w:val="auto"/>
        </w:rPr>
      </w:pPr>
    </w:p>
    <w:p>
      <w:pPr>
        <w:jc w:val="both"/>
        <w:ind w:left="200" w:right="219" w:firstLine="594"/>
        <w:spacing w:after="0" w:line="250" w:lineRule="auto"/>
        <w:rPr>
          <w:sz w:val="20"/>
          <w:szCs w:val="20"/>
          <w:color w:val="auto"/>
        </w:rPr>
      </w:pPr>
      <w:r>
        <w:rPr>
          <w:rFonts w:ascii="Arial" w:cs="Arial" w:eastAsia="Arial" w:hAnsi="Arial"/>
          <w:sz w:val="19"/>
          <w:szCs w:val="19"/>
          <w:i w:val="1"/>
          <w:iCs w:val="1"/>
          <w:color w:val="auto"/>
        </w:rPr>
        <w:t xml:space="preserve">“Environmental Claim” </w:t>
      </w:r>
      <w:r>
        <w:rPr>
          <w:rFonts w:ascii="Arial" w:cs="Arial" w:eastAsia="Arial" w:hAnsi="Arial"/>
          <w:sz w:val="19"/>
          <w:szCs w:val="19"/>
          <w:color w:val="auto"/>
        </w:rPr>
        <w:t>means any investigation, notice, violation, demand, allegation, action, suit,</w:t>
      </w:r>
      <w:r>
        <w:rPr>
          <w:rFonts w:ascii="Arial" w:cs="Arial" w:eastAsia="Arial" w:hAnsi="Arial"/>
          <w:sz w:val="19"/>
          <w:szCs w:val="19"/>
          <w:i w:val="1"/>
          <w:iCs w:val="1"/>
          <w:color w:val="auto"/>
        </w:rPr>
        <w:t xml:space="preserve"> </w:t>
      </w:r>
      <w:r>
        <w:rPr>
          <w:rFonts w:ascii="Arial" w:cs="Arial" w:eastAsia="Arial" w:hAnsi="Arial"/>
          <w:sz w:val="19"/>
          <w:szCs w:val="19"/>
          <w:color w:val="auto"/>
        </w:rPr>
        <w:t>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Environmental Law or order of a governmental authority or (d) from any actual or alleged damage, injury, threat or harm to health, safety, natural resources or the environment.</w:t>
      </w:r>
    </w:p>
    <w:p>
      <w:pPr>
        <w:spacing w:after="0" w:line="164" w:lineRule="exact"/>
        <w:rPr>
          <w:sz w:val="20"/>
          <w:szCs w:val="20"/>
          <w:color w:val="auto"/>
        </w:rPr>
      </w:pPr>
    </w:p>
    <w:p>
      <w:pPr>
        <w:jc w:val="both"/>
        <w:ind w:left="200" w:right="219" w:firstLine="594"/>
        <w:spacing w:after="0" w:line="250" w:lineRule="auto"/>
        <w:rPr>
          <w:sz w:val="20"/>
          <w:szCs w:val="20"/>
          <w:color w:val="auto"/>
        </w:rPr>
      </w:pPr>
      <w:r>
        <w:rPr>
          <w:rFonts w:ascii="Arial" w:cs="Arial" w:eastAsia="Arial" w:hAnsi="Arial"/>
          <w:sz w:val="19"/>
          <w:szCs w:val="19"/>
          <w:i w:val="1"/>
          <w:iCs w:val="1"/>
          <w:color w:val="auto"/>
        </w:rPr>
        <w:t xml:space="preserve">“Environmental Law” </w:t>
      </w:r>
      <w:r>
        <w:rPr>
          <w:rFonts w:ascii="Arial" w:cs="Arial" w:eastAsia="Arial" w:hAnsi="Arial"/>
          <w:sz w:val="19"/>
          <w:szCs w:val="19"/>
          <w:color w:val="auto"/>
        </w:rPr>
        <w:t>means any current or future Legal Requirement pertaining to (a) the</w:t>
      </w:r>
      <w:r>
        <w:rPr>
          <w:rFonts w:ascii="Arial" w:cs="Arial" w:eastAsia="Arial" w:hAnsi="Arial"/>
          <w:sz w:val="19"/>
          <w:szCs w:val="19"/>
          <w:i w:val="1"/>
          <w:iCs w:val="1"/>
          <w:color w:val="auto"/>
        </w:rPr>
        <w:t xml:space="preserve"> </w:t>
      </w:r>
      <w:r>
        <w:rPr>
          <w:rFonts w:ascii="Arial" w:cs="Arial" w:eastAsia="Arial" w:hAnsi="Arial"/>
          <w:sz w:val="19"/>
          <w:szCs w:val="19"/>
          <w:color w:val="auto"/>
        </w:rPr>
        <w:t>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64"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19"/>
          <w:szCs w:val="19"/>
          <w:i w:val="1"/>
          <w:iCs w:val="1"/>
          <w:color w:val="auto"/>
        </w:rPr>
        <w:t xml:space="preserve">“Equity Interests” </w:t>
      </w:r>
      <w:r>
        <w:rPr>
          <w:rFonts w:ascii="Arial" w:cs="Arial" w:eastAsia="Arial" w:hAnsi="Arial"/>
          <w:sz w:val="19"/>
          <w:szCs w:val="19"/>
          <w:color w:val="auto"/>
        </w:rPr>
        <w:t>means with respect to any Person, any share of capital stock of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63"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“ERISA” </w:t>
      </w:r>
      <w:r>
        <w:rPr>
          <w:rFonts w:ascii="Arial" w:cs="Arial" w:eastAsia="Arial" w:hAnsi="Arial"/>
          <w:sz w:val="20"/>
          <w:szCs w:val="20"/>
          <w:color w:val="auto"/>
        </w:rPr>
        <w:t>means the Employee Retirement Income Security Act of 1974, as amended, or any</w:t>
      </w:r>
      <w:r>
        <w:rPr>
          <w:rFonts w:ascii="Arial" w:cs="Arial" w:eastAsia="Arial" w:hAnsi="Arial"/>
          <w:sz w:val="20"/>
          <w:szCs w:val="20"/>
          <w:i w:val="1"/>
          <w:iCs w:val="1"/>
          <w:color w:val="auto"/>
        </w:rPr>
        <w:t xml:space="preserve"> </w:t>
      </w:r>
      <w:r>
        <w:rPr>
          <w:rFonts w:ascii="Arial" w:cs="Arial" w:eastAsia="Arial" w:hAnsi="Arial"/>
          <w:sz w:val="20"/>
          <w:szCs w:val="20"/>
          <w:color w:val="auto"/>
        </w:rPr>
        <w:t>successor statute thereto.</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Erroneous Payment</w:t>
      </w:r>
      <w:r>
        <w:rPr>
          <w:rFonts w:ascii="Arial" w:cs="Arial" w:eastAsia="Arial" w:hAnsi="Arial"/>
          <w:sz w:val="20"/>
          <w:szCs w:val="20"/>
          <w:color w:val="auto"/>
        </w:rPr>
        <w:t>” has the meaning assigned to such term in Section 12.30.</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Erroneous Payment Deficiency Assignment</w:t>
      </w:r>
      <w:r>
        <w:rPr>
          <w:rFonts w:ascii="Arial" w:cs="Arial" w:eastAsia="Arial" w:hAnsi="Arial"/>
          <w:sz w:val="18"/>
          <w:szCs w:val="18"/>
          <w:color w:val="auto"/>
        </w:rPr>
        <w:t>” has the meaning assigned to such term in Section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12.30.</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Erroneous Payment Impacted Class</w:t>
      </w:r>
      <w:r>
        <w:rPr>
          <w:rFonts w:ascii="Arial" w:cs="Arial" w:eastAsia="Arial" w:hAnsi="Arial"/>
          <w:sz w:val="18"/>
          <w:szCs w:val="18"/>
          <w:color w:val="auto"/>
        </w:rPr>
        <w:t>” has the meaning assigned to such term in Section 12.30(d).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3" w:name="page74"/>
    <w:bookmarkEnd w:id="73"/>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Erroneous Payment Return Deficiency</w:t>
      </w:r>
      <w:r>
        <w:rPr>
          <w:rFonts w:ascii="Arial" w:cs="Arial" w:eastAsia="Arial" w:hAnsi="Arial"/>
          <w:sz w:val="18"/>
          <w:szCs w:val="18"/>
          <w:color w:val="auto"/>
        </w:rPr>
        <w:t>” has the meaning assigned to such term in Section 12.30(d).</w:t>
      </w:r>
    </w:p>
    <w:p>
      <w:pPr>
        <w:spacing w:after="0" w:line="214" w:lineRule="exact"/>
        <w:rPr>
          <w:sz w:val="20"/>
          <w:szCs w:val="20"/>
          <w:color w:val="auto"/>
        </w:rPr>
      </w:pPr>
    </w:p>
    <w:p>
      <w:pPr>
        <w:ind w:left="200" w:right="95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Erroneous Payment Subrogation Rights</w:t>
      </w:r>
      <w:r>
        <w:rPr>
          <w:rFonts w:ascii="Arial" w:cs="Arial" w:eastAsia="Arial" w:hAnsi="Arial"/>
          <w:sz w:val="20"/>
          <w:szCs w:val="20"/>
          <w:color w:val="auto"/>
        </w:rPr>
        <w:t>” has the meaning assigned to such term in Section 12.30(d).</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“EU Bail-In Legislation Schedule” </w:t>
      </w:r>
      <w:r>
        <w:rPr>
          <w:rFonts w:ascii="Arial" w:cs="Arial" w:eastAsia="Arial" w:hAnsi="Arial"/>
          <w:sz w:val="20"/>
          <w:szCs w:val="20"/>
          <w:color w:val="auto"/>
        </w:rPr>
        <w:t>means the EU Bail-In Legislation Schedule published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Loan Market Association (or any successor Person), as in effect from time to time.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9"/>
          <w:szCs w:val="19"/>
          <w:i w:val="1"/>
          <w:iCs w:val="1"/>
          <w:color w:val="auto"/>
        </w:rPr>
        <w:t xml:space="preserve">“Eurodollar Loan” </w:t>
      </w:r>
      <w:r>
        <w:rPr>
          <w:rFonts w:ascii="Arial" w:cs="Arial" w:eastAsia="Arial" w:hAnsi="Arial"/>
          <w:sz w:val="19"/>
          <w:szCs w:val="19"/>
          <w:color w:val="auto"/>
        </w:rPr>
        <w:t>means a Loan bearing interest at the rate specified in Section 1.4(b) hereof.</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“Eurodollar Reserve Percentage” </w:t>
      </w:r>
      <w:r>
        <w:rPr>
          <w:rFonts w:ascii="Arial" w:cs="Arial" w:eastAsia="Arial" w:hAnsi="Arial"/>
          <w:sz w:val="20"/>
          <w:szCs w:val="20"/>
          <w:color w:val="auto"/>
        </w:rPr>
        <w:t>is defined in Section 1.4(b) hereof.</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“Event of Default” </w:t>
      </w:r>
      <w:r>
        <w:rPr>
          <w:rFonts w:ascii="Arial" w:cs="Arial" w:eastAsia="Arial" w:hAnsi="Arial"/>
          <w:sz w:val="20"/>
          <w:szCs w:val="20"/>
          <w:color w:val="auto"/>
        </w:rPr>
        <w:t>means any event or condition identified as such in Section 9.1 hereof.</w:t>
      </w:r>
    </w:p>
    <w:p>
      <w:pPr>
        <w:spacing w:after="0" w:line="191" w:lineRule="exact"/>
        <w:rPr>
          <w:sz w:val="20"/>
          <w:szCs w:val="20"/>
          <w:color w:val="auto"/>
        </w:rPr>
      </w:pPr>
    </w:p>
    <w:p>
      <w:pPr>
        <w:jc w:val="both"/>
        <w:ind w:left="200" w:right="219" w:firstLine="59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8"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8"/>
          <w:szCs w:val="18"/>
          <w:i w:val="1"/>
          <w:iCs w:val="1"/>
          <w:color w:val="auto"/>
        </w:rPr>
        <w:t xml:space="preserve">“Excluded Taxes” </w:t>
      </w:r>
      <w:r>
        <w:rPr>
          <w:rFonts w:ascii="Arial" w:cs="Arial" w:eastAsia="Arial" w:hAnsi="Arial"/>
          <w:sz w:val="18"/>
          <w:szCs w:val="18"/>
          <w:color w:val="auto"/>
        </w:rPr>
        <w:t>means any of the following Taxes imposed on or with respect to a Recipient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spacing w:after="0" w:line="153" w:lineRule="exact"/>
        <w:rPr>
          <w:sz w:val="20"/>
          <w:szCs w:val="20"/>
          <w:color w:val="auto"/>
        </w:rPr>
      </w:pPr>
    </w:p>
    <w:p>
      <w:pPr>
        <w:jc w:val="both"/>
        <w:ind w:left="200" w:right="219" w:firstLine="59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Existing Credit Agreement</w:t>
      </w:r>
      <w:r>
        <w:rPr>
          <w:rFonts w:ascii="Arial" w:cs="Arial" w:eastAsia="Arial" w:hAnsi="Arial"/>
          <w:sz w:val="19"/>
          <w:szCs w:val="19"/>
          <w:color w:val="auto"/>
        </w:rPr>
        <w:t>” means that certain Credit Agreement dated as of November 26, 2019, among Borrower, the Bank of Montreal, a syndicate of lenders and the other parties party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4" w:name="page75"/>
    <w:bookmarkEnd w:id="74"/>
    <w:p>
      <w:pPr>
        <w:jc w:val="both"/>
        <w:ind w:left="200" w:right="219"/>
        <w:spacing w:after="0" w:line="239" w:lineRule="auto"/>
        <w:rPr>
          <w:sz w:val="20"/>
          <w:szCs w:val="20"/>
          <w:color w:val="auto"/>
        </w:rPr>
      </w:pPr>
      <w:r>
        <w:rPr>
          <w:rFonts w:ascii="Arial" w:cs="Arial" w:eastAsia="Arial" w:hAnsi="Arial"/>
          <w:sz w:val="20"/>
          <w:szCs w:val="20"/>
          <w:color w:val="auto"/>
        </w:rPr>
        <w:t>thereto, as amended by that certain First Amendment to Credit Agreement dated June 30, 2020, that certain Second Amendment Credit Agreement dated October 16, 2020, that certain Third Amendment Credit Agreement dated May 19, 2021, and as may be further amended, restated, supplemented or otherwise modified.</w:t>
      </w:r>
    </w:p>
    <w:p>
      <w:pPr>
        <w:spacing w:after="0" w:line="173"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Facility</w:t>
      </w:r>
      <w:r>
        <w:rPr>
          <w:rFonts w:ascii="Arial" w:cs="Arial" w:eastAsia="Arial" w:hAnsi="Arial"/>
          <w:sz w:val="20"/>
          <w:szCs w:val="20"/>
          <w:color w:val="auto"/>
        </w:rPr>
        <w:t>” means the Term Facility or any Incremental Term Loan Facility, as the context may require.</w:t>
      </w:r>
    </w:p>
    <w:p>
      <w:pPr>
        <w:spacing w:after="0" w:line="159" w:lineRule="exact"/>
        <w:rPr>
          <w:sz w:val="20"/>
          <w:szCs w:val="20"/>
          <w:color w:val="auto"/>
        </w:rPr>
      </w:pPr>
    </w:p>
    <w:p>
      <w:pPr>
        <w:jc w:val="both"/>
        <w:ind w:left="200" w:right="219" w:firstLine="643"/>
        <w:spacing w:after="0" w:line="256" w:lineRule="auto"/>
        <w:rPr>
          <w:sz w:val="20"/>
          <w:szCs w:val="20"/>
          <w:color w:val="auto"/>
        </w:rPr>
      </w:pPr>
      <w:r>
        <w:rPr>
          <w:rFonts w:ascii="Arial" w:cs="Arial" w:eastAsia="Arial" w:hAnsi="Arial"/>
          <w:sz w:val="19"/>
          <w:szCs w:val="19"/>
          <w:i w:val="1"/>
          <w:iCs w:val="1"/>
          <w:color w:val="auto"/>
        </w:rPr>
        <w:t xml:space="preserve">“FATCA” </w:t>
      </w:r>
      <w:r>
        <w:rPr>
          <w:rFonts w:ascii="Arial" w:cs="Arial" w:eastAsia="Arial" w:hAnsi="Arial"/>
          <w:sz w:val="19"/>
          <w:szCs w:val="19"/>
          <w:color w:val="auto"/>
        </w:rPr>
        <w:t>means Sections 1471 through 1474 of the Code, as of the date of this Agreement (or any</w:t>
      </w:r>
      <w:r>
        <w:rPr>
          <w:rFonts w:ascii="Arial" w:cs="Arial" w:eastAsia="Arial" w:hAnsi="Arial"/>
          <w:sz w:val="19"/>
          <w:szCs w:val="19"/>
          <w:i w:val="1"/>
          <w:iCs w:val="1"/>
          <w:color w:val="auto"/>
        </w:rPr>
        <w:t xml:space="preserve"> </w:t>
      </w:r>
      <w:r>
        <w:rPr>
          <w:rFonts w:ascii="Arial" w:cs="Arial" w:eastAsia="Arial" w:hAnsi="Arial"/>
          <w:sz w:val="19"/>
          <w:szCs w:val="19"/>
          <w:color w:val="auto"/>
        </w:rPr>
        <w:t>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“FCPA” </w:t>
      </w:r>
      <w:r>
        <w:rPr>
          <w:rFonts w:ascii="Arial" w:cs="Arial" w:eastAsia="Arial" w:hAnsi="Arial"/>
          <w:sz w:val="20"/>
          <w:szCs w:val="20"/>
          <w:color w:val="auto"/>
        </w:rPr>
        <w:t>means the Foreign Corrupt Practices Act, 15 U.S.C. §§78dd-1, et seq.</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“Federal Funds Rate” </w:t>
      </w:r>
      <w:r>
        <w:rPr>
          <w:rFonts w:ascii="Arial" w:cs="Arial" w:eastAsia="Arial" w:hAnsi="Arial"/>
          <w:sz w:val="20"/>
          <w:szCs w:val="20"/>
          <w:color w:val="auto"/>
        </w:rPr>
        <w:t>is defined in Section 1.4(a) hereof.</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“Federal Reserve Bank of New York’s Website” </w:t>
      </w:r>
      <w:r>
        <w:rPr>
          <w:rFonts w:ascii="Arial" w:cs="Arial" w:eastAsia="Arial" w:hAnsi="Arial"/>
          <w:sz w:val="20"/>
          <w:szCs w:val="20"/>
          <w:color w:val="auto"/>
        </w:rPr>
        <w:t>means the website of the Federal Reserve Bank of</w:t>
      </w:r>
      <w:r>
        <w:rPr>
          <w:rFonts w:ascii="Arial" w:cs="Arial" w:eastAsia="Arial" w:hAnsi="Arial"/>
          <w:sz w:val="20"/>
          <w:szCs w:val="20"/>
          <w:i w:val="1"/>
          <w:iCs w:val="1"/>
          <w:color w:val="auto"/>
        </w:rPr>
        <w:t xml:space="preserve"> </w:t>
      </w:r>
      <w:r>
        <w:rPr>
          <w:rFonts w:ascii="Arial" w:cs="Arial" w:eastAsia="Arial" w:hAnsi="Arial"/>
          <w:sz w:val="20"/>
          <w:szCs w:val="20"/>
          <w:color w:val="auto"/>
        </w:rPr>
        <w:t>New York at http://www.newyorkfed.org, or any successor source.</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Fee Letter</w:t>
      </w:r>
      <w:r>
        <w:rPr>
          <w:rFonts w:ascii="Arial" w:cs="Arial" w:eastAsia="Arial" w:hAnsi="Arial"/>
          <w:sz w:val="20"/>
          <w:szCs w:val="20"/>
          <w:color w:val="auto"/>
        </w:rPr>
        <w:t>” means the letter agreement, dated September 30, 2021, among Borrower, KBCM, and KeyBank.</w:t>
      </w:r>
    </w:p>
    <w:p>
      <w:pPr>
        <w:spacing w:after="0" w:line="159" w:lineRule="exact"/>
        <w:rPr>
          <w:sz w:val="20"/>
          <w:szCs w:val="20"/>
          <w:color w:val="auto"/>
        </w:rPr>
      </w:pPr>
    </w:p>
    <w:p>
      <w:pPr>
        <w:jc w:val="both"/>
        <w:ind w:left="200" w:right="219" w:firstLine="643"/>
        <w:spacing w:after="0" w:line="253" w:lineRule="auto"/>
        <w:rPr>
          <w:sz w:val="20"/>
          <w:szCs w:val="20"/>
          <w:color w:val="auto"/>
        </w:rPr>
      </w:pPr>
      <w:r>
        <w:rPr>
          <w:rFonts w:ascii="Arial" w:cs="Arial" w:eastAsia="Arial" w:hAnsi="Arial"/>
          <w:sz w:val="20"/>
          <w:szCs w:val="20"/>
          <w:i w:val="1"/>
          <w:iCs w:val="1"/>
          <w:color w:val="auto"/>
        </w:rPr>
        <w:t xml:space="preserve">“Fiscal Quarter” </w:t>
      </w:r>
      <w:r>
        <w:rPr>
          <w:rFonts w:ascii="Arial" w:cs="Arial" w:eastAsia="Arial" w:hAnsi="Arial"/>
          <w:sz w:val="20"/>
          <w:szCs w:val="20"/>
          <w:color w:val="auto"/>
        </w:rPr>
        <w:t>means each of the three-month periods ending on March 31, June 30, September</w:t>
      </w:r>
      <w:r>
        <w:rPr>
          <w:rFonts w:ascii="Arial" w:cs="Arial" w:eastAsia="Arial" w:hAnsi="Arial"/>
          <w:sz w:val="20"/>
          <w:szCs w:val="20"/>
          <w:i w:val="1"/>
          <w:iCs w:val="1"/>
          <w:color w:val="auto"/>
        </w:rPr>
        <w:t xml:space="preserve"> </w:t>
      </w:r>
      <w:r>
        <w:rPr>
          <w:rFonts w:ascii="Arial" w:cs="Arial" w:eastAsia="Arial" w:hAnsi="Arial"/>
          <w:sz w:val="20"/>
          <w:szCs w:val="20"/>
          <w:color w:val="auto"/>
        </w:rPr>
        <w:t>30 and December 31.</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“Fiscal Year” </w:t>
      </w:r>
      <w:r>
        <w:rPr>
          <w:rFonts w:ascii="Arial" w:cs="Arial" w:eastAsia="Arial" w:hAnsi="Arial"/>
          <w:sz w:val="20"/>
          <w:szCs w:val="20"/>
          <w:color w:val="auto"/>
        </w:rPr>
        <w:t>means the twelve-month period ending on December 31.</w:t>
      </w:r>
    </w:p>
    <w:p>
      <w:pPr>
        <w:spacing w:after="0" w:line="191" w:lineRule="exact"/>
        <w:rPr>
          <w:sz w:val="20"/>
          <w:szCs w:val="20"/>
          <w:color w:val="auto"/>
        </w:rPr>
      </w:pPr>
    </w:p>
    <w:p>
      <w:pPr>
        <w:jc w:val="both"/>
        <w:ind w:left="200" w:right="219" w:firstLine="594"/>
        <w:spacing w:after="0" w:line="236" w:lineRule="auto"/>
        <w:rPr>
          <w:sz w:val="20"/>
          <w:szCs w:val="20"/>
          <w:color w:val="auto"/>
        </w:rPr>
      </w:pPr>
      <w:r>
        <w:rPr>
          <w:rFonts w:ascii="Arial" w:cs="Arial" w:eastAsia="Arial" w:hAnsi="Arial"/>
          <w:sz w:val="20"/>
          <w:szCs w:val="20"/>
          <w:i w:val="1"/>
          <w:iCs w:val="1"/>
          <w:color w:val="auto"/>
        </w:rPr>
        <w:t xml:space="preserve">“Fixed Charges” </w:t>
      </w:r>
      <w:r>
        <w:rPr>
          <w:rFonts w:ascii="Arial" w:cs="Arial" w:eastAsia="Arial" w:hAnsi="Arial"/>
          <w:sz w:val="20"/>
          <w:szCs w:val="20"/>
          <w:color w:val="auto"/>
        </w:rPr>
        <w:t>means, for any Rolling Period, (a) Interest Expense, plus (b) scheduled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amortization paid on Total Indebtedness (exclusive of any balloon payments or prepayments of principal paid on such Total Indebtedness), plus (c) Dividends and required distributions on the Parent’s preferred equity securities for such Rolling Period plus (d) all income taxes (federal, state and local) paid by Parent and its Subsidiaries in cash during such Rolling Period. Pro forma adjustments shall be made for any Property acquired or sold during any period as if the acquisition or disposition occurred on the first day of the applicable period.</w:t>
      </w:r>
    </w:p>
    <w:p>
      <w:pPr>
        <w:spacing w:after="0" w:line="174"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“Fund” </w:t>
      </w:r>
      <w:r>
        <w:rPr>
          <w:rFonts w:ascii="Arial" w:cs="Arial" w:eastAsia="Arial" w:hAnsi="Arial"/>
          <w:sz w:val="20"/>
          <w:szCs w:val="20"/>
          <w:color w:val="auto"/>
        </w:rPr>
        <w:t>means any Person (other than a natural person) that is (or will be) engaged in making,</w:t>
      </w:r>
      <w:r>
        <w:rPr>
          <w:rFonts w:ascii="Arial" w:cs="Arial" w:eastAsia="Arial" w:hAnsi="Arial"/>
          <w:sz w:val="20"/>
          <w:szCs w:val="20"/>
          <w:i w:val="1"/>
          <w:iCs w:val="1"/>
          <w:color w:val="auto"/>
        </w:rPr>
        <w:t xml:space="preserve"> </w:t>
      </w:r>
      <w:r>
        <w:rPr>
          <w:rFonts w:ascii="Arial" w:cs="Arial" w:eastAsia="Arial" w:hAnsi="Arial"/>
          <w:sz w:val="20"/>
          <w:szCs w:val="20"/>
          <w:color w:val="auto"/>
        </w:rPr>
        <w:t>purchasing, holding or otherwise investing in commercial loans and similar extensions of credit in the ordinary course of its business.</w:t>
      </w:r>
    </w:p>
    <w:p>
      <w:pPr>
        <w:spacing w:after="0" w:line="168" w:lineRule="exact"/>
        <w:rPr>
          <w:sz w:val="20"/>
          <w:szCs w:val="20"/>
          <w:color w:val="auto"/>
        </w:rPr>
      </w:pPr>
    </w:p>
    <w:p>
      <w:pPr>
        <w:jc w:val="both"/>
        <w:ind w:left="200" w:right="219" w:firstLine="594"/>
        <w:spacing w:after="0" w:line="266" w:lineRule="auto"/>
        <w:rPr>
          <w:sz w:val="20"/>
          <w:szCs w:val="20"/>
          <w:color w:val="auto"/>
        </w:rPr>
      </w:pPr>
      <w:r>
        <w:rPr>
          <w:rFonts w:ascii="Arial" w:cs="Arial" w:eastAsia="Arial" w:hAnsi="Arial"/>
          <w:sz w:val="18"/>
          <w:szCs w:val="18"/>
          <w:i w:val="1"/>
          <w:iCs w:val="1"/>
          <w:color w:val="auto"/>
        </w:rPr>
        <w:t xml:space="preserve">“Funds Transfer and Deposit Account Liability” </w:t>
      </w:r>
      <w:r>
        <w:rPr>
          <w:rFonts w:ascii="Arial" w:cs="Arial" w:eastAsia="Arial" w:hAnsi="Arial"/>
          <w:sz w:val="18"/>
          <w:szCs w:val="18"/>
          <w:color w:val="auto"/>
        </w:rPr>
        <w:t>means the liability of the Borrower,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5" w:name="page76"/>
    <w:bookmarkEnd w:id="75"/>
    <w:p>
      <w:pPr>
        <w:jc w:val="both"/>
        <w:ind w:left="200" w:right="219" w:firstLine="594"/>
        <w:spacing w:after="0" w:line="270"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from time to time in the opinions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spacing w:after="0" w:line="148"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“Governmental Authority” </w:t>
      </w:r>
      <w:r>
        <w:rPr>
          <w:rFonts w:ascii="Arial" w:cs="Arial" w:eastAsia="Arial" w:hAnsi="Arial"/>
          <w:sz w:val="19"/>
          <w:szCs w:val="19"/>
          <w:color w:val="auto"/>
        </w:rPr>
        <w:t>means the government of the United States of America or any other</w:t>
      </w:r>
      <w:r>
        <w:rPr>
          <w:rFonts w:ascii="Arial" w:cs="Arial" w:eastAsia="Arial" w:hAnsi="Arial"/>
          <w:sz w:val="19"/>
          <w:szCs w:val="19"/>
          <w:i w:val="1"/>
          <w:iCs w:val="1"/>
          <w:color w:val="auto"/>
        </w:rPr>
        <w:t xml:space="preserve"> </w:t>
      </w:r>
      <w:r>
        <w:rPr>
          <w:rFonts w:ascii="Arial" w:cs="Arial" w:eastAsia="Arial" w:hAnsi="Arial"/>
          <w:sz w:val="19"/>
          <w:szCs w:val="19"/>
          <w:color w:val="auto"/>
        </w:rPr>
        <w:t>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0"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“Ground Lease” </w:t>
      </w:r>
      <w:r>
        <w:rPr>
          <w:rFonts w:ascii="Arial" w:cs="Arial" w:eastAsia="Arial" w:hAnsi="Arial"/>
          <w:sz w:val="20"/>
          <w:szCs w:val="20"/>
          <w:color w:val="auto"/>
        </w:rPr>
        <w:t>means a long term lease of real Property granted by the fee owner of the real</w:t>
      </w:r>
      <w:r>
        <w:rPr>
          <w:rFonts w:ascii="Arial" w:cs="Arial" w:eastAsia="Arial" w:hAnsi="Arial"/>
          <w:sz w:val="20"/>
          <w:szCs w:val="20"/>
          <w:i w:val="1"/>
          <w:iCs w:val="1"/>
          <w:color w:val="auto"/>
        </w:rPr>
        <w:t xml:space="preserve"> </w:t>
      </w:r>
      <w:r>
        <w:rPr>
          <w:rFonts w:ascii="Arial" w:cs="Arial" w:eastAsia="Arial" w:hAnsi="Arial"/>
          <w:sz w:val="20"/>
          <w:szCs w:val="20"/>
          <w:color w:val="auto"/>
        </w:rPr>
        <w:t>Property.</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“Guarantor” </w:t>
      </w:r>
      <w:r>
        <w:rPr>
          <w:rFonts w:ascii="Arial" w:cs="Arial" w:eastAsia="Arial" w:hAnsi="Arial"/>
          <w:sz w:val="20"/>
          <w:szCs w:val="20"/>
          <w:color w:val="auto"/>
        </w:rPr>
        <w:t>and</w:t>
      </w:r>
      <w:r>
        <w:rPr>
          <w:rFonts w:ascii="Arial" w:cs="Arial" w:eastAsia="Arial" w:hAnsi="Arial"/>
          <w:sz w:val="20"/>
          <w:szCs w:val="20"/>
          <w:i w:val="1"/>
          <w:iCs w:val="1"/>
          <w:color w:val="auto"/>
        </w:rPr>
        <w:t xml:space="preserve"> “Guarantors” </w:t>
      </w:r>
      <w:r>
        <w:rPr>
          <w:rFonts w:ascii="Arial" w:cs="Arial" w:eastAsia="Arial" w:hAnsi="Arial"/>
          <w:sz w:val="20"/>
          <w:szCs w:val="20"/>
          <w:color w:val="auto"/>
        </w:rPr>
        <w:t>are defined in Section 4.1 hereof.</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“Guaranty” </w:t>
      </w:r>
      <w:r>
        <w:rPr>
          <w:rFonts w:ascii="Arial" w:cs="Arial" w:eastAsia="Arial" w:hAnsi="Arial"/>
          <w:sz w:val="20"/>
          <w:szCs w:val="20"/>
          <w:color w:val="auto"/>
        </w:rPr>
        <w:t>and</w:t>
      </w:r>
      <w:r>
        <w:rPr>
          <w:rFonts w:ascii="Arial" w:cs="Arial" w:eastAsia="Arial" w:hAnsi="Arial"/>
          <w:sz w:val="20"/>
          <w:szCs w:val="20"/>
          <w:i w:val="1"/>
          <w:iCs w:val="1"/>
          <w:color w:val="auto"/>
        </w:rPr>
        <w:t xml:space="preserve"> “Guaranties” </w:t>
      </w:r>
      <w:r>
        <w:rPr>
          <w:rFonts w:ascii="Arial" w:cs="Arial" w:eastAsia="Arial" w:hAnsi="Arial"/>
          <w:sz w:val="20"/>
          <w:szCs w:val="20"/>
          <w:color w:val="auto"/>
        </w:rPr>
        <w:t>are defined in Section 4.1 hereof.</w:t>
      </w:r>
    </w:p>
    <w:p>
      <w:pPr>
        <w:spacing w:after="0" w:line="191" w:lineRule="exact"/>
        <w:rPr>
          <w:sz w:val="20"/>
          <w:szCs w:val="20"/>
          <w:color w:val="auto"/>
        </w:rPr>
      </w:pPr>
    </w:p>
    <w:p>
      <w:pPr>
        <w:jc w:val="both"/>
        <w:ind w:left="200" w:right="219" w:firstLine="594"/>
        <w:spacing w:after="0" w:line="267" w:lineRule="auto"/>
        <w:rPr>
          <w:sz w:val="20"/>
          <w:szCs w:val="20"/>
          <w:color w:val="auto"/>
        </w:rPr>
      </w:pPr>
      <w:r>
        <w:rPr>
          <w:rFonts w:ascii="Arial" w:cs="Arial" w:eastAsia="Arial" w:hAnsi="Arial"/>
          <w:sz w:val="18"/>
          <w:szCs w:val="18"/>
          <w:i w:val="1"/>
          <w:iCs w:val="1"/>
          <w:color w:val="auto"/>
        </w:rPr>
        <w:t xml:space="preserve">“Hazardous Material” </w:t>
      </w:r>
      <w:r>
        <w:rPr>
          <w:rFonts w:ascii="Arial" w:cs="Arial" w:eastAsia="Arial" w:hAnsi="Arial"/>
          <w:sz w:val="18"/>
          <w:szCs w:val="18"/>
          <w:color w:val="auto"/>
        </w:rPr>
        <w:t>means any substance, chemical, compound, product, solid, gas, liquid, waste,</w:t>
      </w:r>
      <w:r>
        <w:rPr>
          <w:rFonts w:ascii="Arial" w:cs="Arial" w:eastAsia="Arial" w:hAnsi="Arial"/>
          <w:sz w:val="18"/>
          <w:szCs w:val="18"/>
          <w:i w:val="1"/>
          <w:iCs w:val="1"/>
          <w:color w:val="auto"/>
        </w:rPr>
        <w:t xml:space="preserve"> </w:t>
      </w:r>
      <w:r>
        <w:rPr>
          <w:rFonts w:ascii="Arial" w:cs="Arial" w:eastAsia="Arial" w:hAnsi="Arial"/>
          <w:sz w:val="18"/>
          <w:szCs w:val="18"/>
          <w:color w:val="auto"/>
        </w:rPr>
        <w:t>byproduct, pollutant, contaminant or material which is hazardous or toxic, and includes, without limitation,</w:t>
      </w:r>
    </w:p>
    <w:p>
      <w:pPr>
        <w:spacing w:after="0" w:line="1" w:lineRule="exact"/>
        <w:rPr>
          <w:sz w:val="20"/>
          <w:szCs w:val="20"/>
          <w:color w:val="auto"/>
        </w:rPr>
      </w:pPr>
    </w:p>
    <w:p>
      <w:pPr>
        <w:jc w:val="both"/>
        <w:ind w:left="200" w:right="219" w:firstLine="2"/>
        <w:spacing w:after="0" w:line="236" w:lineRule="auto"/>
        <w:tabs>
          <w:tab w:leader="none" w:pos="483" w:val="left"/>
        </w:tabs>
        <w:numPr>
          <w:ilvl w:val="0"/>
          <w:numId w:val="52"/>
        </w:numPr>
        <w:rPr>
          <w:rFonts w:ascii="Arial" w:cs="Arial" w:eastAsia="Arial" w:hAnsi="Arial"/>
          <w:sz w:val="20"/>
          <w:szCs w:val="20"/>
          <w:color w:val="auto"/>
        </w:rPr>
      </w:pPr>
      <w:r>
        <w:rPr>
          <w:rFonts w:ascii="Arial" w:cs="Arial" w:eastAsia="Arial" w:hAnsi="Arial"/>
          <w:sz w:val="20"/>
          <w:szCs w:val="20"/>
          <w:color w:val="auto"/>
        </w:rPr>
        <w:t>asbestos, polychlorinated biphenyls and petroleum (including crude oil or any fraction thereof) and (b) any material classified or regulated as “hazardous” or “toxic” or words of like import pursuant to an Environmental Law.</w:t>
      </w:r>
    </w:p>
    <w:p>
      <w:pPr>
        <w:spacing w:after="0" w:line="172"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“Hazardous Material Activity” </w:t>
      </w:r>
      <w:r>
        <w:rPr>
          <w:rFonts w:ascii="Arial" w:cs="Arial" w:eastAsia="Arial" w:hAnsi="Arial"/>
          <w:sz w:val="19"/>
          <w:szCs w:val="19"/>
          <w:color w:val="auto"/>
        </w:rPr>
        <w:t>means any activity, event or occurrence involving a Hazardous</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spacing w:after="0" w:line="160" w:lineRule="exact"/>
        <w:rPr>
          <w:sz w:val="20"/>
          <w:szCs w:val="20"/>
          <w:color w:val="auto"/>
        </w:rPr>
      </w:pPr>
    </w:p>
    <w:p>
      <w:pPr>
        <w:jc w:val="both"/>
        <w:ind w:left="200" w:right="219" w:firstLine="594"/>
        <w:spacing w:after="0" w:line="250" w:lineRule="auto"/>
        <w:rPr>
          <w:sz w:val="20"/>
          <w:szCs w:val="20"/>
          <w:color w:val="auto"/>
        </w:rPr>
      </w:pPr>
      <w:r>
        <w:rPr>
          <w:rFonts w:ascii="Arial" w:cs="Arial" w:eastAsia="Arial" w:hAnsi="Arial"/>
          <w:sz w:val="19"/>
          <w:szCs w:val="19"/>
          <w:i w:val="1"/>
          <w:iCs w:val="1"/>
          <w:color w:val="auto"/>
        </w:rPr>
        <w:t xml:space="preserve">“Hedging Agreement” </w:t>
      </w:r>
      <w:r>
        <w:rPr>
          <w:rFonts w:ascii="Arial" w:cs="Arial" w:eastAsia="Arial" w:hAnsi="Arial"/>
          <w:sz w:val="19"/>
          <w:szCs w:val="19"/>
          <w:color w:val="auto"/>
        </w:rPr>
        <w:t>means any agreement with respect to any swap, forward, future or derivative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Borrower or any Subsidiary shall be a Hedging Agreement.</w:t>
      </w:r>
    </w:p>
    <w:p>
      <w:pPr>
        <w:spacing w:after="0" w:line="164"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“Hedging Liability” </w:t>
      </w:r>
      <w:r>
        <w:rPr>
          <w:rFonts w:ascii="Arial" w:cs="Arial" w:eastAsia="Arial" w:hAnsi="Arial"/>
          <w:sz w:val="20"/>
          <w:szCs w:val="20"/>
          <w:color w:val="auto"/>
        </w:rPr>
        <w:t>means the liability of the Borrower or any Subsidiary to any Qualifying</w:t>
      </w:r>
      <w:r>
        <w:rPr>
          <w:rFonts w:ascii="Arial" w:cs="Arial" w:eastAsia="Arial" w:hAnsi="Arial"/>
          <w:sz w:val="20"/>
          <w:szCs w:val="20"/>
          <w:i w:val="1"/>
          <w:iCs w:val="1"/>
          <w:color w:val="auto"/>
        </w:rPr>
        <w:t xml:space="preserve"> </w:t>
      </w:r>
      <w:r>
        <w:rPr>
          <w:rFonts w:ascii="Arial" w:cs="Arial" w:eastAsia="Arial" w:hAnsi="Arial"/>
          <w:sz w:val="20"/>
          <w:szCs w:val="20"/>
          <w:color w:val="auto"/>
        </w:rPr>
        <w:t>Counterparty, in respect of any Hedging Agreement as the Borrower or such Subsidiary, as the case may be, may from time to time enter into with any one or more Qualifying Counterparties.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6" w:name="page77"/>
    <w:bookmarkEnd w:id="76"/>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Incremental Term Lender</w:t>
      </w:r>
      <w:r>
        <w:rPr>
          <w:rFonts w:ascii="Arial" w:cs="Arial" w:eastAsia="Arial" w:hAnsi="Arial"/>
          <w:sz w:val="20"/>
          <w:szCs w:val="20"/>
          <w:color w:val="auto"/>
        </w:rPr>
        <w:t>” means, at any time, any Lender that has an Incremental Term Loan Commitment or holds Incremental Term Loans at such time.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Incremental Term Loan</w:t>
      </w:r>
      <w:r>
        <w:rPr>
          <w:rFonts w:ascii="Arial" w:cs="Arial" w:eastAsia="Arial" w:hAnsi="Arial"/>
          <w:sz w:val="20"/>
          <w:szCs w:val="20"/>
          <w:color w:val="auto"/>
        </w:rPr>
        <w:t>” has the meaning assigned to such term in Section 1.15.</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Incremental Term Loan Amendment</w:t>
      </w:r>
      <w:r>
        <w:rPr>
          <w:rFonts w:ascii="Arial" w:cs="Arial" w:eastAsia="Arial" w:hAnsi="Arial"/>
          <w:sz w:val="19"/>
          <w:szCs w:val="19"/>
          <w:color w:val="auto"/>
        </w:rPr>
        <w:t>” has the meaning assigned to such term in Section 1.15.</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Incremental Term Loan Commitment</w:t>
      </w:r>
      <w:r>
        <w:rPr>
          <w:rFonts w:ascii="Arial" w:cs="Arial" w:eastAsia="Arial" w:hAnsi="Arial"/>
          <w:sz w:val="19"/>
          <w:szCs w:val="19"/>
          <w:color w:val="auto"/>
        </w:rPr>
        <w:t>” has the meaning assigned to such term in Section 1.15.</w:t>
      </w:r>
    </w:p>
    <w:p>
      <w:pPr>
        <w:spacing w:after="0" w:line="202"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Incremental Term Loan Facility</w:t>
      </w:r>
      <w:r>
        <w:rPr>
          <w:rFonts w:ascii="Arial" w:cs="Arial" w:eastAsia="Arial" w:hAnsi="Arial"/>
          <w:sz w:val="20"/>
          <w:szCs w:val="20"/>
          <w:color w:val="auto"/>
        </w:rPr>
        <w:t>” has the meaning assigned to such term in Section 1.15. Unless otherwise specified herein, each tranche of Incremental Term Loan Commitments or Incremental Term Loans shall constitute a separate Incremental Term Loan Facility.</w:t>
      </w:r>
    </w:p>
    <w:p>
      <w:pPr>
        <w:spacing w:after="0" w:line="168" w:lineRule="exact"/>
        <w:rPr>
          <w:sz w:val="20"/>
          <w:szCs w:val="20"/>
          <w:color w:val="auto"/>
        </w:rPr>
      </w:pPr>
    </w:p>
    <w:p>
      <w:pPr>
        <w:jc w:val="both"/>
        <w:ind w:left="200" w:right="219" w:firstLine="594"/>
        <w:spacing w:after="0" w:line="261" w:lineRule="auto"/>
        <w:rPr>
          <w:sz w:val="20"/>
          <w:szCs w:val="20"/>
          <w:color w:val="auto"/>
        </w:rPr>
      </w:pPr>
      <w:r>
        <w:rPr>
          <w:rFonts w:ascii="Arial" w:cs="Arial" w:eastAsia="Arial" w:hAnsi="Arial"/>
          <w:sz w:val="18"/>
          <w:szCs w:val="18"/>
          <w:i w:val="1"/>
          <w:iCs w:val="1"/>
          <w:color w:val="auto"/>
        </w:rPr>
        <w:t xml:space="preserve">“Indebtedness for Borrowed Money” </w:t>
      </w:r>
      <w:r>
        <w:rPr>
          <w:rFonts w:ascii="Arial" w:cs="Arial" w:eastAsia="Arial" w:hAnsi="Arial"/>
          <w:sz w:val="18"/>
          <w:szCs w:val="18"/>
          <w:color w:val="auto"/>
        </w:rPr>
        <w:t>means for any Person (without duplication) (a) all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of such Person, whether or not such Person has assumed or become liable for the payment of such indebtedness, (d) all Capitalized Lease Obligations of such Person,</w:t>
      </w:r>
    </w:p>
    <w:p>
      <w:pPr>
        <w:spacing w:after="0" w:line="2" w:lineRule="exact"/>
        <w:rPr>
          <w:sz w:val="20"/>
          <w:szCs w:val="20"/>
          <w:color w:val="auto"/>
        </w:rPr>
      </w:pPr>
    </w:p>
    <w:p>
      <w:pPr>
        <w:jc w:val="both"/>
        <w:ind w:left="200" w:right="219" w:firstLine="2"/>
        <w:spacing w:after="0" w:line="234" w:lineRule="auto"/>
        <w:tabs>
          <w:tab w:leader="none" w:pos="498" w:val="left"/>
        </w:tabs>
        <w:numPr>
          <w:ilvl w:val="0"/>
          <w:numId w:val="53"/>
        </w:numPr>
        <w:rPr>
          <w:rFonts w:ascii="Arial" w:cs="Arial" w:eastAsia="Arial" w:hAnsi="Arial"/>
          <w:sz w:val="20"/>
          <w:szCs w:val="20"/>
          <w:color w:val="auto"/>
        </w:rPr>
      </w:pPr>
      <w:r>
        <w:rPr>
          <w:rFonts w:ascii="Arial" w:cs="Arial" w:eastAsia="Arial" w:hAnsi="Arial"/>
          <w:sz w:val="20"/>
          <w:szCs w:val="20"/>
          <w:color w:val="auto"/>
        </w:rPr>
        <w:t>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spacing w:after="0" w:line="175"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“Indemnified Taxes” </w:t>
      </w:r>
      <w:r>
        <w:rPr>
          <w:rFonts w:ascii="Arial" w:cs="Arial" w:eastAsia="Arial" w:hAnsi="Arial"/>
          <w:sz w:val="20"/>
          <w:szCs w:val="20"/>
          <w:color w:val="auto"/>
        </w:rPr>
        <w:t>means (a) all Taxes other than Excluded Taxes and (b) to the extent not</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described in (a), Other Taxes.</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“Initial Properties” </w:t>
      </w:r>
      <w:r>
        <w:rPr>
          <w:rFonts w:ascii="Arial" w:cs="Arial" w:eastAsia="Arial" w:hAnsi="Arial"/>
          <w:sz w:val="20"/>
          <w:szCs w:val="20"/>
          <w:color w:val="auto"/>
        </w:rPr>
        <w:t>means collectively the Properties listed on Schedule 1.1 and</w:t>
      </w:r>
      <w:r>
        <w:rPr>
          <w:rFonts w:ascii="Arial" w:cs="Arial" w:eastAsia="Arial" w:hAnsi="Arial"/>
          <w:sz w:val="20"/>
          <w:szCs w:val="20"/>
          <w:i w:val="1"/>
          <w:iCs w:val="1"/>
          <w:color w:val="auto"/>
        </w:rPr>
        <w:t xml:space="preserve"> “Initial Property” </w:t>
      </w:r>
      <w:r>
        <w:rPr>
          <w:rFonts w:ascii="Arial" w:cs="Arial" w:eastAsia="Arial" w:hAnsi="Arial"/>
          <w:sz w:val="20"/>
          <w:szCs w:val="20"/>
          <w:color w:val="auto"/>
        </w:rPr>
        <w:t>means any of such Properties.</w:t>
      </w:r>
    </w:p>
    <w:p>
      <w:pPr>
        <w:spacing w:after="0" w:line="159" w:lineRule="exact"/>
        <w:rPr>
          <w:sz w:val="20"/>
          <w:szCs w:val="20"/>
          <w:color w:val="auto"/>
        </w:rPr>
      </w:pPr>
    </w:p>
    <w:p>
      <w:pPr>
        <w:jc w:val="both"/>
        <w:ind w:left="200" w:right="219" w:firstLine="668"/>
        <w:spacing w:after="0" w:line="262"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means, with respect to a Person for any period of time, the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w:t>
      </w:r>
    </w:p>
    <w:p>
      <w:pPr>
        <w:spacing w:after="0" w:line="3" w:lineRule="exact"/>
        <w:rPr>
          <w:sz w:val="20"/>
          <w:szCs w:val="20"/>
          <w:color w:val="auto"/>
        </w:rPr>
      </w:pPr>
    </w:p>
    <w:p>
      <w:pPr>
        <w:ind w:left="200" w:right="219" w:firstLine="2"/>
        <w:spacing w:after="0" w:line="238" w:lineRule="auto"/>
        <w:tabs>
          <w:tab w:leader="none" w:pos="513"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debt discounts (but only to the extent such discounts do not exceed 3.0% of the initial face principal amount of such debt).</w:t>
      </w:r>
    </w:p>
    <w:p>
      <w:pPr>
        <w:spacing w:after="0" w:line="17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“Interest Payment Date” </w:t>
      </w:r>
      <w:r>
        <w:rPr>
          <w:rFonts w:ascii="Arial" w:cs="Arial" w:eastAsia="Arial" w:hAnsi="Arial"/>
          <w:sz w:val="19"/>
          <w:szCs w:val="19"/>
          <w:color w:val="auto"/>
        </w:rPr>
        <w:t>means (a) with respect to any Eurodollar Loan, the last day of each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Period with respect to such Eurodollar Loan and on the maturity date and, if the applicable Interest Period is longer than (3) three months, on each day occurring every three (3) months after the commencement of such Interest Period, (b) with respect to any Base Rate Loan, the last day of every calendar quarter, and (c) with respect to any Eurodollar Loan or Base Rate Loan, the maturity date.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7" w:name="page78"/>
    <w:bookmarkEnd w:id="77"/>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“Interest Period” </w:t>
      </w:r>
      <w:r>
        <w:rPr>
          <w:rFonts w:ascii="Arial" w:cs="Arial" w:eastAsia="Arial" w:hAnsi="Arial"/>
          <w:sz w:val="20"/>
          <w:szCs w:val="20"/>
          <w:color w:val="auto"/>
        </w:rPr>
        <w:t>means the period commencing on the date a Borrowing of Eurodollar Loans 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advanced, continued, or created by conversion and ending one (1), three (3), or six (6) months thereafter,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w:t>
      </w:r>
    </w:p>
    <w:p>
      <w:pPr>
        <w:spacing w:after="0" w:line="168" w:lineRule="exact"/>
        <w:rPr>
          <w:sz w:val="20"/>
          <w:szCs w:val="20"/>
          <w:color w:val="auto"/>
        </w:rPr>
      </w:pPr>
    </w:p>
    <w:p>
      <w:pPr>
        <w:ind w:left="2580" w:hanging="596"/>
        <w:spacing w:after="0"/>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190" w:lineRule="exact"/>
        <w:rPr>
          <w:rFonts w:ascii="Arial" w:cs="Arial" w:eastAsia="Arial" w:hAnsi="Arial"/>
          <w:sz w:val="20"/>
          <w:szCs w:val="20"/>
          <w:color w:val="auto"/>
        </w:rPr>
      </w:pPr>
    </w:p>
    <w:p>
      <w:pPr>
        <w:jc w:val="both"/>
        <w:ind w:left="800" w:right="219" w:firstLine="1184"/>
        <w:spacing w:after="0" w:line="253" w:lineRule="auto"/>
        <w:tabs>
          <w:tab w:leader="none" w:pos="2582"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whenever the last day of any Interest Period would otherwise be a day that is not a Business Day, the last day of such Interest Period shall be extended to the next succeeding Business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extension would cause the last day of an Interest Period for a Borrowing of Eurodollar Loans to occur in the following calendar month, the last day of such Interest Period shall be the immediately preceding Business Day; and</w:t>
      </w:r>
    </w:p>
    <w:p>
      <w:pPr>
        <w:spacing w:after="0" w:line="160" w:lineRule="exact"/>
        <w:rPr>
          <w:rFonts w:ascii="Arial" w:cs="Arial" w:eastAsia="Arial" w:hAnsi="Arial"/>
          <w:sz w:val="19"/>
          <w:szCs w:val="19"/>
          <w:color w:val="auto"/>
        </w:rPr>
      </w:pPr>
    </w:p>
    <w:p>
      <w:pPr>
        <w:jc w:val="both"/>
        <w:ind w:left="800" w:right="219" w:firstLine="1184"/>
        <w:spacing w:after="0" w:line="268" w:lineRule="auto"/>
        <w:tabs>
          <w:tab w:leader="none" w:pos="25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for purposes of determining an Interest Period for a Borrowing of Eurodollar Loans, a month means a period starting on one day in a calendar month and ending on the numerically corresponding day in the next calendar month;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KBCM</w:t>
      </w:r>
      <w:r>
        <w:rPr>
          <w:rFonts w:ascii="Arial" w:cs="Arial" w:eastAsia="Arial" w:hAnsi="Arial"/>
          <w:sz w:val="20"/>
          <w:szCs w:val="20"/>
          <w:color w:val="auto"/>
        </w:rPr>
        <w:t>” means, KeyBanc Capital Markets Inc. and its successors.</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KeyBank</w:t>
      </w:r>
      <w:r>
        <w:rPr>
          <w:rFonts w:ascii="Arial" w:cs="Arial" w:eastAsia="Arial" w:hAnsi="Arial"/>
          <w:sz w:val="20"/>
          <w:szCs w:val="20"/>
          <w:color w:val="auto"/>
        </w:rPr>
        <w:t>” means, KeyBank National Association and its successors.</w:t>
      </w:r>
    </w:p>
    <w:p>
      <w:pPr>
        <w:spacing w:after="0" w:line="19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“Land Assets” </w:t>
      </w:r>
      <w:r>
        <w:rPr>
          <w:rFonts w:ascii="Arial" w:cs="Arial" w:eastAsia="Arial" w:hAnsi="Arial"/>
          <w:sz w:val="20"/>
          <w:szCs w:val="20"/>
          <w:color w:val="auto"/>
        </w:rPr>
        <w:t>means any real property which is not an Asset Under Development and on which no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significant improvements have been constructed;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real property that is adjacent to an Eligible Property but is undeveloped shall not constitute </w:t>
      </w:r>
      <w:r>
        <w:rPr>
          <w:rFonts w:ascii="Arial" w:cs="Arial" w:eastAsia="Arial" w:hAnsi="Arial"/>
          <w:sz w:val="20"/>
          <w:szCs w:val="20"/>
          <w:i w:val="1"/>
          <w:iCs w:val="1"/>
          <w:color w:val="auto"/>
        </w:rPr>
        <w:t>“Land Assets”.</w:t>
      </w:r>
    </w:p>
    <w:p>
      <w:pPr>
        <w:spacing w:after="0" w:line="168" w:lineRule="exact"/>
        <w:rPr>
          <w:sz w:val="20"/>
          <w:szCs w:val="20"/>
          <w:color w:val="auto"/>
        </w:rPr>
      </w:pPr>
    </w:p>
    <w:p>
      <w:pPr>
        <w:jc w:val="both"/>
        <w:ind w:left="200" w:right="219" w:firstLine="643"/>
        <w:spacing w:after="0" w:line="307" w:lineRule="auto"/>
        <w:rPr>
          <w:sz w:val="20"/>
          <w:szCs w:val="20"/>
          <w:color w:val="auto"/>
        </w:rPr>
      </w:pPr>
      <w:r>
        <w:rPr>
          <w:rFonts w:ascii="Arial" w:cs="Arial" w:eastAsia="Arial" w:hAnsi="Arial"/>
          <w:sz w:val="17"/>
          <w:szCs w:val="17"/>
          <w:i w:val="1"/>
          <w:iCs w:val="1"/>
          <w:color w:val="auto"/>
        </w:rPr>
        <w:t xml:space="preserve">“Lease” </w:t>
      </w:r>
      <w:r>
        <w:rPr>
          <w:rFonts w:ascii="Arial" w:cs="Arial" w:eastAsia="Arial" w:hAnsi="Arial"/>
          <w:sz w:val="17"/>
          <w:szCs w:val="17"/>
          <w:color w:val="auto"/>
        </w:rPr>
        <w:t>means each existing or future lease, sublease, license, or other agreement under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any Person has or acquires any right to occupy or use any Property of the Borrower or any Subsidiary, or any part thereof, or interest therein, as the same may be amended, supplemented or modified.</w:t>
      </w:r>
    </w:p>
    <w:p>
      <w:pPr>
        <w:spacing w:after="0" w:line="116"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“Legal Requirement” </w:t>
      </w:r>
      <w:r>
        <w:rPr>
          <w:rFonts w:ascii="Arial" w:cs="Arial" w:eastAsia="Arial" w:hAnsi="Arial"/>
          <w:sz w:val="20"/>
          <w:szCs w:val="20"/>
          <w:color w:val="auto"/>
        </w:rPr>
        <w:t>means any treaty, convention, statute, law, regulation, ordinance, license,</w:t>
      </w:r>
      <w:r>
        <w:rPr>
          <w:rFonts w:ascii="Arial" w:cs="Arial" w:eastAsia="Arial" w:hAnsi="Arial"/>
          <w:sz w:val="20"/>
          <w:szCs w:val="20"/>
          <w:i w:val="1"/>
          <w:iCs w:val="1"/>
          <w:color w:val="auto"/>
        </w:rPr>
        <w:t xml:space="preserve"> </w:t>
      </w:r>
      <w:r>
        <w:rPr>
          <w:rFonts w:ascii="Arial" w:cs="Arial" w:eastAsia="Arial" w:hAnsi="Arial"/>
          <w:sz w:val="20"/>
          <w:szCs w:val="20"/>
          <w:color w:val="auto"/>
        </w:rPr>
        <w:t>permit, governmental approval, injunction, judgment, order, consent decree or other requirement of any governmental authority, whether federal, state, or local.</w:t>
      </w:r>
    </w:p>
    <w:p>
      <w:pPr>
        <w:spacing w:after="0" w:line="168"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“Lenders” </w:t>
      </w:r>
      <w:r>
        <w:rPr>
          <w:rFonts w:ascii="Arial" w:cs="Arial" w:eastAsia="Arial" w:hAnsi="Arial"/>
          <w:sz w:val="20"/>
          <w:szCs w:val="20"/>
          <w:color w:val="auto"/>
        </w:rPr>
        <w:t>means and includes KeyBank and the other financial institutions from time to time party</w:t>
      </w:r>
      <w:r>
        <w:rPr>
          <w:rFonts w:ascii="Arial" w:cs="Arial" w:eastAsia="Arial" w:hAnsi="Arial"/>
          <w:sz w:val="20"/>
          <w:szCs w:val="20"/>
          <w:i w:val="1"/>
          <w:iCs w:val="1"/>
          <w:color w:val="auto"/>
        </w:rPr>
        <w:t xml:space="preserve"> </w:t>
      </w:r>
      <w:r>
        <w:rPr>
          <w:rFonts w:ascii="Arial" w:cs="Arial" w:eastAsia="Arial" w:hAnsi="Arial"/>
          <w:sz w:val="20"/>
          <w:szCs w:val="20"/>
          <w:color w:val="auto"/>
        </w:rPr>
        <w:t>to this Agreement, including each assignee Lender pursuant to Section 12.12 hereof and each Incremental Term Lender.</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“Lending Office” </w:t>
      </w:r>
      <w:r>
        <w:rPr>
          <w:rFonts w:ascii="Arial" w:cs="Arial" w:eastAsia="Arial" w:hAnsi="Arial"/>
          <w:sz w:val="20"/>
          <w:szCs w:val="20"/>
          <w:color w:val="auto"/>
        </w:rPr>
        <w:t>is defined in Section 10.4 hereof.</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20"/>
          <w:szCs w:val="20"/>
          <w:i w:val="1"/>
          <w:iCs w:val="1"/>
          <w:color w:val="auto"/>
        </w:rPr>
        <w:t xml:space="preserve">“LIBOR” </w:t>
      </w:r>
      <w:r>
        <w:rPr>
          <w:rFonts w:ascii="Arial" w:cs="Arial" w:eastAsia="Arial" w:hAnsi="Arial"/>
          <w:sz w:val="20"/>
          <w:szCs w:val="20"/>
          <w:color w:val="auto"/>
        </w:rPr>
        <w:t>is defined in Section 1.4(b) hereof.</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“LIBOR Index Rate” </w:t>
      </w:r>
      <w:r>
        <w:rPr>
          <w:rFonts w:ascii="Arial" w:cs="Arial" w:eastAsia="Arial" w:hAnsi="Arial"/>
          <w:sz w:val="20"/>
          <w:szCs w:val="20"/>
          <w:color w:val="auto"/>
        </w:rPr>
        <w:t>is defined in Section 1.4(b) hereof.</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8" w:name="page79"/>
    <w:bookmarkEnd w:id="78"/>
    <w:p>
      <w:pPr>
        <w:ind w:left="800"/>
        <w:spacing w:after="0"/>
        <w:rPr>
          <w:sz w:val="20"/>
          <w:szCs w:val="20"/>
          <w:color w:val="auto"/>
        </w:rPr>
      </w:pPr>
      <w:r>
        <w:rPr>
          <w:rFonts w:ascii="Arial" w:cs="Arial" w:eastAsia="Arial" w:hAnsi="Arial"/>
          <w:sz w:val="20"/>
          <w:szCs w:val="20"/>
          <w:i w:val="1"/>
          <w:iCs w:val="1"/>
          <w:color w:val="auto"/>
        </w:rPr>
        <w:t xml:space="preserve">“LIBOR Quoted Rate” </w:t>
      </w:r>
      <w:r>
        <w:rPr>
          <w:rFonts w:ascii="Arial" w:cs="Arial" w:eastAsia="Arial" w:hAnsi="Arial"/>
          <w:sz w:val="20"/>
          <w:szCs w:val="20"/>
          <w:color w:val="auto"/>
        </w:rPr>
        <w:t>is defined in Section 1.4(a) hereof.</w:t>
      </w:r>
    </w:p>
    <w:p>
      <w:pPr>
        <w:spacing w:after="0" w:line="19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“Lien” </w:t>
      </w:r>
      <w:r>
        <w:rPr>
          <w:rFonts w:ascii="Arial" w:cs="Arial" w:eastAsia="Arial" w:hAnsi="Arial"/>
          <w:sz w:val="20"/>
          <w:szCs w:val="20"/>
          <w:color w:val="auto"/>
        </w:rPr>
        <w:t>means any mortgage, lien, security interest, pledge, charge or encumbrance of any kind in</w:t>
      </w:r>
      <w:r>
        <w:rPr>
          <w:rFonts w:ascii="Arial" w:cs="Arial" w:eastAsia="Arial" w:hAnsi="Arial"/>
          <w:sz w:val="20"/>
          <w:szCs w:val="20"/>
          <w:i w:val="1"/>
          <w:iCs w:val="1"/>
          <w:color w:val="auto"/>
        </w:rPr>
        <w:t xml:space="preserve"> </w:t>
      </w:r>
      <w:r>
        <w:rPr>
          <w:rFonts w:ascii="Arial" w:cs="Arial" w:eastAsia="Arial" w:hAnsi="Arial"/>
          <w:sz w:val="20"/>
          <w:szCs w:val="20"/>
          <w:color w:val="auto"/>
        </w:rPr>
        <w:t>respect of any Property, including the interests of a vendor or lessor under any conditional sale, Capital Lease or other title retention arrangement.</w:t>
      </w:r>
    </w:p>
    <w:p>
      <w:pPr>
        <w:spacing w:after="0" w:line="168"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“Loan” </w:t>
      </w:r>
      <w:r>
        <w:rPr>
          <w:rFonts w:ascii="Arial" w:cs="Arial" w:eastAsia="Arial" w:hAnsi="Arial"/>
          <w:sz w:val="20"/>
          <w:szCs w:val="20"/>
          <w:color w:val="auto"/>
        </w:rPr>
        <w:t>means any Term Loan or Incremental Term Loan whether outstanding as a Base Rate Loan</w:t>
      </w:r>
      <w:r>
        <w:rPr>
          <w:rFonts w:ascii="Arial" w:cs="Arial" w:eastAsia="Arial" w:hAnsi="Arial"/>
          <w:sz w:val="20"/>
          <w:szCs w:val="20"/>
          <w:i w:val="1"/>
          <w:iCs w:val="1"/>
          <w:color w:val="auto"/>
        </w:rPr>
        <w:t xml:space="preserve"> </w:t>
      </w:r>
      <w:r>
        <w:rPr>
          <w:rFonts w:ascii="Arial" w:cs="Arial" w:eastAsia="Arial" w:hAnsi="Arial"/>
          <w:sz w:val="20"/>
          <w:szCs w:val="20"/>
          <w:color w:val="auto"/>
        </w:rPr>
        <w:t>or Eurodollar Loan, each of which is a “type” of Loan hereunder.</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“Loan Documents” </w:t>
      </w:r>
      <w:r>
        <w:rPr>
          <w:rFonts w:ascii="Arial" w:cs="Arial" w:eastAsia="Arial" w:hAnsi="Arial"/>
          <w:sz w:val="19"/>
          <w:szCs w:val="19"/>
          <w:color w:val="auto"/>
        </w:rPr>
        <w:t>means this Agreement, the Notes (if any), the Guaranties, each Incremental</w:t>
      </w:r>
      <w:r>
        <w:rPr>
          <w:rFonts w:ascii="Arial" w:cs="Arial" w:eastAsia="Arial" w:hAnsi="Arial"/>
          <w:sz w:val="19"/>
          <w:szCs w:val="19"/>
          <w:i w:val="1"/>
          <w:iCs w:val="1"/>
          <w:color w:val="auto"/>
        </w:rPr>
        <w:t xml:space="preserve"> </w:t>
      </w:r>
      <w:r>
        <w:rPr>
          <w:rFonts w:ascii="Arial" w:cs="Arial" w:eastAsia="Arial" w:hAnsi="Arial"/>
          <w:sz w:val="19"/>
          <w:szCs w:val="19"/>
          <w:color w:val="auto"/>
        </w:rPr>
        <w:t>Term Loan Amendment,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spacing w:after="0" w:line="160" w:lineRule="exact"/>
        <w:rPr>
          <w:sz w:val="20"/>
          <w:szCs w:val="20"/>
          <w:color w:val="auto"/>
        </w:rPr>
      </w:pPr>
    </w:p>
    <w:p>
      <w:pPr>
        <w:jc w:val="both"/>
        <w:ind w:left="200" w:right="219" w:firstLine="594"/>
        <w:spacing w:after="0" w:line="251" w:lineRule="auto"/>
        <w:rPr>
          <w:sz w:val="20"/>
          <w:szCs w:val="20"/>
          <w:color w:val="auto"/>
        </w:rPr>
      </w:pPr>
      <w:r>
        <w:rPr>
          <w:rFonts w:ascii="Arial" w:cs="Arial" w:eastAsia="Arial" w:hAnsi="Arial"/>
          <w:sz w:val="19"/>
          <w:szCs w:val="19"/>
          <w:i w:val="1"/>
          <w:iCs w:val="1"/>
          <w:color w:val="auto"/>
        </w:rPr>
        <w:t xml:space="preserve">“Material Adverse Effect” </w:t>
      </w:r>
      <w:r>
        <w:rPr>
          <w:rFonts w:ascii="Arial" w:cs="Arial" w:eastAsia="Arial" w:hAnsi="Arial"/>
          <w:sz w:val="19"/>
          <w:szCs w:val="19"/>
          <w:color w:val="auto"/>
        </w:rPr>
        <w:t>means (a) a material adverse change in, or material adverse effect upon,</w:t>
      </w:r>
      <w:r>
        <w:rPr>
          <w:rFonts w:ascii="Arial" w:cs="Arial" w:eastAsia="Arial" w:hAnsi="Arial"/>
          <w:sz w:val="19"/>
          <w:szCs w:val="19"/>
          <w:i w:val="1"/>
          <w:iCs w:val="1"/>
          <w:color w:val="auto"/>
        </w:rPr>
        <w:t xml:space="preserve"> </w:t>
      </w:r>
      <w:r>
        <w:rPr>
          <w:rFonts w:ascii="Arial" w:cs="Arial" w:eastAsia="Arial" w:hAnsi="Arial"/>
          <w:sz w:val="19"/>
          <w:szCs w:val="19"/>
          <w:color w:val="auto"/>
        </w:rPr>
        <w:t>the operations, business, Property, or financial condition of the Parent or of the Parent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spacing w:after="0" w:line="164"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“Material Subsidiary” </w:t>
      </w:r>
      <w:r>
        <w:rPr>
          <w:rFonts w:ascii="Arial" w:cs="Arial" w:eastAsia="Arial" w:hAnsi="Arial"/>
          <w:sz w:val="20"/>
          <w:szCs w:val="20"/>
          <w:color w:val="auto"/>
        </w:rPr>
        <w:t>means, each Subsidiary that owns an Eligible Property included in the</w:t>
      </w:r>
      <w:r>
        <w:rPr>
          <w:rFonts w:ascii="Arial" w:cs="Arial" w:eastAsia="Arial" w:hAnsi="Arial"/>
          <w:sz w:val="20"/>
          <w:szCs w:val="20"/>
          <w:i w:val="1"/>
          <w:iCs w:val="1"/>
          <w:color w:val="auto"/>
        </w:rPr>
        <w:t xml:space="preserve"> </w:t>
      </w:r>
      <w:r>
        <w:rPr>
          <w:rFonts w:ascii="Arial" w:cs="Arial" w:eastAsia="Arial" w:hAnsi="Arial"/>
          <w:sz w:val="20"/>
          <w:szCs w:val="20"/>
          <w:color w:val="auto"/>
        </w:rPr>
        <w:t>Borrowing Base Value.</w:t>
      </w:r>
    </w:p>
    <w:p>
      <w:pPr>
        <w:spacing w:after="0" w:line="159" w:lineRule="exact"/>
        <w:rPr>
          <w:sz w:val="20"/>
          <w:szCs w:val="20"/>
          <w:color w:val="auto"/>
        </w:rPr>
      </w:pPr>
    </w:p>
    <w:p>
      <w:pPr>
        <w:jc w:val="both"/>
        <w:ind w:left="200" w:right="219" w:firstLine="59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means (a) with respect to the Term Facility, January 31, 2027, and (b)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“Moody’s” </w:t>
      </w:r>
      <w:r>
        <w:rPr>
          <w:rFonts w:ascii="Arial" w:cs="Arial" w:eastAsia="Arial" w:hAnsi="Arial"/>
          <w:sz w:val="20"/>
          <w:szCs w:val="20"/>
          <w:color w:val="auto"/>
        </w:rPr>
        <w:t>means Moody’s Investors Service, Inc., or any successor thereof.</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“MSA” </w:t>
      </w:r>
      <w:r>
        <w:rPr>
          <w:rFonts w:ascii="Arial" w:cs="Arial" w:eastAsia="Arial" w:hAnsi="Arial"/>
          <w:sz w:val="20"/>
          <w:szCs w:val="20"/>
          <w:color w:val="auto"/>
        </w:rPr>
        <w:t>means any major metropolitan area of the United States of America that has a population</w:t>
      </w:r>
      <w:r>
        <w:rPr>
          <w:rFonts w:ascii="Arial" w:cs="Arial" w:eastAsia="Arial" w:hAnsi="Arial"/>
          <w:sz w:val="20"/>
          <w:szCs w:val="20"/>
          <w:i w:val="1"/>
          <w:iCs w:val="1"/>
          <w:color w:val="auto"/>
        </w:rPr>
        <w:t xml:space="preserve"> </w:t>
      </w:r>
      <w:r>
        <w:rPr>
          <w:rFonts w:ascii="Arial" w:cs="Arial" w:eastAsia="Arial" w:hAnsi="Arial"/>
          <w:sz w:val="20"/>
          <w:szCs w:val="20"/>
          <w:color w:val="auto"/>
        </w:rPr>
        <w:t>size that is in the fifty (50) largest metropolitan areas of the United States of America.</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“Note” </w:t>
      </w:r>
      <w:r>
        <w:rPr>
          <w:rFonts w:ascii="Arial" w:cs="Arial" w:eastAsia="Arial" w:hAnsi="Arial"/>
          <w:sz w:val="20"/>
          <w:szCs w:val="20"/>
          <w:color w:val="auto"/>
        </w:rPr>
        <w:t>and</w:t>
      </w:r>
      <w:r>
        <w:rPr>
          <w:rFonts w:ascii="Arial" w:cs="Arial" w:eastAsia="Arial" w:hAnsi="Arial"/>
          <w:sz w:val="20"/>
          <w:szCs w:val="20"/>
          <w:i w:val="1"/>
          <w:iCs w:val="1"/>
          <w:color w:val="auto"/>
        </w:rPr>
        <w:t xml:space="preserve"> “Notes” </w:t>
      </w:r>
      <w:r>
        <w:rPr>
          <w:rFonts w:ascii="Arial" w:cs="Arial" w:eastAsia="Arial" w:hAnsi="Arial"/>
          <w:sz w:val="20"/>
          <w:szCs w:val="20"/>
          <w:color w:val="auto"/>
        </w:rPr>
        <w:t>are defined in Section 1.10(d) hereof.</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“NYFRB” </w:t>
      </w:r>
      <w:r>
        <w:rPr>
          <w:rFonts w:ascii="Arial" w:cs="Arial" w:eastAsia="Arial" w:hAnsi="Arial"/>
          <w:sz w:val="20"/>
          <w:szCs w:val="20"/>
          <w:color w:val="auto"/>
        </w:rPr>
        <w:t>means the Federal Reserve Bank of New York.</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“NYFRB’s Website” </w:t>
      </w:r>
      <w:r>
        <w:rPr>
          <w:rFonts w:ascii="Arial" w:cs="Arial" w:eastAsia="Arial" w:hAnsi="Arial"/>
          <w:sz w:val="20"/>
          <w:szCs w:val="20"/>
          <w:color w:val="auto"/>
        </w:rPr>
        <w:t>means the website of the Federal Reserve Bank of New York at</w:t>
      </w:r>
      <w:r>
        <w:rPr>
          <w:rFonts w:ascii="Arial" w:cs="Arial" w:eastAsia="Arial" w:hAnsi="Arial"/>
          <w:sz w:val="20"/>
          <w:szCs w:val="20"/>
          <w:i w:val="1"/>
          <w:iCs w:val="1"/>
          <w:color w:val="auto"/>
        </w:rPr>
        <w:t xml:space="preserve"> </w:t>
      </w:r>
      <w:r>
        <w:rPr>
          <w:rFonts w:ascii="Arial" w:cs="Arial" w:eastAsia="Arial" w:hAnsi="Arial"/>
          <w:sz w:val="20"/>
          <w:szCs w:val="20"/>
          <w:color w:val="auto"/>
        </w:rPr>
        <w:t>http://www.newyorkfed.org, or any successor source.</w:t>
      </w:r>
    </w:p>
    <w:p>
      <w:pPr>
        <w:spacing w:after="0" w:line="159"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i w:val="1"/>
          <w:iCs w:val="1"/>
          <w:color w:val="auto"/>
        </w:rPr>
        <w:t xml:space="preserve">“Obligations” </w:t>
      </w:r>
      <w:r>
        <w:rPr>
          <w:rFonts w:ascii="Arial" w:cs="Arial" w:eastAsia="Arial" w:hAnsi="Arial"/>
          <w:sz w:val="19"/>
          <w:szCs w:val="19"/>
          <w:color w:val="auto"/>
        </w:rPr>
        <w:t>means all obligations of the Borrower to pay principal and interest on the Loans, all</w:t>
      </w:r>
      <w:r>
        <w:rPr>
          <w:rFonts w:ascii="Arial" w:cs="Arial" w:eastAsia="Arial" w:hAnsi="Arial"/>
          <w:sz w:val="19"/>
          <w:szCs w:val="19"/>
          <w:i w:val="1"/>
          <w:iCs w:val="1"/>
          <w:color w:val="auto"/>
        </w:rPr>
        <w:t xml:space="preserve"> </w:t>
      </w:r>
      <w:r>
        <w:rPr>
          <w:rFonts w:ascii="Arial" w:cs="Arial" w:eastAsia="Arial" w:hAnsi="Arial"/>
          <w:sz w:val="19"/>
          <w:szCs w:val="19"/>
          <w:color w:val="auto"/>
        </w:rPr>
        <w:t>fees and charges payable hereunder, all other payment obligations of the Borrower or any of its Subsidiaries arising under or in relation to any Loan Document and all Hedging Liability,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79" w:name="page80"/>
    <w:bookmarkEnd w:id="79"/>
    <w:p>
      <w:pPr>
        <w:jc w:val="both"/>
        <w:ind w:left="200" w:right="219"/>
        <w:spacing w:after="0" w:line="243" w:lineRule="auto"/>
        <w:rPr>
          <w:sz w:val="20"/>
          <w:szCs w:val="20"/>
          <w:color w:val="auto"/>
        </w:rPr>
      </w:pPr>
      <w:r>
        <w:rPr>
          <w:rFonts w:ascii="Arial" w:cs="Arial" w:eastAsia="Arial" w:hAnsi="Arial"/>
          <w:sz w:val="20"/>
          <w:szCs w:val="20"/>
          <w:color w:val="auto"/>
        </w:rPr>
        <w:t>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spacing w:after="0" w:line="168" w:lineRule="exact"/>
        <w:rPr>
          <w:sz w:val="20"/>
          <w:szCs w:val="20"/>
          <w:color w:val="auto"/>
        </w:rPr>
      </w:pPr>
    </w:p>
    <w:p>
      <w:pPr>
        <w:jc w:val="both"/>
        <w:ind w:left="200" w:right="219" w:firstLine="594"/>
        <w:spacing w:after="0" w:line="281" w:lineRule="auto"/>
        <w:rPr>
          <w:sz w:val="20"/>
          <w:szCs w:val="20"/>
          <w:color w:val="auto"/>
        </w:rPr>
      </w:pPr>
      <w:r>
        <w:rPr>
          <w:rFonts w:ascii="Arial" w:cs="Arial" w:eastAsia="Arial" w:hAnsi="Arial"/>
          <w:sz w:val="17"/>
          <w:szCs w:val="17"/>
          <w:i w:val="1"/>
          <w:iCs w:val="1"/>
          <w:color w:val="auto"/>
        </w:rPr>
        <w:t xml:space="preserve">“Occupancy Rate” </w:t>
      </w:r>
      <w:r>
        <w:rPr>
          <w:rFonts w:ascii="Arial" w:cs="Arial" w:eastAsia="Arial" w:hAnsi="Arial"/>
          <w:sz w:val="17"/>
          <w:szCs w:val="17"/>
          <w:color w:val="auto"/>
        </w:rPr>
        <w:t>means for any Property, the percentage of the rentable square footage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Property occupied by bona fide Tenants of such Property or leased by such Tenants pursuant to bona fide Tenant Leases, in each case, which Tenants (a) are not more than 60 days in arrears on base rental or other similar payments due under the Leases and (b)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Arial" w:cs="Arial" w:eastAsia="Arial" w:hAnsi="Arial"/>
          <w:sz w:val="17"/>
          <w:szCs w:val="17"/>
          <w:i w:val="1"/>
          <w:iCs w:val="1"/>
          <w:color w:val="auto"/>
        </w:rPr>
        <w:t>clause (a)</w:t>
      </w:r>
      <w:r>
        <w:rPr>
          <w:rFonts w:ascii="Arial" w:cs="Arial" w:eastAsia="Arial" w:hAnsi="Arial"/>
          <w:sz w:val="17"/>
          <w:szCs w:val="17"/>
          <w:color w:val="auto"/>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OFAC</w:t>
      </w:r>
      <w:r>
        <w:rPr>
          <w:rFonts w:ascii="Arial" w:cs="Arial" w:eastAsia="Arial" w:hAnsi="Arial"/>
          <w:sz w:val="19"/>
          <w:szCs w:val="19"/>
          <w:color w:val="auto"/>
        </w:rPr>
        <w:t>” means the United States Department of Treasury Office of Foreign Assets Control.</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OFAC Event</w:t>
      </w:r>
      <w:r>
        <w:rPr>
          <w:rFonts w:ascii="Arial" w:cs="Arial" w:eastAsia="Arial" w:hAnsi="Arial"/>
          <w:sz w:val="20"/>
          <w:szCs w:val="20"/>
          <w:color w:val="auto"/>
        </w:rPr>
        <w:t>” means the event specified in Section 8.13(c) hereof.</w:t>
      </w:r>
    </w:p>
    <w:p>
      <w:pPr>
        <w:spacing w:after="0" w:line="191" w:lineRule="exact"/>
        <w:rPr>
          <w:sz w:val="20"/>
          <w:szCs w:val="20"/>
          <w:color w:val="auto"/>
        </w:rPr>
      </w:pPr>
    </w:p>
    <w:p>
      <w:pPr>
        <w:jc w:val="both"/>
        <w:ind w:left="200" w:right="219" w:firstLine="59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 Sanctions Programs</w:t>
      </w:r>
      <w:r>
        <w:rPr>
          <w:rFonts w:ascii="Arial" w:cs="Arial" w:eastAsia="Arial" w:hAnsi="Arial"/>
          <w:sz w:val="18"/>
          <w:szCs w:val="18"/>
          <w:color w:val="auto"/>
        </w:rPr>
        <w:t>”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spacing w:after="0" w:line="148" w:lineRule="exact"/>
        <w:rPr>
          <w:sz w:val="20"/>
          <w:szCs w:val="20"/>
          <w:color w:val="auto"/>
        </w:rPr>
      </w:pPr>
    </w:p>
    <w:p>
      <w:pPr>
        <w:jc w:val="both"/>
        <w:ind w:left="200" w:right="219" w:firstLine="594"/>
        <w:spacing w:after="0" w:line="237" w:lineRule="auto"/>
        <w:rPr>
          <w:sz w:val="20"/>
          <w:szCs w:val="20"/>
          <w:color w:val="auto"/>
        </w:rPr>
      </w:pPr>
      <w:r>
        <w:rPr>
          <w:rFonts w:ascii="Arial" w:cs="Arial" w:eastAsia="Arial" w:hAnsi="Arial"/>
          <w:sz w:val="20"/>
          <w:szCs w:val="20"/>
          <w:i w:val="1"/>
          <w:iCs w:val="1"/>
          <w:color w:val="auto"/>
        </w:rPr>
        <w:t xml:space="preserve">“Other Connection Taxes” </w:t>
      </w:r>
      <w:r>
        <w:rPr>
          <w:rFonts w:ascii="Arial" w:cs="Arial" w:eastAsia="Arial" w:hAnsi="Arial"/>
          <w:sz w:val="20"/>
          <w:szCs w:val="20"/>
          <w:color w:val="auto"/>
        </w:rPr>
        <w:t>means, with respect to any Recipient, Taxes imposed as a result of a</w:t>
      </w:r>
      <w:r>
        <w:rPr>
          <w:rFonts w:ascii="Arial" w:cs="Arial" w:eastAsia="Arial" w:hAnsi="Arial"/>
          <w:sz w:val="20"/>
          <w:szCs w:val="20"/>
          <w:i w:val="1"/>
          <w:iCs w:val="1"/>
          <w:color w:val="auto"/>
        </w:rPr>
        <w:t xml:space="preserve"> </w:t>
      </w:r>
      <w:r>
        <w:rPr>
          <w:rFonts w:ascii="Arial" w:cs="Arial" w:eastAsia="Arial" w:hAnsi="Arial"/>
          <w:sz w:val="20"/>
          <w:szCs w:val="20"/>
          <w:color w:val="auto"/>
        </w:rPr>
        <w:t>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2" w:lineRule="exact"/>
        <w:rPr>
          <w:sz w:val="20"/>
          <w:szCs w:val="20"/>
          <w:color w:val="auto"/>
        </w:rPr>
      </w:pPr>
    </w:p>
    <w:p>
      <w:pPr>
        <w:jc w:val="both"/>
        <w:ind w:left="200" w:right="219" w:firstLine="594"/>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spacing w:after="0" w:line="148"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i w:val="1"/>
          <w:iCs w:val="1"/>
          <w:color w:val="auto"/>
        </w:rPr>
        <w:t xml:space="preserve">“Other Unsecured Indebtedness” </w:t>
      </w:r>
      <w:r>
        <w:rPr>
          <w:rFonts w:ascii="Arial" w:cs="Arial" w:eastAsia="Arial" w:hAnsi="Arial"/>
          <w:sz w:val="20"/>
          <w:szCs w:val="20"/>
          <w:color w:val="auto"/>
        </w:rPr>
        <w:t>means any Unsecured Indebtedness (not including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Obligations) that is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structurally senior to the Obligations and is recourse to the Borrower, including, without limitation, all Indebtedness under the Existing Credit Agreement and the Truist Term Loan Agreement.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“Parent” </w:t>
      </w:r>
      <w:r>
        <w:rPr>
          <w:rFonts w:ascii="Arial" w:cs="Arial" w:eastAsia="Arial" w:hAnsi="Arial"/>
          <w:sz w:val="20"/>
          <w:szCs w:val="20"/>
          <w:color w:val="auto"/>
        </w:rPr>
        <w:t>is defined in the introductory paragraph of this Agreement.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0" w:name="page81"/>
    <w:bookmarkEnd w:id="80"/>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“Patriot Act” </w:t>
      </w:r>
      <w:r>
        <w:rPr>
          <w:rFonts w:ascii="Arial" w:cs="Arial" w:eastAsia="Arial" w:hAnsi="Arial"/>
          <w:sz w:val="20"/>
          <w:szCs w:val="20"/>
          <w:color w:val="auto"/>
        </w:rPr>
        <w:t>means the Uniting and Strengthening America by Providing Appropriate Tools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to Intercept and Obstruct Terrorism Act of 2001, Pub. L. 107-56.</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Payment Recipient</w:t>
      </w:r>
      <w:r>
        <w:rPr>
          <w:rFonts w:ascii="Arial" w:cs="Arial" w:eastAsia="Arial" w:hAnsi="Arial"/>
          <w:sz w:val="20"/>
          <w:szCs w:val="20"/>
          <w:color w:val="auto"/>
        </w:rPr>
        <w:t>” has the meaning assigned to such term in Section 12.30(a).</w:t>
      </w:r>
    </w:p>
    <w:p>
      <w:pPr>
        <w:spacing w:after="0" w:line="216"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“PBGC” </w:t>
      </w:r>
      <w:r>
        <w:rPr>
          <w:rFonts w:ascii="Arial" w:cs="Arial" w:eastAsia="Arial" w:hAnsi="Arial"/>
          <w:sz w:val="20"/>
          <w:szCs w:val="20"/>
          <w:color w:val="auto"/>
        </w:rPr>
        <w:t>means the Pension Benefit Guaranty Corporation or any Person succeeding to any or all of</w:t>
      </w:r>
      <w:r>
        <w:rPr>
          <w:rFonts w:ascii="Arial" w:cs="Arial" w:eastAsia="Arial" w:hAnsi="Arial"/>
          <w:sz w:val="20"/>
          <w:szCs w:val="20"/>
          <w:i w:val="1"/>
          <w:iCs w:val="1"/>
          <w:color w:val="auto"/>
        </w:rPr>
        <w:t xml:space="preserve"> </w:t>
      </w:r>
      <w:r>
        <w:rPr>
          <w:rFonts w:ascii="Arial" w:cs="Arial" w:eastAsia="Arial" w:hAnsi="Arial"/>
          <w:sz w:val="20"/>
          <w:szCs w:val="20"/>
          <w:color w:val="auto"/>
        </w:rPr>
        <w:t>its functions under ERISA.</w:t>
      </w:r>
    </w:p>
    <w:p>
      <w:pPr>
        <w:spacing w:after="0" w:line="196" w:lineRule="exact"/>
        <w:rPr>
          <w:sz w:val="20"/>
          <w:szCs w:val="20"/>
          <w:color w:val="auto"/>
        </w:rPr>
      </w:pPr>
    </w:p>
    <w:p>
      <w:pPr>
        <w:jc w:val="both"/>
        <w:ind w:left="200" w:right="219" w:firstLine="594"/>
        <w:spacing w:after="0" w:line="263" w:lineRule="auto"/>
        <w:rPr>
          <w:sz w:val="20"/>
          <w:szCs w:val="20"/>
          <w:color w:val="auto"/>
        </w:rPr>
      </w:pPr>
      <w:r>
        <w:rPr>
          <w:rFonts w:ascii="Arial" w:cs="Arial" w:eastAsia="Arial" w:hAnsi="Arial"/>
          <w:sz w:val="18"/>
          <w:szCs w:val="18"/>
          <w:i w:val="1"/>
          <w:iCs w:val="1"/>
          <w:color w:val="auto"/>
        </w:rPr>
        <w:t xml:space="preserve">“Permitted Ground Lease Investments” </w:t>
      </w:r>
      <w:r>
        <w:rPr>
          <w:rFonts w:ascii="Arial" w:cs="Arial" w:eastAsia="Arial" w:hAnsi="Arial"/>
          <w:sz w:val="18"/>
          <w:szCs w:val="18"/>
          <w:color w:val="auto"/>
        </w:rPr>
        <w:t xml:space="preserve">means a Ground Lease where the Borrower or a Wholly-owned Subsidiary is the lessor under such Ground Lease and which is a Ground Lease (a) of unencumbered land located in a MSA that is owned in fee simple by the Borrower or a Wholly-owned Subsidiary and on which a fully completed building is located (all such improvements to be unencumbered), (b) which may not be transferred, mortgaged or assigned to an alternate lessee without the prior written consent of the lessor and (c) which may be transferred and assigned to an alternate lessor without the consent of the lessee;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any Ground Lease may be designated as a Permitted Ground Lease Investment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request by the Borrower to the Administrative Agent and written approval of such request by the Required Lenders. Ground Leases of Land Assets or on which an Asset under Development is located shall not be a Permitted Ground Lease Investment.</w:t>
      </w:r>
    </w:p>
    <w:p>
      <w:pPr>
        <w:spacing w:after="0" w:line="195" w:lineRule="exact"/>
        <w:rPr>
          <w:sz w:val="20"/>
          <w:szCs w:val="20"/>
          <w:color w:val="auto"/>
        </w:rPr>
      </w:pPr>
    </w:p>
    <w:p>
      <w:pPr>
        <w:jc w:val="both"/>
        <w:ind w:left="200" w:right="219" w:firstLine="594"/>
        <w:spacing w:after="0" w:line="274" w:lineRule="auto"/>
        <w:rPr>
          <w:sz w:val="20"/>
          <w:szCs w:val="20"/>
          <w:color w:val="auto"/>
        </w:rPr>
      </w:pPr>
      <w:r>
        <w:rPr>
          <w:rFonts w:ascii="Arial" w:cs="Arial" w:eastAsia="Arial" w:hAnsi="Arial"/>
          <w:sz w:val="17"/>
          <w:szCs w:val="17"/>
          <w:i w:val="1"/>
          <w:iCs w:val="1"/>
          <w:color w:val="auto"/>
        </w:rPr>
        <w:t xml:space="preserve">“Permitted Liens” </w:t>
      </w:r>
      <w:r>
        <w:rPr>
          <w:rFonts w:ascii="Arial" w:cs="Arial" w:eastAsia="Arial" w:hAnsi="Arial"/>
          <w:sz w:val="17"/>
          <w:szCs w:val="17"/>
          <w:color w:val="auto"/>
        </w:rPr>
        <w:t>means each of the following: (a) Liens for taxes, assessments and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and</w:t>
      </w:r>
    </w:p>
    <w:p>
      <w:pPr>
        <w:spacing w:after="0" w:line="8" w:lineRule="exact"/>
        <w:rPr>
          <w:sz w:val="20"/>
          <w:szCs w:val="20"/>
          <w:color w:val="auto"/>
        </w:rPr>
      </w:pPr>
    </w:p>
    <w:p>
      <w:pPr>
        <w:ind w:left="200" w:right="219" w:firstLine="2"/>
        <w:spacing w:after="0" w:line="238" w:lineRule="auto"/>
        <w:tabs>
          <w:tab w:leader="none" w:pos="437"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Liens on Properties that are not Eligible Properties and whose Borrowing Base Values are not included in the calculation of the Borrowing Base.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1587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1" w:name="page82"/>
    <w:bookmarkEnd w:id="81"/>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“Person” </w:t>
      </w:r>
      <w:r>
        <w:rPr>
          <w:rFonts w:ascii="Arial" w:cs="Arial" w:eastAsia="Arial" w:hAnsi="Arial"/>
          <w:sz w:val="20"/>
          <w:szCs w:val="20"/>
          <w:color w:val="auto"/>
        </w:rPr>
        <w:t>means an individual, partnership, corporation, limited liability company, association, trust,</w:t>
      </w:r>
      <w:r>
        <w:rPr>
          <w:rFonts w:ascii="Arial" w:cs="Arial" w:eastAsia="Arial" w:hAnsi="Arial"/>
          <w:sz w:val="20"/>
          <w:szCs w:val="20"/>
          <w:i w:val="1"/>
          <w:iCs w:val="1"/>
          <w:color w:val="auto"/>
        </w:rPr>
        <w:t xml:space="preserve"> </w:t>
      </w:r>
      <w:r>
        <w:rPr>
          <w:rFonts w:ascii="Arial" w:cs="Arial" w:eastAsia="Arial" w:hAnsi="Arial"/>
          <w:sz w:val="20"/>
          <w:szCs w:val="20"/>
          <w:color w:val="auto"/>
        </w:rPr>
        <w:t>unincorporated organization or any other entity or organization, including a government or agency or political subdivision thereof.</w:t>
      </w:r>
    </w:p>
    <w:p>
      <w:pPr>
        <w:spacing w:after="0" w:line="168" w:lineRule="exact"/>
        <w:rPr>
          <w:sz w:val="20"/>
          <w:szCs w:val="20"/>
          <w:color w:val="auto"/>
        </w:rPr>
      </w:pPr>
    </w:p>
    <w:p>
      <w:pPr>
        <w:jc w:val="both"/>
        <w:ind w:left="200" w:right="219" w:firstLine="594"/>
        <w:spacing w:after="0" w:line="268"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any employee pension benefit plan covered by Title IV of ERISA or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48" w:lineRule="exact"/>
        <w:rPr>
          <w:sz w:val="20"/>
          <w:szCs w:val="20"/>
          <w:color w:val="auto"/>
        </w:rPr>
      </w:pPr>
    </w:p>
    <w:p>
      <w:pPr>
        <w:jc w:val="both"/>
        <w:ind w:left="200" w:right="219" w:firstLine="594"/>
        <w:spacing w:after="0" w:line="256" w:lineRule="auto"/>
        <w:rPr>
          <w:sz w:val="20"/>
          <w:szCs w:val="20"/>
          <w:color w:val="auto"/>
        </w:rPr>
      </w:pPr>
      <w:r>
        <w:rPr>
          <w:rFonts w:ascii="Arial" w:cs="Arial" w:eastAsia="Arial" w:hAnsi="Arial"/>
          <w:sz w:val="19"/>
          <w:szCs w:val="19"/>
          <w:i w:val="1"/>
          <w:iCs w:val="1"/>
          <w:color w:val="auto"/>
        </w:rPr>
        <w:t xml:space="preserve">“Property” </w:t>
      </w:r>
      <w:r>
        <w:rPr>
          <w:rFonts w:ascii="Arial" w:cs="Arial" w:eastAsia="Arial" w:hAnsi="Arial"/>
          <w:sz w:val="19"/>
          <w:szCs w:val="19"/>
          <w:color w:val="auto"/>
        </w:rPr>
        <w:t>or</w:t>
      </w:r>
      <w:r>
        <w:rPr>
          <w:rFonts w:ascii="Arial" w:cs="Arial" w:eastAsia="Arial" w:hAnsi="Arial"/>
          <w:sz w:val="19"/>
          <w:szCs w:val="19"/>
          <w:i w:val="1"/>
          <w:iCs w:val="1"/>
          <w:color w:val="auto"/>
        </w:rPr>
        <w:t xml:space="preserve"> “Properties” </w:t>
      </w:r>
      <w:r>
        <w:rPr>
          <w:rFonts w:ascii="Arial" w:cs="Arial" w:eastAsia="Arial" w:hAnsi="Arial"/>
          <w:sz w:val="19"/>
          <w:szCs w:val="19"/>
          <w:color w:val="auto"/>
        </w:rPr>
        <w:t>means, as to any Person, all types of real, personal, tangible, intangible</w:t>
      </w:r>
      <w:r>
        <w:rPr>
          <w:rFonts w:ascii="Arial" w:cs="Arial" w:eastAsia="Arial" w:hAnsi="Arial"/>
          <w:sz w:val="19"/>
          <w:szCs w:val="19"/>
          <w:i w:val="1"/>
          <w:iCs w:val="1"/>
          <w:color w:val="auto"/>
        </w:rPr>
        <w:t xml:space="preserve"> </w:t>
      </w:r>
      <w:r>
        <w:rPr>
          <w:rFonts w:ascii="Arial" w:cs="Arial" w:eastAsia="Arial" w:hAnsi="Arial"/>
          <w:sz w:val="19"/>
          <w:szCs w:val="19"/>
          <w:color w:val="auto"/>
        </w:rPr>
        <w:t>or mixed property, including property encumbered by Ground Leases, owned by such Person whether or not included in the most recent balance sheet of such Person and its subsidiaries under GAAP, including any Eligible Property owned by the Borrower or any of its Subsidiaries.</w:t>
      </w:r>
    </w:p>
    <w:p>
      <w:pPr>
        <w:spacing w:after="0" w:line="157" w:lineRule="exact"/>
        <w:rPr>
          <w:sz w:val="20"/>
          <w:szCs w:val="20"/>
          <w:color w:val="auto"/>
        </w:rPr>
      </w:pPr>
    </w:p>
    <w:p>
      <w:pPr>
        <w:jc w:val="both"/>
        <w:ind w:left="200" w:right="219" w:firstLine="594"/>
        <w:spacing w:after="0" w:line="270" w:lineRule="auto"/>
        <w:rPr>
          <w:sz w:val="20"/>
          <w:szCs w:val="20"/>
          <w:color w:val="auto"/>
        </w:rPr>
      </w:pPr>
      <w:r>
        <w:rPr>
          <w:rFonts w:ascii="Arial" w:cs="Arial" w:eastAsia="Arial" w:hAnsi="Arial"/>
          <w:sz w:val="18"/>
          <w:szCs w:val="18"/>
          <w:i w:val="1"/>
          <w:iCs w:val="1"/>
          <w:color w:val="auto"/>
        </w:rPr>
        <w:t xml:space="preserve">“Property Expenses” </w:t>
      </w:r>
      <w:r>
        <w:rPr>
          <w:rFonts w:ascii="Arial" w:cs="Arial" w:eastAsia="Arial" w:hAnsi="Arial"/>
          <w:sz w:val="18"/>
          <w:szCs w:val="18"/>
          <w:color w:val="auto"/>
        </w:rPr>
        <w:t>means the costs (including, but not limited to, payroll, taxes, assessments,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utilities, landscaping and other similar charges) of operating and maintaining any Property, which are the responsibility of the Borrower or the applicable Guarantor that are not paid directly by the tenant, including without limitation, the Annual Capital Expenditure Reserve and the greater of (a) 3% of rents and (b) actual management fees paid in cash, but excluding depreciation, amortization and interest costs.</w:t>
      </w:r>
    </w:p>
    <w:p>
      <w:pPr>
        <w:spacing w:after="0" w:line="148" w:lineRule="exact"/>
        <w:rPr>
          <w:sz w:val="20"/>
          <w:szCs w:val="20"/>
          <w:color w:val="auto"/>
        </w:rPr>
      </w:pPr>
    </w:p>
    <w:p>
      <w:pPr>
        <w:jc w:val="both"/>
        <w:ind w:left="200" w:right="219" w:firstLine="594"/>
        <w:spacing w:after="0" w:line="283" w:lineRule="auto"/>
        <w:rPr>
          <w:sz w:val="20"/>
          <w:szCs w:val="20"/>
          <w:color w:val="auto"/>
        </w:rPr>
      </w:pPr>
      <w:r>
        <w:rPr>
          <w:rFonts w:ascii="Arial" w:cs="Arial" w:eastAsia="Arial" w:hAnsi="Arial"/>
          <w:sz w:val="18"/>
          <w:szCs w:val="18"/>
          <w:i w:val="1"/>
          <w:iCs w:val="1"/>
          <w:color w:val="auto"/>
        </w:rPr>
        <w:t xml:space="preserve">“Property Income” </w:t>
      </w:r>
      <w:r>
        <w:rPr>
          <w:rFonts w:ascii="Arial" w:cs="Arial" w:eastAsia="Arial" w:hAnsi="Arial"/>
          <w:sz w:val="18"/>
          <w:szCs w:val="18"/>
          <w:color w:val="auto"/>
        </w:rPr>
        <w:t>means cash rents (excluding non-cash straight-line rent) and other cash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the Borrower or a Guarantor in the ordinary course for any Property, but excluding security deposits and prepaid rent except to the extent applied in satisfaction of tenants’ obligations for rent.</w:t>
      </w:r>
    </w:p>
    <w:p>
      <w:pPr>
        <w:spacing w:after="0" w:line="134" w:lineRule="exact"/>
        <w:rPr>
          <w:sz w:val="20"/>
          <w:szCs w:val="20"/>
          <w:color w:val="auto"/>
        </w:rPr>
      </w:pPr>
    </w:p>
    <w:p>
      <w:pPr>
        <w:jc w:val="both"/>
        <w:ind w:left="200" w:right="219" w:firstLine="594"/>
        <w:spacing w:after="0" w:line="267" w:lineRule="auto"/>
        <w:rPr>
          <w:sz w:val="20"/>
          <w:szCs w:val="20"/>
          <w:color w:val="auto"/>
        </w:rPr>
      </w:pPr>
      <w:r>
        <w:rPr>
          <w:rFonts w:ascii="Arial" w:cs="Arial" w:eastAsia="Arial" w:hAnsi="Arial"/>
          <w:sz w:val="18"/>
          <w:szCs w:val="18"/>
          <w:i w:val="1"/>
          <w:iCs w:val="1"/>
          <w:color w:val="auto"/>
        </w:rPr>
        <w:t xml:space="preserve">“Property Net Operating Income” </w:t>
      </w:r>
      <w:r>
        <w:rPr>
          <w:rFonts w:ascii="Arial" w:cs="Arial" w:eastAsia="Arial" w:hAnsi="Arial"/>
          <w:sz w:val="18"/>
          <w:szCs w:val="18"/>
          <w:color w:val="auto"/>
        </w:rPr>
        <w:t>or</w:t>
      </w:r>
      <w:r>
        <w:rPr>
          <w:rFonts w:ascii="Arial" w:cs="Arial" w:eastAsia="Arial" w:hAnsi="Arial"/>
          <w:sz w:val="18"/>
          <w:szCs w:val="18"/>
          <w:i w:val="1"/>
          <w:iCs w:val="1"/>
          <w:color w:val="auto"/>
        </w:rPr>
        <w:t xml:space="preserve"> “Property NOI” </w:t>
      </w:r>
      <w:r>
        <w:rPr>
          <w:rFonts w:ascii="Arial" w:cs="Arial" w:eastAsia="Arial" w:hAnsi="Arial"/>
          <w:sz w:val="18"/>
          <w:szCs w:val="18"/>
          <w:color w:val="auto"/>
        </w:rPr>
        <w:t>means, with respect to any Property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Rolling Period (without duplication), the aggregate amount of (i) Property Income for such period </w:t>
      </w:r>
      <w:r>
        <w:rPr>
          <w:rFonts w:ascii="Arial" w:cs="Arial" w:eastAsia="Arial" w:hAnsi="Arial"/>
          <w:sz w:val="18"/>
          <w:szCs w:val="18"/>
          <w:i w:val="1"/>
          <w:iCs w:val="1"/>
          <w:color w:val="auto"/>
        </w:rPr>
        <w:t>minus</w:t>
      </w:r>
    </w:p>
    <w:p>
      <w:pPr>
        <w:spacing w:after="0" w:line="1" w:lineRule="exact"/>
        <w:rPr>
          <w:sz w:val="20"/>
          <w:szCs w:val="20"/>
          <w:color w:val="auto"/>
        </w:rPr>
      </w:pPr>
    </w:p>
    <w:p>
      <w:pPr>
        <w:ind w:left="200" w:right="219" w:firstLine="2"/>
        <w:spacing w:after="0" w:line="290" w:lineRule="auto"/>
        <w:tabs>
          <w:tab w:leader="none" w:pos="5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Property Expenses for such period. Pro forma adjustments shall be made for any Property acquired or sold during any period as if the acquisition or disposition occurred on the first day of the applicable period.</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“Property Owner” </w:t>
      </w:r>
      <w:r>
        <w:rPr>
          <w:rFonts w:ascii="Arial" w:cs="Arial" w:eastAsia="Arial" w:hAnsi="Arial"/>
          <w:sz w:val="20"/>
          <w:szCs w:val="20"/>
          <w:color w:val="auto"/>
        </w:rPr>
        <w:t>means the Person who owns fee title interest in and to a Property.</w:t>
      </w:r>
    </w:p>
    <w:p>
      <w:pPr>
        <w:spacing w:after="0" w:line="19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“Qualifying Counterparty” </w:t>
      </w:r>
      <w:r>
        <w:rPr>
          <w:rFonts w:ascii="Arial" w:cs="Arial" w:eastAsia="Arial" w:hAnsi="Arial"/>
          <w:sz w:val="20"/>
          <w:szCs w:val="20"/>
          <w:color w:val="auto"/>
        </w:rPr>
        <w:t>means, with respect to any Hedging Liability, any party that was a</w:t>
      </w:r>
      <w:r>
        <w:rPr>
          <w:rFonts w:ascii="Arial" w:cs="Arial" w:eastAsia="Arial" w:hAnsi="Arial"/>
          <w:sz w:val="20"/>
          <w:szCs w:val="20"/>
          <w:i w:val="1"/>
          <w:iCs w:val="1"/>
          <w:color w:val="auto"/>
        </w:rPr>
        <w:t xml:space="preserve"> </w:t>
      </w:r>
      <w:r>
        <w:rPr>
          <w:rFonts w:ascii="Arial" w:cs="Arial" w:eastAsia="Arial" w:hAnsi="Arial"/>
          <w:sz w:val="20"/>
          <w:szCs w:val="20"/>
          <w:color w:val="auto"/>
        </w:rPr>
        <w:t>Lender or an Affiliate of a Lender under this Agreement at the time the hedging arrangement giving rise to such Hedging Liability was entered into.</w:t>
      </w:r>
    </w:p>
    <w:p>
      <w:pPr>
        <w:spacing w:after="0" w:line="168" w:lineRule="exact"/>
        <w:rPr>
          <w:sz w:val="20"/>
          <w:szCs w:val="20"/>
          <w:color w:val="auto"/>
        </w:rPr>
      </w:pPr>
    </w:p>
    <w:p>
      <w:pPr>
        <w:jc w:val="both"/>
        <w:ind w:left="200" w:right="219" w:firstLine="594"/>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Qualified ECP Guarantor</w:t>
      </w:r>
      <w:r>
        <w:rPr>
          <w:rFonts w:ascii="Arial" w:cs="Arial" w:eastAsia="Arial" w:hAnsi="Arial"/>
          <w:sz w:val="19"/>
          <w:szCs w:val="19"/>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2" w:name="page83"/>
    <w:bookmarkEnd w:id="82"/>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“Rating” </w:t>
      </w:r>
      <w:r>
        <w:rPr>
          <w:rFonts w:ascii="Arial" w:cs="Arial" w:eastAsia="Arial" w:hAnsi="Arial"/>
          <w:sz w:val="20"/>
          <w:szCs w:val="20"/>
          <w:color w:val="auto"/>
        </w:rPr>
        <w:t>means the debt rating provided by S&amp;P or Moody’s with respect to the unsecured senior</w:t>
      </w:r>
      <w:r>
        <w:rPr>
          <w:rFonts w:ascii="Arial" w:cs="Arial" w:eastAsia="Arial" w:hAnsi="Arial"/>
          <w:sz w:val="20"/>
          <w:szCs w:val="20"/>
          <w:i w:val="1"/>
          <w:iCs w:val="1"/>
          <w:color w:val="auto"/>
        </w:rPr>
        <w:t xml:space="preserve"> </w:t>
      </w:r>
      <w:r>
        <w:rPr>
          <w:rFonts w:ascii="Arial" w:cs="Arial" w:eastAsia="Arial" w:hAnsi="Arial"/>
          <w:sz w:val="20"/>
          <w:szCs w:val="20"/>
          <w:color w:val="auto"/>
        </w:rPr>
        <w:t>long-term non-credit enhanced debt of a Person.</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“RCRA” </w:t>
      </w:r>
      <w:r>
        <w:rPr>
          <w:rFonts w:ascii="Arial" w:cs="Arial" w:eastAsia="Arial" w:hAnsi="Arial"/>
          <w:sz w:val="20"/>
          <w:szCs w:val="20"/>
          <w:color w:val="auto"/>
        </w:rPr>
        <w:t>means the Solid Waste Disposal Act, as amended by the Resource Conservation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Recovery Act of 1976 and Hazardous and Solid Waste Amendments of 1984, 42 U.S.C. </w:t>
      </w:r>
      <w:r>
        <w:rPr>
          <w:rFonts w:ascii="Arial" w:cs="Arial" w:eastAsia="Arial" w:hAnsi="Arial"/>
          <w:sz w:val="20"/>
          <w:szCs w:val="20"/>
          <w:b w:val="1"/>
          <w:bCs w:val="1"/>
          <w:color w:val="auto"/>
        </w:rPr>
        <w:t>§§</w:t>
      </w:r>
      <w:r>
        <w:rPr>
          <w:rFonts w:ascii="Arial" w:cs="Arial" w:eastAsia="Arial" w:hAnsi="Arial"/>
          <w:sz w:val="20"/>
          <w:szCs w:val="20"/>
          <w:color w:val="auto"/>
        </w:rPr>
        <w:t xml:space="preserve">6901 </w:t>
      </w:r>
      <w:r>
        <w:rPr>
          <w:rFonts w:ascii="Arial" w:cs="Arial" w:eastAsia="Arial" w:hAnsi="Arial"/>
          <w:sz w:val="20"/>
          <w:szCs w:val="20"/>
          <w:i w:val="1"/>
          <w:iCs w:val="1"/>
          <w:color w:val="auto"/>
        </w:rPr>
        <w:t>et seq.</w:t>
      </w:r>
      <w:r>
        <w:rPr>
          <w:rFonts w:ascii="Arial" w:cs="Arial" w:eastAsia="Arial" w:hAnsi="Arial"/>
          <w:sz w:val="20"/>
          <w:szCs w:val="20"/>
          <w:color w:val="auto"/>
        </w:rPr>
        <w:t>, and any future amendments.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“Recipient</w:t>
      </w:r>
      <w:r>
        <w:rPr>
          <w:rFonts w:ascii="Arial" w:cs="Arial" w:eastAsia="Arial" w:hAnsi="Arial"/>
          <w:sz w:val="20"/>
          <w:szCs w:val="20"/>
          <w:color w:val="auto"/>
        </w:rPr>
        <w:t>” means (a) the Administrative Agent, and (b) any Lender, as applicable.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“REIT” </w:t>
      </w:r>
      <w:r>
        <w:rPr>
          <w:rFonts w:ascii="Arial" w:cs="Arial" w:eastAsia="Arial" w:hAnsi="Arial"/>
          <w:sz w:val="18"/>
          <w:szCs w:val="18"/>
          <w:color w:val="auto"/>
        </w:rPr>
        <w:t>means a “real estate investment trust” in accordance with Section 856 et. seq. of the Code.</w:t>
      </w:r>
    </w:p>
    <w:p>
      <w:pPr>
        <w:spacing w:after="0" w:line="214"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“Related Parties” </w:t>
      </w:r>
      <w:r>
        <w:rPr>
          <w:rFonts w:ascii="Arial" w:cs="Arial" w:eastAsia="Arial" w:hAnsi="Arial"/>
          <w:sz w:val="20"/>
          <w:szCs w:val="20"/>
          <w:color w:val="auto"/>
        </w:rPr>
        <w:t>means, with respect to any Person, such Person’s Affiliates and the partners,</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officers, employees, agents, trustees, administrators, managers, advisors and representatives of such Person and of such Person’s Affiliates.</w:t>
      </w:r>
    </w:p>
    <w:p>
      <w:pPr>
        <w:spacing w:after="0" w:line="168" w:lineRule="exact"/>
        <w:rPr>
          <w:sz w:val="20"/>
          <w:szCs w:val="20"/>
          <w:color w:val="auto"/>
        </w:rPr>
      </w:pPr>
    </w:p>
    <w:p>
      <w:pPr>
        <w:jc w:val="both"/>
        <w:ind w:left="200" w:right="219" w:firstLine="594"/>
        <w:spacing w:after="0" w:line="256" w:lineRule="auto"/>
        <w:rPr>
          <w:sz w:val="20"/>
          <w:szCs w:val="20"/>
          <w:color w:val="auto"/>
        </w:rPr>
      </w:pPr>
      <w:r>
        <w:rPr>
          <w:rFonts w:ascii="Arial" w:cs="Arial" w:eastAsia="Arial" w:hAnsi="Arial"/>
          <w:sz w:val="19"/>
          <w:szCs w:val="19"/>
          <w:i w:val="1"/>
          <w:iCs w:val="1"/>
          <w:color w:val="auto"/>
        </w:rPr>
        <w:t xml:space="preserve">“Release” </w:t>
      </w:r>
      <w:r>
        <w:rPr>
          <w:rFonts w:ascii="Arial" w:cs="Arial" w:eastAsia="Arial" w:hAnsi="Arial"/>
          <w:sz w:val="19"/>
          <w:szCs w:val="19"/>
          <w:color w:val="auto"/>
        </w:rPr>
        <w:t>means any spilling, leaking, pumping, pouring, emitting, emptying, discharging,</w:t>
      </w:r>
      <w:r>
        <w:rPr>
          <w:rFonts w:ascii="Arial" w:cs="Arial" w:eastAsia="Arial" w:hAnsi="Arial"/>
          <w:sz w:val="19"/>
          <w:szCs w:val="19"/>
          <w:i w:val="1"/>
          <w:iCs w:val="1"/>
          <w:color w:val="auto"/>
        </w:rPr>
        <w:t xml:space="preserve"> </w:t>
      </w:r>
      <w:r>
        <w:rPr>
          <w:rFonts w:ascii="Arial" w:cs="Arial" w:eastAsia="Arial" w:hAnsi="Arial"/>
          <w:sz w:val="19"/>
          <w:szCs w:val="19"/>
          <w:color w:val="auto"/>
        </w:rPr>
        <w:t>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57"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Required Lenders”</w:t>
      </w:r>
      <w:r>
        <w:rPr>
          <w:rFonts w:ascii="Arial" w:cs="Arial" w:eastAsia="Arial" w:hAnsi="Arial"/>
          <w:sz w:val="20"/>
          <w:szCs w:val="20"/>
          <w:color w:val="auto"/>
        </w:rPr>
        <w:t xml:space="preserve"> means, as of the date of determination thereof, (i) at any time in which there are only two Lenders, both Lenders and (ii) at any other time Lenders whose outstanding Loans constitute 66 2/3% or more of the sum of the Total Outstandings. The outstanding Loans of any Defaulting Lender shall be disregarded in determining Required Lenders at any time.</w:t>
      </w:r>
    </w:p>
    <w:p>
      <w:pPr>
        <w:spacing w:after="0" w:line="173"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“Responsible Officer” </w:t>
      </w:r>
      <w:r>
        <w:rPr>
          <w:rFonts w:ascii="Arial" w:cs="Arial" w:eastAsia="Arial" w:hAnsi="Arial"/>
          <w:sz w:val="20"/>
          <w:szCs w:val="20"/>
          <w:color w:val="auto"/>
        </w:rPr>
        <w:t>means, with respect to the Parent or any of its Subsidiaries, the chief</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officer, the chief financial officer, chief legal officer or the chief operating officer of the Parent or such Subsidiary.</w:t>
      </w:r>
    </w:p>
    <w:p>
      <w:pPr>
        <w:spacing w:after="0" w:line="168"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i w:val="1"/>
          <w:iCs w:val="1"/>
          <w:color w:val="auto"/>
        </w:rPr>
        <w:t xml:space="preserve">“Restricted Payments” </w:t>
      </w:r>
      <w:r>
        <w:rPr>
          <w:rFonts w:ascii="Arial" w:cs="Arial" w:eastAsia="Arial" w:hAnsi="Arial"/>
          <w:sz w:val="20"/>
          <w:szCs w:val="20"/>
          <w:color w:val="auto"/>
        </w:rPr>
        <w:t>means dividends on or other distributions in respect of any class or series of</w:t>
      </w:r>
      <w:r>
        <w:rPr>
          <w:rFonts w:ascii="Arial" w:cs="Arial" w:eastAsia="Arial" w:hAnsi="Arial"/>
          <w:sz w:val="20"/>
          <w:szCs w:val="20"/>
          <w:i w:val="1"/>
          <w:iCs w:val="1"/>
          <w:color w:val="auto"/>
        </w:rPr>
        <w:t xml:space="preserve"> </w:t>
      </w:r>
      <w:r>
        <w:rPr>
          <w:rFonts w:ascii="Arial" w:cs="Arial" w:eastAsia="Arial" w:hAnsi="Arial"/>
          <w:sz w:val="20"/>
          <w:szCs w:val="20"/>
          <w:color w:val="auto"/>
        </w:rPr>
        <w:t>Stock, Stock Equivalents or other Equity Interests of Parent, the Borrower or its Subsidiaries or the direct or indirect purchase, redemption, acquisition, or retirement of any of the Parent’s, the Borrower’s or a Subsidiaries’ Stock, Stock Equivalents or other Equity Interest.</w:t>
      </w:r>
    </w:p>
    <w:p>
      <w:pPr>
        <w:spacing w:after="0" w:line="173"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“Rolling Period” </w:t>
      </w:r>
      <w:r>
        <w:rPr>
          <w:rFonts w:ascii="Arial" w:cs="Arial" w:eastAsia="Arial" w:hAnsi="Arial"/>
          <w:sz w:val="20"/>
          <w:szCs w:val="20"/>
          <w:color w:val="auto"/>
        </w:rPr>
        <w:t>means, as of any date, the four Fiscal Quarters ending on or immediately</w:t>
      </w:r>
      <w:r>
        <w:rPr>
          <w:rFonts w:ascii="Arial" w:cs="Arial" w:eastAsia="Arial" w:hAnsi="Arial"/>
          <w:sz w:val="20"/>
          <w:szCs w:val="20"/>
          <w:i w:val="1"/>
          <w:iCs w:val="1"/>
          <w:color w:val="auto"/>
        </w:rPr>
        <w:t xml:space="preserve"> </w:t>
      </w:r>
      <w:r>
        <w:rPr>
          <w:rFonts w:ascii="Arial" w:cs="Arial" w:eastAsia="Arial" w:hAnsi="Arial"/>
          <w:sz w:val="20"/>
          <w:szCs w:val="20"/>
          <w:color w:val="auto"/>
        </w:rPr>
        <w:t>preceding such date.</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“S&amp;P” </w:t>
      </w:r>
      <w:r>
        <w:rPr>
          <w:rFonts w:ascii="Arial" w:cs="Arial" w:eastAsia="Arial" w:hAnsi="Arial"/>
          <w:sz w:val="20"/>
          <w:szCs w:val="20"/>
          <w:color w:val="auto"/>
        </w:rPr>
        <w:t>means S&amp;P Global, Inc. or any successor thereof.</w:t>
      </w:r>
    </w:p>
    <w:p>
      <w:pPr>
        <w:spacing w:after="0" w:line="19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“Secured Indebtedness” </w:t>
      </w:r>
      <w:r>
        <w:rPr>
          <w:rFonts w:ascii="Arial" w:cs="Arial" w:eastAsia="Arial" w:hAnsi="Arial"/>
          <w:sz w:val="20"/>
          <w:szCs w:val="20"/>
          <w:color w:val="auto"/>
        </w:rPr>
        <w:t>means all Indebtedness for Borrowed Money of the Parent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that is secured by a Lien, other than the Obligations.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3" w:name="page84"/>
    <w:bookmarkEnd w:id="83"/>
    <w:p>
      <w:pPr>
        <w:jc w:val="both"/>
        <w:ind w:left="200" w:right="219" w:firstLine="594"/>
        <w:spacing w:after="0" w:line="283" w:lineRule="auto"/>
        <w:rPr>
          <w:sz w:val="20"/>
          <w:szCs w:val="20"/>
          <w:color w:val="auto"/>
        </w:rPr>
      </w:pPr>
      <w:r>
        <w:rPr>
          <w:rFonts w:ascii="Arial" w:cs="Arial" w:eastAsia="Arial" w:hAnsi="Arial"/>
          <w:sz w:val="18"/>
          <w:szCs w:val="18"/>
          <w:i w:val="1"/>
          <w:iCs w:val="1"/>
          <w:color w:val="auto"/>
        </w:rPr>
        <w:t xml:space="preserve">“Secured Recourse Indebtedness” </w:t>
      </w:r>
      <w:r>
        <w:rPr>
          <w:rFonts w:ascii="Arial" w:cs="Arial" w:eastAsia="Arial" w:hAnsi="Arial"/>
          <w:sz w:val="18"/>
          <w:szCs w:val="18"/>
          <w:color w:val="auto"/>
        </w:rPr>
        <w:t>means Secured Indebtedness for which recourse for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customary exceptions for fraud, misapplication of funds, environmental indemnities and other similar exceptions to recourse liability) is to Parent, Borrower or any Guarantor, other than the Obligations.</w:t>
      </w:r>
    </w:p>
    <w:p>
      <w:pPr>
        <w:spacing w:after="0" w:line="134"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i w:val="1"/>
          <w:iCs w:val="1"/>
          <w:color w:val="auto"/>
        </w:rPr>
        <w:t xml:space="preserve">“Significant Lease” </w:t>
      </w:r>
      <w:r>
        <w:rPr>
          <w:rFonts w:ascii="Arial" w:cs="Arial" w:eastAsia="Arial" w:hAnsi="Arial"/>
          <w:sz w:val="20"/>
          <w:szCs w:val="20"/>
          <w:color w:val="auto"/>
        </w:rPr>
        <w:t>means, as to any particular Property, each Lease which constitutes 20% or more</w:t>
      </w:r>
      <w:r>
        <w:rPr>
          <w:rFonts w:ascii="Arial" w:cs="Arial" w:eastAsia="Arial" w:hAnsi="Arial"/>
          <w:sz w:val="20"/>
          <w:szCs w:val="20"/>
          <w:i w:val="1"/>
          <w:iCs w:val="1"/>
          <w:color w:val="auto"/>
        </w:rPr>
        <w:t xml:space="preserve"> </w:t>
      </w:r>
      <w:r>
        <w:rPr>
          <w:rFonts w:ascii="Arial" w:cs="Arial" w:eastAsia="Arial" w:hAnsi="Arial"/>
          <w:sz w:val="20"/>
          <w:szCs w:val="20"/>
          <w:color w:val="auto"/>
        </w:rPr>
        <w:t>of all base rent revenue of such Property.</w:t>
      </w:r>
    </w:p>
    <w:p>
      <w:pPr>
        <w:spacing w:after="0" w:line="159"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“Stock” </w:t>
      </w:r>
      <w:r>
        <w:rPr>
          <w:rFonts w:ascii="Arial" w:cs="Arial" w:eastAsia="Arial" w:hAnsi="Arial"/>
          <w:sz w:val="20"/>
          <w:szCs w:val="20"/>
          <w:color w:val="auto"/>
        </w:rPr>
        <w:t>means shares of capital stock, beneficial or partnership interests, participations or other</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(regardless of how designated) of or in a corporation or equivalent entity, whether voting or non-voting, and includes, without limitation, common stock.</w:t>
      </w:r>
    </w:p>
    <w:p>
      <w:pPr>
        <w:spacing w:after="0" w:line="168"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i w:val="1"/>
          <w:iCs w:val="1"/>
          <w:color w:val="auto"/>
        </w:rPr>
        <w:t xml:space="preserve">“Stock Equivalents” </w:t>
      </w:r>
      <w:r>
        <w:rPr>
          <w:rFonts w:ascii="Arial" w:cs="Arial" w:eastAsia="Arial" w:hAnsi="Arial"/>
          <w:sz w:val="19"/>
          <w:szCs w:val="19"/>
          <w:color w:val="auto"/>
        </w:rPr>
        <w:t>means all securities (other than Stock) convertible into or exchangeable for</w:t>
      </w:r>
      <w:r>
        <w:rPr>
          <w:rFonts w:ascii="Arial" w:cs="Arial" w:eastAsia="Arial" w:hAnsi="Arial"/>
          <w:sz w:val="19"/>
          <w:szCs w:val="19"/>
          <w:i w:val="1"/>
          <w:iCs w:val="1"/>
          <w:color w:val="auto"/>
        </w:rPr>
        <w:t xml:space="preserve"> </w:t>
      </w:r>
      <w:r>
        <w:rPr>
          <w:rFonts w:ascii="Arial" w:cs="Arial" w:eastAsia="Arial" w:hAnsi="Arial"/>
          <w:sz w:val="19"/>
          <w:szCs w:val="19"/>
          <w:color w:val="auto"/>
        </w:rPr>
        <w:t>Stock at the option of the holder, and all warrants, options or other rights to purchase or subscribe for any stock, whether or not presently convertible, exchangeable or exercisable.</w:t>
      </w:r>
    </w:p>
    <w:p>
      <w:pPr>
        <w:spacing w:after="0" w:line="151" w:lineRule="exact"/>
        <w:rPr>
          <w:sz w:val="20"/>
          <w:szCs w:val="20"/>
          <w:color w:val="auto"/>
        </w:rPr>
      </w:pPr>
    </w:p>
    <w:p>
      <w:pPr>
        <w:jc w:val="both"/>
        <w:ind w:left="200" w:right="219" w:firstLine="594"/>
        <w:spacing w:after="0" w:line="290"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as to any particular parent corporation or organization, any other corporation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Arial" w:cs="Arial" w:eastAsia="Arial" w:hAnsi="Arial"/>
          <w:sz w:val="17"/>
          <w:szCs w:val="17"/>
          <w:i w:val="1"/>
          <w:iCs w:val="1"/>
          <w:color w:val="auto"/>
        </w:rPr>
        <w:t xml:space="preserve">“Subsidiary” </w:t>
      </w:r>
      <w:r>
        <w:rPr>
          <w:rFonts w:ascii="Arial" w:cs="Arial" w:eastAsia="Arial" w:hAnsi="Arial"/>
          <w:sz w:val="17"/>
          <w:szCs w:val="17"/>
          <w:color w:val="auto"/>
        </w:rPr>
        <w:t>means a Subsidiary of Parent or the Borrower or of any of their direct or indirect Subsidiaries.</w:t>
      </w:r>
    </w:p>
    <w:p>
      <w:pPr>
        <w:spacing w:after="0" w:line="13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68" w:lineRule="exact"/>
        <w:rPr>
          <w:sz w:val="20"/>
          <w:szCs w:val="20"/>
          <w:color w:val="auto"/>
        </w:rPr>
      </w:pPr>
    </w:p>
    <w:p>
      <w:pPr>
        <w:jc w:val="both"/>
        <w:ind w:left="200" w:right="219" w:firstLine="656"/>
        <w:spacing w:after="0" w:line="249" w:lineRule="auto"/>
        <w:rPr>
          <w:sz w:val="20"/>
          <w:szCs w:val="20"/>
          <w:color w:val="auto"/>
        </w:rPr>
      </w:pPr>
      <w:r>
        <w:rPr>
          <w:rFonts w:ascii="Arial" w:cs="Arial" w:eastAsia="Arial" w:hAnsi="Arial"/>
          <w:sz w:val="19"/>
          <w:szCs w:val="19"/>
          <w:i w:val="1"/>
          <w:iCs w:val="1"/>
          <w:color w:val="auto"/>
        </w:rPr>
        <w:t xml:space="preserve">“Tangible Net Worth” </w:t>
      </w:r>
      <w:r>
        <w:rPr>
          <w:rFonts w:ascii="Arial" w:cs="Arial" w:eastAsia="Arial" w:hAnsi="Arial"/>
          <w:sz w:val="19"/>
          <w:szCs w:val="19"/>
          <w:color w:val="auto"/>
        </w:rPr>
        <w:t xml:space="preserve">means for each applicable period, total shareholder’s equity and any non-controlling equity interests on the Parent’s consolidated balance sheet as reported in its Form 10-K or 10-Q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 accumulated depreciation and amortization and (ii) unrealized losses related to marketable securities, </w:t>
      </w:r>
      <w:r>
        <w:rPr>
          <w:rFonts w:ascii="Arial" w:cs="Arial" w:eastAsia="Arial" w:hAnsi="Arial"/>
          <w:sz w:val="19"/>
          <w:szCs w:val="19"/>
          <w:u w:val="single" w:color="auto"/>
          <w:color w:val="auto"/>
        </w:rPr>
        <w:t>minus</w:t>
      </w:r>
      <w:r>
        <w:rPr>
          <w:rFonts w:ascii="Arial" w:cs="Arial" w:eastAsia="Arial" w:hAnsi="Arial"/>
          <w:sz w:val="19"/>
          <w:szCs w:val="19"/>
          <w:color w:val="auto"/>
        </w:rPr>
        <w:t>, to the extent included when determining stockholders’ equity, (x) all unrealized gains related to marketable securities and (y) all amounts appearing on the assets side of the Parent’s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spacing w:after="0" w:line="163"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“Taxes” </w:t>
      </w:r>
      <w:r>
        <w:rPr>
          <w:rFonts w:ascii="Arial" w:cs="Arial" w:eastAsia="Arial" w:hAnsi="Arial"/>
          <w:sz w:val="20"/>
          <w:szCs w:val="20"/>
          <w:color w:val="auto"/>
        </w:rPr>
        <w:t>means all present or future taxes, levies, imposts, duties, deductions, withholdings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back up withholding), assessments, fees or other charges imposed by any Governmental Authority, including any interest, additions to tax or penalties applicable thereto.</w:t>
      </w:r>
    </w:p>
    <w:p>
      <w:pPr>
        <w:spacing w:after="0" w:line="168"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i w:val="1"/>
          <w:iCs w:val="1"/>
          <w:color w:val="auto"/>
        </w:rPr>
        <w:t xml:space="preserve">“Tenant” </w:t>
      </w:r>
      <w:r>
        <w:rPr>
          <w:rFonts w:ascii="Arial" w:cs="Arial" w:eastAsia="Arial" w:hAnsi="Arial"/>
          <w:sz w:val="20"/>
          <w:szCs w:val="20"/>
          <w:color w:val="auto"/>
        </w:rPr>
        <w:t>means any Person leasing, subleasing or otherwise occupying any portion of a Property</w:t>
      </w:r>
      <w:r>
        <w:rPr>
          <w:rFonts w:ascii="Arial" w:cs="Arial" w:eastAsia="Arial" w:hAnsi="Arial"/>
          <w:sz w:val="20"/>
          <w:szCs w:val="20"/>
          <w:i w:val="1"/>
          <w:iCs w:val="1"/>
          <w:color w:val="auto"/>
        </w:rPr>
        <w:t xml:space="preserve"> </w:t>
      </w:r>
      <w:r>
        <w:rPr>
          <w:rFonts w:ascii="Arial" w:cs="Arial" w:eastAsia="Arial" w:hAnsi="Arial"/>
          <w:sz w:val="20"/>
          <w:szCs w:val="20"/>
          <w:color w:val="auto"/>
        </w:rPr>
        <w:t>under a Lease or other occupancy agreement with the Borrower or a Subsidiary that is the direct owner of such Property.</w:t>
      </w:r>
    </w:p>
    <w:p>
      <w:pPr>
        <w:spacing w:after="0" w:line="168" w:lineRule="exact"/>
        <w:rPr>
          <w:sz w:val="20"/>
          <w:szCs w:val="20"/>
          <w:color w:val="auto"/>
        </w:rPr>
      </w:pPr>
    </w:p>
    <w:p>
      <w:pPr>
        <w:jc w:val="both"/>
        <w:ind w:left="200" w:right="219" w:firstLine="59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Term Commitment</w:t>
      </w:r>
      <w:r>
        <w:rPr>
          <w:rFonts w:ascii="Arial" w:cs="Arial" w:eastAsia="Arial" w:hAnsi="Arial"/>
          <w:sz w:val="19"/>
          <w:szCs w:val="19"/>
          <w:color w:val="auto"/>
        </w:rPr>
        <w:t>” means, as to each Term Lender, its obligation to make a Closing Date Term Loan to Borrower pursuant to Section 1.1(a) in an aggregate principal amount not to exceed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4" w:name="page85"/>
    <w:bookmarkEnd w:id="84"/>
    <w:p>
      <w:pPr>
        <w:jc w:val="both"/>
        <w:ind w:left="200" w:right="219"/>
        <w:spacing w:after="0" w:line="262" w:lineRule="auto"/>
        <w:rPr>
          <w:sz w:val="20"/>
          <w:szCs w:val="20"/>
          <w:color w:val="auto"/>
        </w:rPr>
      </w:pPr>
      <w:r>
        <w:rPr>
          <w:rFonts w:ascii="Arial" w:cs="Arial" w:eastAsia="Arial" w:hAnsi="Arial"/>
          <w:sz w:val="19"/>
          <w:szCs w:val="19"/>
          <w:color w:val="auto"/>
        </w:rPr>
        <w:t>the amount set forth opposite such Lender’s name on Schedule 1 or opposite such caption in the Assignment and Assumption pursuant to which such Lender becomes a party hereto, as applicable, as such amount may be adjusted from time to time in accordance with this Agreement.</w:t>
      </w:r>
    </w:p>
    <w:p>
      <w:pPr>
        <w:spacing w:after="0" w:line="151" w:lineRule="exact"/>
        <w:rPr>
          <w:sz w:val="20"/>
          <w:szCs w:val="20"/>
          <w:color w:val="auto"/>
        </w:rPr>
      </w:pPr>
    </w:p>
    <w:p>
      <w:pPr>
        <w:jc w:val="both"/>
        <w:ind w:left="200" w:right="219" w:firstLine="643"/>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 Facility</w:t>
      </w:r>
      <w:r>
        <w:rPr>
          <w:rFonts w:ascii="Arial" w:cs="Arial" w:eastAsia="Arial" w:hAnsi="Arial"/>
          <w:sz w:val="20"/>
          <w:szCs w:val="20"/>
          <w:color w:val="auto"/>
        </w:rPr>
        <w:t>” means (a) on the Closing Date, the aggregate amount of the Term Commitments at such time and (b) thereafter, the aggregate principal amount of the Term Loans of all Term Lenders outstanding at such time.</w:t>
      </w:r>
    </w:p>
    <w:p>
      <w:pPr>
        <w:spacing w:after="0" w:line="168"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 Lender</w:t>
      </w:r>
      <w:r>
        <w:rPr>
          <w:rFonts w:ascii="Arial" w:cs="Arial" w:eastAsia="Arial" w:hAnsi="Arial"/>
          <w:sz w:val="20"/>
          <w:szCs w:val="20"/>
          <w:color w:val="auto"/>
        </w:rPr>
        <w:t>” means (a) on the Closing Date, any Lender that has a Term Commitment at such time and (b) at any time after the Closing Date, any Lender that has a Term Commitment or holds Term Loans at such time.</w:t>
      </w:r>
    </w:p>
    <w:p>
      <w:pPr>
        <w:spacing w:after="0" w:line="168"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Term Loan</w:t>
      </w:r>
      <w:r>
        <w:rPr>
          <w:rFonts w:ascii="Arial" w:cs="Arial" w:eastAsia="Arial" w:hAnsi="Arial"/>
          <w:sz w:val="20"/>
          <w:szCs w:val="20"/>
          <w:color w:val="auto"/>
        </w:rPr>
        <w:t>” means an advance made by any Term Lender under the Term Facility in the form of a Closing Date Term Loan.</w:t>
      </w:r>
    </w:p>
    <w:p>
      <w:pPr>
        <w:spacing w:after="0" w:line="159" w:lineRule="exact"/>
        <w:rPr>
          <w:sz w:val="20"/>
          <w:szCs w:val="20"/>
          <w:color w:val="auto"/>
        </w:rPr>
      </w:pPr>
    </w:p>
    <w:p>
      <w:pPr>
        <w:jc w:val="both"/>
        <w:ind w:left="200" w:right="219" w:firstLine="594"/>
        <w:spacing w:after="0" w:line="248" w:lineRule="auto"/>
        <w:rPr>
          <w:sz w:val="20"/>
          <w:szCs w:val="20"/>
          <w:color w:val="auto"/>
        </w:rPr>
      </w:pPr>
      <w:r>
        <w:rPr>
          <w:rFonts w:ascii="Arial" w:cs="Arial" w:eastAsia="Arial" w:hAnsi="Arial"/>
          <w:sz w:val="19"/>
          <w:szCs w:val="19"/>
          <w:i w:val="1"/>
          <w:iCs w:val="1"/>
          <w:color w:val="auto"/>
        </w:rPr>
        <w:t xml:space="preserve">“Total Asset Value” </w:t>
      </w:r>
      <w:r>
        <w:rPr>
          <w:rFonts w:ascii="Arial" w:cs="Arial" w:eastAsia="Arial" w:hAnsi="Arial"/>
          <w:sz w:val="19"/>
          <w:szCs w:val="19"/>
          <w:color w:val="auto"/>
        </w:rPr>
        <w:t>means, as of the end of any Rolling Period, an amount equal to the sum of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all Properties owned by the Borrower and its Subsidiaries for more than twelve (12) months, the quotient of (i) the Property NOI from such Properties divided by (ii) the Capitalization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the aggregate book value of all unimproved land holdings and/or construction in progress owned by the Borrower and its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cash, 1031 Cash Proceeds, cash equivalents and marketable securities owned by the Borrower and its Subsidiaries that are not (other than 1031 Cash Proceeds) then being held in or subject to escrow in connection with funding commitments of the Borrower or such Subsidiary.</w:t>
      </w:r>
    </w:p>
    <w:p>
      <w:pPr>
        <w:spacing w:after="0" w:line="165"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i w:val="1"/>
          <w:iCs w:val="1"/>
          <w:color w:val="auto"/>
        </w:rPr>
        <w:t xml:space="preserve">“Total Indebtedness” </w:t>
      </w:r>
      <w:r>
        <w:rPr>
          <w:rFonts w:ascii="Arial" w:cs="Arial" w:eastAsia="Arial" w:hAnsi="Arial"/>
          <w:sz w:val="20"/>
          <w:szCs w:val="20"/>
          <w:color w:val="auto"/>
        </w:rPr>
        <w:t>means, as of a given date, all liabilities of Parent and its Subsidiaries which</w:t>
      </w:r>
      <w:r>
        <w:rPr>
          <w:rFonts w:ascii="Arial" w:cs="Arial" w:eastAsia="Arial" w:hAnsi="Arial"/>
          <w:sz w:val="20"/>
          <w:szCs w:val="20"/>
          <w:i w:val="1"/>
          <w:iCs w:val="1"/>
          <w:color w:val="auto"/>
        </w:rPr>
        <w:t xml:space="preserve"> </w:t>
      </w:r>
      <w:r>
        <w:rPr>
          <w:rFonts w:ascii="Arial" w:cs="Arial" w:eastAsia="Arial" w:hAnsi="Arial"/>
          <w:sz w:val="20"/>
          <w:szCs w:val="20"/>
          <w:color w:val="auto"/>
        </w:rPr>
        <w:t>would, in conformity with GAAP, be properly classified as a liability on a consolidated balance sheet of Parent and its Subsidiaries as of such date, excluding any amounts categorized as accrued expenses, accrued dividends, deposits held, deferred revenues, minority interests and other liabilities not directly associated with the borrowing of money.</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Total Outstandings</w:t>
      </w:r>
      <w:r>
        <w:rPr>
          <w:rFonts w:ascii="Arial" w:cs="Arial" w:eastAsia="Arial" w:hAnsi="Arial"/>
          <w:sz w:val="19"/>
          <w:szCs w:val="19"/>
          <w:color w:val="auto"/>
        </w:rPr>
        <w:t>” means the aggregate Outstanding Amount of all Loans for all Facilities.</w:t>
      </w:r>
    </w:p>
    <w:p>
      <w:pPr>
        <w:spacing w:after="0" w:line="202"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Truist Term Loan Agreement</w:t>
      </w:r>
      <w:r>
        <w:rPr>
          <w:rFonts w:ascii="Arial" w:cs="Arial" w:eastAsia="Arial" w:hAnsi="Arial"/>
          <w:sz w:val="20"/>
          <w:szCs w:val="20"/>
          <w:color w:val="auto"/>
        </w:rPr>
        <w:t>” means that certain Term Loan Agreement, dated as of May 21, 2021, by and among Borrower, Parent, Truist Bank, N.A., as administrative agent, and the lenders party thereto from time to time.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“UCC” </w:t>
      </w:r>
      <w:r>
        <w:rPr>
          <w:rFonts w:ascii="Arial" w:cs="Arial" w:eastAsia="Arial" w:hAnsi="Arial"/>
          <w:sz w:val="20"/>
          <w:szCs w:val="20"/>
          <w:color w:val="auto"/>
        </w:rPr>
        <w:t>means the Uniform Commercial Code as in effect in the State of New York.</w:t>
      </w:r>
    </w:p>
    <w:p>
      <w:pPr>
        <w:spacing w:after="0" w:line="191" w:lineRule="exact"/>
        <w:rPr>
          <w:sz w:val="20"/>
          <w:szCs w:val="20"/>
          <w:color w:val="auto"/>
        </w:rPr>
      </w:pPr>
    </w:p>
    <w:p>
      <w:pPr>
        <w:jc w:val="both"/>
        <w:ind w:left="200" w:right="219" w:firstLine="59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5" w:name="page86"/>
    <w:bookmarkEnd w:id="85"/>
    <w:p>
      <w:pPr>
        <w:jc w:val="both"/>
        <w:ind w:left="200" w:right="219"/>
        <w:spacing w:after="0" w:line="253" w:lineRule="auto"/>
        <w:rPr>
          <w:sz w:val="20"/>
          <w:szCs w:val="20"/>
          <w:color w:val="auto"/>
        </w:rPr>
      </w:pPr>
      <w:r>
        <w:rPr>
          <w:rFonts w:ascii="Arial" w:cs="Arial" w:eastAsia="Arial" w:hAnsi="Arial"/>
          <w:sz w:val="20"/>
          <w:szCs w:val="20"/>
          <w:color w:val="auto"/>
        </w:rPr>
        <w:t>includes certain credit institutions and investment firms, and certain affiliates of such credit institutions or investment firms.</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i w:val="1"/>
          <w:iCs w:val="1"/>
          <w:color w:val="auto"/>
        </w:rPr>
        <w:t xml:space="preserve">“Unfunded Vested Liabilities” </w:t>
      </w:r>
      <w:r>
        <w:rPr>
          <w:rFonts w:ascii="Arial" w:cs="Arial" w:eastAsia="Arial" w:hAnsi="Arial"/>
          <w:sz w:val="19"/>
          <w:szCs w:val="19"/>
          <w:color w:val="auto"/>
        </w:rPr>
        <w:t>means, for any Plan at any time, the amount (if any) by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60"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Unsecured Indebtedness</w:t>
      </w:r>
      <w:r>
        <w:rPr>
          <w:rFonts w:ascii="Arial" w:cs="Arial" w:eastAsia="Arial" w:hAnsi="Arial"/>
          <w:sz w:val="20"/>
          <w:szCs w:val="20"/>
          <w:color w:val="auto"/>
        </w:rPr>
        <w:t>” means, all Indebtedness for Borrowed Money of the Parent and its Subsidiaries that does not constitute Secured Indebtedness.</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“U.S. Dollars” </w:t>
      </w:r>
      <w:r>
        <w:rPr>
          <w:rFonts w:ascii="Arial" w:cs="Arial" w:eastAsia="Arial" w:hAnsi="Arial"/>
          <w:sz w:val="20"/>
          <w:szCs w:val="20"/>
          <w:color w:val="auto"/>
        </w:rPr>
        <w:t>and</w:t>
      </w:r>
      <w:r>
        <w:rPr>
          <w:rFonts w:ascii="Arial" w:cs="Arial" w:eastAsia="Arial" w:hAnsi="Arial"/>
          <w:sz w:val="20"/>
          <w:szCs w:val="20"/>
          <w:i w:val="1"/>
          <w:iCs w:val="1"/>
          <w:color w:val="auto"/>
        </w:rPr>
        <w:t xml:space="preserve"> “$” </w:t>
      </w:r>
      <w:r>
        <w:rPr>
          <w:rFonts w:ascii="Arial" w:cs="Arial" w:eastAsia="Arial" w:hAnsi="Arial"/>
          <w:sz w:val="20"/>
          <w:szCs w:val="20"/>
          <w:color w:val="auto"/>
        </w:rPr>
        <w:t>each means the lawful currency of the United States of America.</w:t>
      </w:r>
    </w:p>
    <w:p>
      <w:pPr>
        <w:spacing w:after="0" w:line="191"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i w:val="1"/>
          <w:iCs w:val="1"/>
          <w:color w:val="auto"/>
        </w:rPr>
        <w:t xml:space="preserve">“Voting Stock” </w:t>
      </w:r>
      <w:r>
        <w:rPr>
          <w:rFonts w:ascii="Arial" w:cs="Arial" w:eastAsia="Arial" w:hAnsi="Arial"/>
          <w:sz w:val="20"/>
          <w:szCs w:val="20"/>
          <w:color w:val="auto"/>
        </w:rPr>
        <w:t>of any Person means capital stock or other equity interests of any class or classes</w:t>
      </w:r>
      <w:r>
        <w:rPr>
          <w:rFonts w:ascii="Arial" w:cs="Arial" w:eastAsia="Arial" w:hAnsi="Arial"/>
          <w:sz w:val="20"/>
          <w:szCs w:val="20"/>
          <w:i w:val="1"/>
          <w:iCs w:val="1"/>
          <w:color w:val="auto"/>
        </w:rPr>
        <w:t xml:space="preserve"> </w:t>
      </w:r>
      <w:r>
        <w:rPr>
          <w:rFonts w:ascii="Arial" w:cs="Arial" w:eastAsia="Arial" w:hAnsi="Arial"/>
          <w:sz w:val="20"/>
          <w:szCs w:val="20"/>
          <w:color w:val="auto"/>
        </w:rPr>
        <w:t>(however designated) having ordinary power for the election of directors or other similar governing body of such Person, other than stock or other equity interests having such power only by reason of the happening of a contingency.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 xml:space="preserve">“Welfare Plan” </w:t>
      </w:r>
      <w:r>
        <w:rPr>
          <w:rFonts w:ascii="Arial" w:cs="Arial" w:eastAsia="Arial" w:hAnsi="Arial"/>
          <w:sz w:val="20"/>
          <w:szCs w:val="20"/>
          <w:color w:val="auto"/>
        </w:rPr>
        <w:t>means a “welfare plan” as defined in Section 3(1) of ERISA.</w:t>
      </w:r>
    </w:p>
    <w:p>
      <w:pPr>
        <w:spacing w:after="0" w:line="191" w:lineRule="exact"/>
        <w:rPr>
          <w:sz w:val="20"/>
          <w:szCs w:val="20"/>
          <w:color w:val="auto"/>
        </w:rPr>
      </w:pPr>
    </w:p>
    <w:p>
      <w:pPr>
        <w:jc w:val="both"/>
        <w:ind w:left="200" w:right="219" w:firstLine="594"/>
        <w:spacing w:after="0" w:line="283" w:lineRule="auto"/>
        <w:rPr>
          <w:sz w:val="20"/>
          <w:szCs w:val="20"/>
          <w:color w:val="auto"/>
        </w:rPr>
      </w:pPr>
      <w:r>
        <w:rPr>
          <w:rFonts w:ascii="Arial" w:cs="Arial" w:eastAsia="Arial" w:hAnsi="Arial"/>
          <w:sz w:val="18"/>
          <w:szCs w:val="18"/>
          <w:i w:val="1"/>
          <w:iCs w:val="1"/>
          <w:color w:val="auto"/>
        </w:rPr>
        <w:t xml:space="preserve">“Wholly-owned Subsidiary” </w:t>
      </w:r>
      <w:r>
        <w:rPr>
          <w:rFonts w:ascii="Arial" w:cs="Arial" w:eastAsia="Arial" w:hAnsi="Arial"/>
          <w:sz w:val="18"/>
          <w:szCs w:val="18"/>
          <w:color w:val="auto"/>
        </w:rPr>
        <w:t>means a Subsidiary of which all of the issued and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(other than directors’ qualifying shares as required by law) or other equity interests are owned by the Borrower and/or one or more Wholly-owned Subsidiaries within the meaning of this definition.</w:t>
      </w:r>
    </w:p>
    <w:p>
      <w:pPr>
        <w:spacing w:after="0" w:line="134" w:lineRule="exact"/>
        <w:rPr>
          <w:sz w:val="20"/>
          <w:szCs w:val="20"/>
          <w:color w:val="auto"/>
        </w:rPr>
      </w:pPr>
    </w:p>
    <w:p>
      <w:pPr>
        <w:jc w:val="both"/>
        <w:ind w:left="200" w:right="219" w:firstLine="594"/>
        <w:spacing w:after="0" w:line="263" w:lineRule="auto"/>
        <w:rPr>
          <w:sz w:val="20"/>
          <w:szCs w:val="20"/>
          <w:color w:val="auto"/>
        </w:rPr>
      </w:pPr>
      <w:r>
        <w:rPr>
          <w:rFonts w:ascii="Arial" w:cs="Arial" w:eastAsia="Arial" w:hAnsi="Arial"/>
          <w:sz w:val="18"/>
          <w:szCs w:val="18"/>
          <w:i w:val="1"/>
          <w:iCs w:val="1"/>
          <w:color w:val="auto"/>
        </w:rPr>
        <w:t xml:space="preserve">“Write-Down and Conversion Powers” </w:t>
      </w:r>
      <w:r>
        <w:rPr>
          <w:rFonts w:ascii="Arial" w:cs="Arial" w:eastAsia="Arial" w:hAnsi="Arial"/>
          <w:sz w:val="18"/>
          <w:szCs w:val="18"/>
          <w:color w:val="auto"/>
        </w:rPr>
        <w:t>means, (a) with respect to any EEA Resolution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0" w:lineRule="exact"/>
        <w:rPr>
          <w:sz w:val="20"/>
          <w:szCs w:val="20"/>
          <w:color w:val="auto"/>
        </w:rPr>
      </w:pPr>
    </w:p>
    <w:p>
      <w:pPr>
        <w:ind w:left="200" w:right="299" w:firstLine="594"/>
        <w:spacing w:after="0" w:line="248"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Interpretation</w:t>
      </w:r>
      <w:r>
        <w:rPr>
          <w:rFonts w:ascii="Arial" w:cs="Arial" w:eastAsia="Arial" w:hAnsi="Arial"/>
          <w:sz w:val="20"/>
          <w:szCs w:val="20"/>
          <w:i w:val="1"/>
          <w:iCs w:val="1"/>
          <w:u w:val="single" w:color="auto"/>
          <w:color w:val="auto"/>
        </w:rPr>
        <w:t>.</w:t>
      </w:r>
      <w:r>
        <w:rPr>
          <w:rFonts w:ascii="Arial" w:cs="Arial" w:eastAsia="Arial" w:hAnsi="Arial"/>
          <w:sz w:val="20"/>
          <w:szCs w:val="20"/>
          <w:color w:val="auto"/>
        </w:rPr>
        <w:t xml:space="preserve"> The foregoing definitions are equally applicable to both the singular and plural forms of the terms defined. The words </w:t>
      </w:r>
      <w:r>
        <w:rPr>
          <w:rFonts w:ascii="Arial" w:cs="Arial" w:eastAsia="Arial" w:hAnsi="Arial"/>
          <w:sz w:val="20"/>
          <w:szCs w:val="20"/>
          <w:i w:val="1"/>
          <w:iCs w:val="1"/>
          <w:color w:val="auto"/>
        </w:rPr>
        <w:t>“hereof”</w:t>
      </w:r>
      <w:r>
        <w:rPr>
          <w:rFonts w:ascii="Arial" w:cs="Arial" w:eastAsia="Arial" w:hAnsi="Arial"/>
          <w:sz w:val="20"/>
          <w:szCs w:val="20"/>
          <w:color w:val="auto"/>
        </w:rPr>
        <w:t xml:space="preserve">, </w:t>
      </w:r>
      <w:r>
        <w:rPr>
          <w:rFonts w:ascii="Arial" w:cs="Arial" w:eastAsia="Arial" w:hAnsi="Arial"/>
          <w:sz w:val="20"/>
          <w:szCs w:val="20"/>
          <w:i w:val="1"/>
          <w:iCs w:val="1"/>
          <w:color w:val="auto"/>
        </w:rPr>
        <w:t>“herein”</w:t>
      </w:r>
      <w:r>
        <w:rPr>
          <w:rFonts w:ascii="Arial" w:cs="Arial" w:eastAsia="Arial" w:hAnsi="Arial"/>
          <w:sz w:val="20"/>
          <w:szCs w:val="20"/>
          <w:color w:val="auto"/>
        </w:rPr>
        <w:t xml:space="preserve">, and </w:t>
      </w:r>
      <w:r>
        <w:rPr>
          <w:rFonts w:ascii="Arial" w:cs="Arial" w:eastAsia="Arial" w:hAnsi="Arial"/>
          <w:sz w:val="20"/>
          <w:szCs w:val="20"/>
          <w:i w:val="1"/>
          <w:iCs w:val="1"/>
          <w:color w:val="auto"/>
        </w:rPr>
        <w:t>“hereunder”</w:t>
      </w:r>
      <w:r>
        <w:rPr>
          <w:rFonts w:ascii="Arial" w:cs="Arial" w:eastAsia="Arial" w:hAnsi="Arial"/>
          <w:sz w:val="20"/>
          <w:szCs w:val="20"/>
          <w:color w:val="auto"/>
        </w:rPr>
        <w:t xml:space="preserve"> 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6" w:name="page87"/>
    <w:bookmarkEnd w:id="86"/>
    <w:p>
      <w:pPr>
        <w:jc w:val="both"/>
        <w:ind w:left="200" w:right="219"/>
        <w:spacing w:after="0" w:line="252" w:lineRule="auto"/>
        <w:rPr>
          <w:sz w:val="20"/>
          <w:szCs w:val="20"/>
          <w:color w:val="auto"/>
        </w:rPr>
      </w:pPr>
      <w:r>
        <w:rPr>
          <w:rFonts w:ascii="Arial" w:cs="Arial" w:eastAsia="Arial" w:hAnsi="Arial"/>
          <w:sz w:val="20"/>
          <w:szCs w:val="20"/>
          <w:color w:val="auto"/>
        </w:rPr>
        <w:t>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spacing w:after="0" w:line="173" w:lineRule="exact"/>
        <w:rPr>
          <w:sz w:val="20"/>
          <w:szCs w:val="20"/>
          <w:color w:val="auto"/>
        </w:rPr>
      </w:pPr>
    </w:p>
    <w:p>
      <w:pPr>
        <w:ind w:left="200" w:right="259" w:firstLine="594"/>
        <w:spacing w:after="0" w:line="27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Change in Accounting Principles</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Parent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spacing w:after="0" w:line="152" w:lineRule="exact"/>
        <w:rPr>
          <w:sz w:val="20"/>
          <w:szCs w:val="20"/>
          <w:color w:val="auto"/>
        </w:rPr>
      </w:pPr>
    </w:p>
    <w:p>
      <w:pPr>
        <w:jc w:val="both"/>
        <w:ind w:left="200" w:right="219" w:firstLine="594"/>
        <w:spacing w:after="0" w:line="263"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USD LIBOR; Replacement Rate</w:t>
      </w:r>
      <w:r>
        <w:rPr>
          <w:rFonts w:ascii="Arial" w:cs="Arial" w:eastAsia="Arial" w:hAnsi="Arial"/>
          <w:sz w:val="19"/>
          <w:szCs w:val="19"/>
          <w:color w:val="auto"/>
        </w:rPr>
        <w:t xml:space="preserve">. The Administrative Agent does not warrant or accept any responsibility for, and shall not have any liability with respect to, the administration, submission or any other matter related to USD LIBOR or with respect to any alternative or successor benchmark thereto, or replacement rate therefor or thereof, including, without limitation, whether the composition or characteristics of any such alternative, successor or replacement reference rate, as it may or may not be adjusted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will be similar to, or produce the same value or economic equivalence of, USD LIBOR or any other benchmark or have the same volume or liquidity as did USD LIBOR or any other benchmark rate prior to its discontinuance or unavailability.</w:t>
      </w:r>
    </w:p>
    <w:p>
      <w:pPr>
        <w:spacing w:after="0" w:line="164" w:lineRule="exact"/>
        <w:rPr>
          <w:sz w:val="20"/>
          <w:szCs w:val="20"/>
          <w:color w:val="auto"/>
        </w:rPr>
      </w:pPr>
    </w:p>
    <w:p>
      <w:pPr>
        <w:jc w:val="both"/>
        <w:ind w:left="200" w:right="219" w:firstLine="594"/>
        <w:spacing w:after="0" w:line="28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2"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color w:val="auto"/>
        </w:rPr>
        <w:t>REPRESENTATIONS AND WARRANTIES.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87" w:name="page88"/>
    <w:bookmarkEnd w:id="87"/>
    <w:p>
      <w:pPr>
        <w:ind w:left="800"/>
        <w:spacing w:after="0"/>
        <w:rPr>
          <w:sz w:val="20"/>
          <w:szCs w:val="20"/>
          <w:color w:val="auto"/>
        </w:rPr>
      </w:pPr>
      <w:r>
        <w:rPr>
          <w:rFonts w:ascii="Arial" w:cs="Arial" w:eastAsia="Arial" w:hAnsi="Arial"/>
          <w:sz w:val="19"/>
          <w:szCs w:val="19"/>
          <w:color w:val="auto"/>
        </w:rPr>
        <w:t>The Borrower represents and warrants to the Administrative Agent, and the Lenders as follows:</w:t>
      </w:r>
    </w:p>
    <w:p>
      <w:pPr>
        <w:spacing w:after="0" w:line="215" w:lineRule="exact"/>
        <w:rPr>
          <w:sz w:val="20"/>
          <w:szCs w:val="20"/>
          <w:color w:val="auto"/>
        </w:rPr>
      </w:pPr>
    </w:p>
    <w:p>
      <w:pPr>
        <w:ind w:left="200" w:right="299" w:firstLine="594"/>
        <w:spacing w:after="0" w:line="26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Organization and Qualification; Limited Operations</w:t>
      </w:r>
      <w:r>
        <w:rPr>
          <w:rFonts w:ascii="Arial" w:cs="Arial" w:eastAsia="Arial" w:hAnsi="Arial"/>
          <w:sz w:val="19"/>
          <w:szCs w:val="19"/>
          <w:i w:val="1"/>
          <w:iCs w:val="1"/>
          <w:u w:val="single" w:color="auto"/>
          <w:color w:val="auto"/>
        </w:rPr>
        <w:t>.</w:t>
      </w:r>
      <w:r>
        <w:rPr>
          <w:rFonts w:ascii="Arial" w:cs="Arial" w:eastAsia="Arial" w:hAnsi="Arial"/>
          <w:sz w:val="19"/>
          <w:szCs w:val="19"/>
          <w:color w:val="auto"/>
        </w:rPr>
        <w:t xml:space="preserve"> The Borrower is duly organized, validly existing, and in good standing as a limited partnership under the laws of the State of Delaware. The Parent is duly organized, validly existing, and in good standing as a corporation under the laws of the State of Maryland. Each of Parent and the Borrower has full and adequate power to own their respective Properties and conduct their respective businesses as now conducted, and are duly licensed or qualified and in good standing in each jurisdiction in which the nature of their respective businesses conducted by them or the nature of the Properties owned or leased by them requires such licensing or qualifying and where the failure to be so qualified could reasonably be expected to have, in each instance, a Material Adverse Effect.</w:t>
      </w:r>
    </w:p>
    <w:p>
      <w:pPr>
        <w:spacing w:after="0" w:line="168" w:lineRule="exact"/>
        <w:rPr>
          <w:sz w:val="20"/>
          <w:szCs w:val="20"/>
          <w:color w:val="auto"/>
        </w:rPr>
      </w:pPr>
    </w:p>
    <w:p>
      <w:pPr>
        <w:ind w:left="200" w:right="219" w:firstLine="594"/>
        <w:spacing w:after="0" w:line="27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Subsidiaries</w:t>
      </w:r>
      <w:r>
        <w:rPr>
          <w:rFonts w:ascii="Arial" w:cs="Arial" w:eastAsia="Arial" w:hAnsi="Arial"/>
          <w:sz w:val="18"/>
          <w:szCs w:val="18"/>
          <w:color w:val="auto"/>
        </w:rPr>
        <w:t>. Each Subsidiary is duly organized, validly existing, and in good standing under the laws of the jurisdiction in which it is organized,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162" w:lineRule="exact"/>
        <w:rPr>
          <w:sz w:val="20"/>
          <w:szCs w:val="20"/>
          <w:color w:val="auto"/>
        </w:rPr>
      </w:pPr>
    </w:p>
    <w:p>
      <w:pPr>
        <w:ind w:left="200" w:right="219" w:firstLine="594"/>
        <w:spacing w:after="0" w:line="276"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Authority and Validity of Obligations</w:t>
      </w:r>
      <w:r>
        <w:rPr>
          <w:rFonts w:ascii="Arial" w:cs="Arial" w:eastAsia="Arial" w:hAnsi="Arial"/>
          <w:sz w:val="18"/>
          <w:szCs w:val="18"/>
          <w:color w:val="auto"/>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88" w:name="page89"/>
    <w:bookmarkEnd w:id="88"/>
    <w:p>
      <w:pPr>
        <w:jc w:val="both"/>
        <w:ind w:left="200" w:right="219"/>
        <w:spacing w:after="0" w:line="276" w:lineRule="auto"/>
        <w:rPr>
          <w:sz w:val="20"/>
          <w:szCs w:val="20"/>
          <w:color w:val="auto"/>
        </w:rPr>
      </w:pPr>
      <w:r>
        <w:rPr>
          <w:rFonts w:ascii="Arial" w:cs="Arial" w:eastAsia="Arial" w:hAnsi="Arial"/>
          <w:sz w:val="18"/>
          <w:szCs w:val="18"/>
          <w:color w:val="auto"/>
        </w:rPr>
        <w:t>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Arial" w:cs="Arial" w:eastAsia="Arial" w:hAnsi="Arial"/>
          <w:sz w:val="18"/>
          <w:szCs w:val="18"/>
          <w:i w:val="1"/>
          <w:iCs w:val="1"/>
          <w:color w:val="auto"/>
        </w:rPr>
        <w:t>e.g.,</w:t>
      </w:r>
      <w:r>
        <w:rPr>
          <w:rFonts w:ascii="Arial" w:cs="Arial" w:eastAsia="Arial" w:hAnsi="Arial"/>
          <w:sz w:val="18"/>
          <w:szCs w:val="18"/>
          <w:color w:val="auto"/>
        </w:rPr>
        <w:t xml:space="preserve"> charter, certificate or articles of incorporation and by-laws, certificate or articles of association and operating agreement, partnership agreement, or other similar organizational documents) of the Borrower or any Material Subsidiary,</w:t>
      </w:r>
    </w:p>
    <w:p>
      <w:pPr>
        <w:spacing w:after="0" w:line="1" w:lineRule="exact"/>
        <w:rPr>
          <w:sz w:val="20"/>
          <w:szCs w:val="20"/>
          <w:color w:val="auto"/>
        </w:rPr>
      </w:pPr>
    </w:p>
    <w:p>
      <w:pPr>
        <w:jc w:val="both"/>
        <w:ind w:left="200" w:right="219" w:firstLine="2"/>
        <w:spacing w:after="0" w:line="272" w:lineRule="auto"/>
        <w:tabs>
          <w:tab w:leader="none" w:pos="5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contravene or constitute a default under any covenant, indenture or agreement of or affecting the Borrower or any Material Subsidiary or any of their Property, in each case where such contravention or default, individually or in the aggregate, could reasonably be expected to have a Material Adverse Effect, or</w:t>
      </w:r>
    </w:p>
    <w:p>
      <w:pPr>
        <w:spacing w:after="0" w:line="1" w:lineRule="exact"/>
        <w:rPr>
          <w:rFonts w:ascii="Arial" w:cs="Arial" w:eastAsia="Arial" w:hAnsi="Arial"/>
          <w:sz w:val="18"/>
          <w:szCs w:val="18"/>
          <w:color w:val="auto"/>
        </w:rPr>
      </w:pPr>
    </w:p>
    <w:p>
      <w:pPr>
        <w:ind w:left="200" w:right="219" w:firstLine="2"/>
        <w:spacing w:after="0" w:line="305" w:lineRule="auto"/>
        <w:tabs>
          <w:tab w:leader="none" w:pos="5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 in the creation or imposition of any Lien on any Property of the Borrower or any Material Subsidiary (other than in favor of the Administrative Agent for its benefit and the benefit of the Lenders).</w:t>
      </w:r>
    </w:p>
    <w:p>
      <w:pPr>
        <w:spacing w:after="0" w:line="127" w:lineRule="exact"/>
        <w:rPr>
          <w:sz w:val="20"/>
          <w:szCs w:val="20"/>
          <w:color w:val="auto"/>
        </w:rPr>
      </w:pPr>
    </w:p>
    <w:p>
      <w:pPr>
        <w:ind w:left="200" w:right="239" w:firstLine="594"/>
        <w:spacing w:after="0" w:line="295"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Use of Proceeds; Margin Stock</w:t>
      </w:r>
      <w:r>
        <w:rPr>
          <w:rFonts w:ascii="Arial" w:cs="Arial" w:eastAsia="Arial" w:hAnsi="Arial"/>
          <w:sz w:val="17"/>
          <w:szCs w:val="17"/>
          <w:color w:val="auto"/>
        </w:rPr>
        <w:t>. The Borrower shall use the proceeds of the 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spacing w:after="0" w:line="142" w:lineRule="exact"/>
        <w:rPr>
          <w:sz w:val="20"/>
          <w:szCs w:val="20"/>
          <w:color w:val="auto"/>
        </w:rPr>
      </w:pPr>
    </w:p>
    <w:p>
      <w:pPr>
        <w:ind w:left="200" w:right="219" w:firstLine="594"/>
        <w:spacing w:after="0" w:line="261"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Financial Reports</w:t>
      </w:r>
      <w:r>
        <w:rPr>
          <w:rFonts w:ascii="Arial" w:cs="Arial" w:eastAsia="Arial" w:hAnsi="Arial"/>
          <w:sz w:val="19"/>
          <w:szCs w:val="19"/>
          <w:color w:val="auto"/>
        </w:rPr>
        <w:t>. The consolidated results of operations of Parent for the year ended December 31, 2020 and the three months ended June 30, 2021, and accompanying notes thereto, which consolidated financial statements are accompanied by the unqualified audit report of independent public accountants, heretofore furnished to the Administrative Agent and the Lenders, fairly present the consolidated financial condition of Parent as at said date and the consolidated results of its operations and cash flows for the period then ended in conformity with GAAP applied on a consistent basis. Neither Parent nor Borrower has any contingent liabilities which are material to it and are required to be set forth in its consolidated financial statements or notes thereto in accordance with GAAP other than as indicated on such consolidated financial statements and notes thereto and projected financial statements, including with respect to future periods, on the consolidated financial statements and projected financial statements furnished pursuant to Section 8.5 hereof.</w:t>
      </w:r>
    </w:p>
    <w:p>
      <w:pPr>
        <w:spacing w:after="0" w:line="171" w:lineRule="exact"/>
        <w:rPr>
          <w:sz w:val="20"/>
          <w:szCs w:val="20"/>
          <w:color w:val="auto"/>
        </w:rPr>
      </w:pPr>
    </w:p>
    <w:p>
      <w:pPr>
        <w:ind w:left="200" w:right="259" w:firstLine="594"/>
        <w:spacing w:after="0" w:line="256" w:lineRule="auto"/>
        <w:rPr>
          <w:sz w:val="20"/>
          <w:szCs w:val="20"/>
          <w:color w:val="auto"/>
        </w:rPr>
      </w:pPr>
      <w:r>
        <w:rPr>
          <w:rFonts w:ascii="Arial" w:cs="Arial" w:eastAsia="Arial" w:hAnsi="Arial"/>
          <w:sz w:val="20"/>
          <w:szCs w:val="20"/>
          <w:color w:val="auto"/>
        </w:rPr>
        <w:t xml:space="preserve">Section 6.6. </w:t>
      </w:r>
      <w:r>
        <w:rPr>
          <w:rFonts w:ascii="Arial" w:cs="Arial" w:eastAsia="Arial" w:hAnsi="Arial"/>
          <w:sz w:val="20"/>
          <w:szCs w:val="20"/>
          <w:u w:val="single" w:color="auto"/>
          <w:color w:val="auto"/>
        </w:rPr>
        <w:t>No Material Adverse Effect</w:t>
      </w:r>
      <w:r>
        <w:rPr>
          <w:rFonts w:ascii="Arial" w:cs="Arial" w:eastAsia="Arial" w:hAnsi="Arial"/>
          <w:sz w:val="20"/>
          <w:szCs w:val="20"/>
          <w:i w:val="1"/>
          <w:iCs w:val="1"/>
          <w:color w:val="auto"/>
        </w:rPr>
        <w:t>.</w:t>
      </w:r>
      <w:r>
        <w:rPr>
          <w:rFonts w:ascii="Arial" w:cs="Arial" w:eastAsia="Arial" w:hAnsi="Arial"/>
          <w:sz w:val="20"/>
          <w:szCs w:val="20"/>
          <w:color w:val="auto"/>
        </w:rPr>
        <w:t xml:space="preserve"> Except as set forth on Schedule 6.6, there has been no event or circumstance individually or in the aggregate that has had or would reasonably be expected to have a Material Adverse Effect.</w:t>
      </w:r>
    </w:p>
    <w:p>
      <w:pPr>
        <w:spacing w:after="0" w:line="168" w:lineRule="exact"/>
        <w:rPr>
          <w:sz w:val="20"/>
          <w:szCs w:val="20"/>
          <w:color w:val="auto"/>
        </w:rPr>
      </w:pPr>
    </w:p>
    <w:p>
      <w:pPr>
        <w:ind w:left="200" w:right="299" w:firstLine="594"/>
        <w:spacing w:after="0" w:line="256" w:lineRule="auto"/>
        <w:rPr>
          <w:sz w:val="20"/>
          <w:szCs w:val="20"/>
          <w:color w:val="auto"/>
        </w:rPr>
      </w:pPr>
      <w:r>
        <w:rPr>
          <w:rFonts w:ascii="Arial" w:cs="Arial" w:eastAsia="Arial" w:hAnsi="Arial"/>
          <w:sz w:val="20"/>
          <w:szCs w:val="20"/>
          <w:color w:val="auto"/>
        </w:rPr>
        <w:t xml:space="preserve">Section 6.7. </w:t>
      </w:r>
      <w:r>
        <w:rPr>
          <w:rFonts w:ascii="Arial" w:cs="Arial" w:eastAsia="Arial" w:hAnsi="Arial"/>
          <w:sz w:val="20"/>
          <w:szCs w:val="20"/>
          <w:u w:val="single" w:color="auto"/>
          <w:color w:val="auto"/>
        </w:rPr>
        <w:t>Full Disclosure</w:t>
      </w:r>
      <w:r>
        <w:rPr>
          <w:rFonts w:ascii="Arial" w:cs="Arial" w:eastAsia="Arial" w:hAnsi="Arial"/>
          <w:sz w:val="20"/>
          <w:szCs w:val="20"/>
          <w:color w:val="auto"/>
        </w:rPr>
        <w:t>. The statements and information furnished to the Administrative Agent and the Lenders in connection with the negotiation of this Agreement and the other Loan Documents and the commitments by the Lenders to provide all or part of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89" w:name="page90"/>
    <w:bookmarkEnd w:id="89"/>
    <w:p>
      <w:pPr>
        <w:jc w:val="both"/>
        <w:ind w:left="200" w:right="219"/>
        <w:spacing w:after="0" w:line="275" w:lineRule="auto"/>
        <w:rPr>
          <w:sz w:val="20"/>
          <w:szCs w:val="20"/>
          <w:color w:val="auto"/>
        </w:rPr>
      </w:pPr>
      <w:r>
        <w:rPr>
          <w:rFonts w:ascii="Arial" w:cs="Arial" w:eastAsia="Arial" w:hAnsi="Arial"/>
          <w:sz w:val="18"/>
          <w:szCs w:val="18"/>
          <w:color w:val="auto"/>
        </w:rPr>
        <w:t>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w:t>
      </w:r>
    </w:p>
    <w:p>
      <w:pPr>
        <w:spacing w:after="0" w:line="3" w:lineRule="exact"/>
        <w:rPr>
          <w:sz w:val="20"/>
          <w:szCs w:val="20"/>
          <w:color w:val="auto"/>
        </w:rPr>
      </w:pPr>
    </w:p>
    <w:p>
      <w:pPr>
        <w:jc w:val="both"/>
        <w:ind w:left="200" w:right="219" w:firstLine="2"/>
        <w:spacing w:after="0" w:line="248" w:lineRule="auto"/>
        <w:tabs>
          <w:tab w:leader="none" w:pos="49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financial information provided to the Administrative Agent and the Lenders is governed by Section 6.5 hereof. The information included in the Beneficial Ownership Certification, as updated in accordance with Section 6.5(k), is true and correct in all respects.</w:t>
      </w:r>
    </w:p>
    <w:p>
      <w:pPr>
        <w:spacing w:after="0" w:line="175" w:lineRule="exact"/>
        <w:rPr>
          <w:sz w:val="20"/>
          <w:szCs w:val="20"/>
          <w:color w:val="auto"/>
        </w:rPr>
      </w:pPr>
    </w:p>
    <w:p>
      <w:pPr>
        <w:ind w:left="200" w:right="239" w:firstLine="594"/>
        <w:spacing w:after="0" w:line="282"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Trademarks, Franchises, and Licenses</w:t>
      </w:r>
      <w:r>
        <w:rPr>
          <w:rFonts w:ascii="Arial" w:cs="Arial" w:eastAsia="Arial" w:hAnsi="Arial"/>
          <w:sz w:val="18"/>
          <w:szCs w:val="18"/>
          <w:color w:val="auto"/>
        </w:rPr>
        <w:t>.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spacing w:after="0" w:line="150" w:lineRule="exact"/>
        <w:rPr>
          <w:sz w:val="20"/>
          <w:szCs w:val="20"/>
          <w:color w:val="auto"/>
        </w:rPr>
      </w:pPr>
    </w:p>
    <w:p>
      <w:pPr>
        <w:ind w:left="200" w:right="299" w:firstLine="594"/>
        <w:spacing w:after="0" w:line="248" w:lineRule="auto"/>
        <w:rPr>
          <w:sz w:val="20"/>
          <w:szCs w:val="20"/>
          <w:color w:val="auto"/>
        </w:rPr>
      </w:pPr>
      <w:r>
        <w:rPr>
          <w:rFonts w:ascii="Arial" w:cs="Arial" w:eastAsia="Arial" w:hAnsi="Arial"/>
          <w:sz w:val="20"/>
          <w:szCs w:val="20"/>
          <w:color w:val="auto"/>
        </w:rPr>
        <w:t xml:space="preserve">Section 6.9. </w:t>
      </w:r>
      <w:r>
        <w:rPr>
          <w:rFonts w:ascii="Arial" w:cs="Arial" w:eastAsia="Arial" w:hAnsi="Arial"/>
          <w:sz w:val="20"/>
          <w:szCs w:val="20"/>
          <w:u w:val="single" w:color="auto"/>
          <w:color w:val="auto"/>
        </w:rPr>
        <w:t>Governmental Authority and Licensing</w:t>
      </w:r>
      <w:r>
        <w:rPr>
          <w:rFonts w:ascii="Arial" w:cs="Arial" w:eastAsia="Arial" w:hAnsi="Arial"/>
          <w:sz w:val="20"/>
          <w:szCs w:val="20"/>
          <w:color w:val="auto"/>
        </w:rPr>
        <w:t>.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spacing w:after="0" w:line="181" w:lineRule="exact"/>
        <w:rPr>
          <w:sz w:val="20"/>
          <w:szCs w:val="20"/>
          <w:color w:val="auto"/>
        </w:rPr>
      </w:pPr>
    </w:p>
    <w:p>
      <w:pPr>
        <w:ind w:left="200" w:right="399" w:firstLine="594"/>
        <w:spacing w:after="0" w:line="250" w:lineRule="auto"/>
        <w:rPr>
          <w:sz w:val="20"/>
          <w:szCs w:val="20"/>
          <w:color w:val="auto"/>
        </w:rPr>
      </w:pPr>
      <w:r>
        <w:rPr>
          <w:rFonts w:ascii="Arial" w:cs="Arial" w:eastAsia="Arial" w:hAnsi="Arial"/>
          <w:sz w:val="20"/>
          <w:szCs w:val="20"/>
          <w:color w:val="auto"/>
        </w:rPr>
        <w:t xml:space="preserve">Section 6.10. </w:t>
      </w:r>
      <w:r>
        <w:rPr>
          <w:rFonts w:ascii="Arial" w:cs="Arial" w:eastAsia="Arial" w:hAnsi="Arial"/>
          <w:sz w:val="20"/>
          <w:szCs w:val="20"/>
          <w:u w:val="single" w:color="auto"/>
          <w:color w:val="auto"/>
        </w:rPr>
        <w:t>Good Title</w:t>
      </w:r>
      <w:r>
        <w:rPr>
          <w:rFonts w:ascii="Arial" w:cs="Arial" w:eastAsia="Arial" w:hAnsi="Arial"/>
          <w:sz w:val="20"/>
          <w:szCs w:val="20"/>
          <w:color w:val="auto"/>
        </w:rPr>
        <w:t>. The Borrower and its Subsidiaries have good and defensible title (or valid leasehold interests) to their material assets as reflected on the most recent consolidated balance sheet of Parent and its Subsidiaries furnished to the Administrative Agent and the Lenders (except for sales of assets in the ordinary course of business), subject to no Liens other than such thereof as are permitted by Section 8.7 hereof.</w:t>
      </w:r>
    </w:p>
    <w:p>
      <w:pPr>
        <w:spacing w:after="0" w:line="176" w:lineRule="exact"/>
        <w:rPr>
          <w:sz w:val="20"/>
          <w:szCs w:val="20"/>
          <w:color w:val="auto"/>
        </w:rPr>
      </w:pPr>
    </w:p>
    <w:p>
      <w:pPr>
        <w:ind w:left="200" w:right="239" w:firstLine="594"/>
        <w:spacing w:after="0" w:line="28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Litigation and Other Controversies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set forth on Schedule 6.11, there is no litigation or governmental or arbitration proceeding or labor controversy pending, nor to the knowledge of the Borrower threatened, against the Borrower or any Subsidiary or any of their Property which individually or in the aggregate, could reasonably be expected to have a Material Adverse Effect.</w:t>
      </w:r>
    </w:p>
    <w:p>
      <w:pPr>
        <w:spacing w:after="0" w:line="142" w:lineRule="exact"/>
        <w:rPr>
          <w:sz w:val="20"/>
          <w:szCs w:val="20"/>
          <w:color w:val="auto"/>
        </w:rPr>
      </w:pPr>
    </w:p>
    <w:p>
      <w:pPr>
        <w:ind w:left="200" w:right="239" w:firstLine="594"/>
        <w:spacing w:after="0" w:line="263"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Taxes</w:t>
      </w:r>
      <w:r>
        <w:rPr>
          <w:rFonts w:ascii="Arial" w:cs="Arial" w:eastAsia="Arial" w:hAnsi="Arial"/>
          <w:sz w:val="19"/>
          <w:szCs w:val="19"/>
          <w:color w:val="auto"/>
        </w:rPr>
        <w:t>. All material tax returns required to be filed by Parent or any Subsidiary in any jurisdiction have, in fact, been filed, and all taxes, assessments, fees, and other governmental charges upon Parent or any Subsidiary or upon any of its Property,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Parent has not received written notice of any proposed additional tax assessment against Parent or its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90" w:name="page91"/>
    <w:bookmarkEnd w:id="90"/>
    <w:p>
      <w:pPr>
        <w:jc w:val="both"/>
        <w:ind w:left="200" w:right="219"/>
        <w:spacing w:after="0" w:line="256" w:lineRule="auto"/>
        <w:rPr>
          <w:sz w:val="20"/>
          <w:szCs w:val="20"/>
          <w:color w:val="auto"/>
        </w:rPr>
      </w:pPr>
      <w:r>
        <w:rPr>
          <w:rFonts w:ascii="Arial" w:cs="Arial" w:eastAsia="Arial" w:hAnsi="Arial"/>
          <w:sz w:val="20"/>
          <w:szCs w:val="20"/>
          <w:color w:val="auto"/>
        </w:rPr>
        <w:t>Subsidiaries for which adequate provisions in accordance with GAAP have not been made on their accounts. Adequate provisions in accordance with GAAP for taxes on the books of Parent and each Subsidiary have been made for all open years, and for its current fiscal period.</w:t>
      </w:r>
    </w:p>
    <w:p>
      <w:pPr>
        <w:spacing w:after="0" w:line="168" w:lineRule="exact"/>
        <w:rPr>
          <w:sz w:val="20"/>
          <w:szCs w:val="20"/>
          <w:color w:val="auto"/>
        </w:rPr>
      </w:pPr>
    </w:p>
    <w:p>
      <w:pPr>
        <w:ind w:left="200" w:right="739" w:firstLine="594"/>
        <w:spacing w:after="0" w:line="28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Approvals</w:t>
      </w:r>
      <w:r>
        <w:rPr>
          <w:rFonts w:ascii="Arial" w:cs="Arial" w:eastAsia="Arial" w:hAnsi="Arial"/>
          <w:sz w:val="18"/>
          <w:szCs w:val="18"/>
          <w:color w:val="auto"/>
        </w:rPr>
        <w:t>. Except those already received,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spacing w:after="0" w:line="142" w:lineRule="exact"/>
        <w:rPr>
          <w:sz w:val="20"/>
          <w:szCs w:val="20"/>
          <w:color w:val="auto"/>
        </w:rPr>
      </w:pPr>
    </w:p>
    <w:p>
      <w:pPr>
        <w:ind w:left="200" w:right="319" w:firstLine="594"/>
        <w:spacing w:after="0" w:line="28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Affiliate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spacing w:after="0" w:line="142" w:lineRule="exact"/>
        <w:rPr>
          <w:sz w:val="20"/>
          <w:szCs w:val="20"/>
          <w:color w:val="auto"/>
        </w:rPr>
      </w:pPr>
    </w:p>
    <w:p>
      <w:pPr>
        <w:jc w:val="both"/>
        <w:ind w:left="200" w:right="479" w:firstLine="594"/>
        <w:spacing w:after="0" w:line="256"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u w:val="single" w:color="auto"/>
          <w:color w:val="auto"/>
        </w:rPr>
        <w:t>Investment Company</w:t>
      </w:r>
      <w:r>
        <w:rPr>
          <w:rFonts w:ascii="Arial" w:cs="Arial" w:eastAsia="Arial" w:hAnsi="Arial"/>
          <w:sz w:val="20"/>
          <w:szCs w:val="20"/>
          <w:i w:val="1"/>
          <w:iCs w:val="1"/>
          <w:color w:val="auto"/>
        </w:rPr>
        <w:t>.</w:t>
      </w:r>
      <w:r>
        <w:rPr>
          <w:rFonts w:ascii="Arial" w:cs="Arial" w:eastAsia="Arial" w:hAnsi="Arial"/>
          <w:sz w:val="20"/>
          <w:szCs w:val="20"/>
          <w:color w:val="auto"/>
        </w:rPr>
        <w:t xml:space="preserve"> None of the Borrower or any Subsidiary is an “investment company” or a company “controlled” by an “investment company” within the meaning of the Investment Company Act of 1940, as amended.</w:t>
      </w:r>
    </w:p>
    <w:p>
      <w:pPr>
        <w:spacing w:after="0" w:line="168" w:lineRule="exact"/>
        <w:rPr>
          <w:sz w:val="20"/>
          <w:szCs w:val="20"/>
          <w:color w:val="auto"/>
        </w:rPr>
      </w:pPr>
    </w:p>
    <w:p>
      <w:pPr>
        <w:ind w:left="200" w:right="219" w:firstLine="594"/>
        <w:spacing w:after="0" w:line="248" w:lineRule="auto"/>
        <w:rPr>
          <w:sz w:val="20"/>
          <w:szCs w:val="20"/>
          <w:color w:val="auto"/>
        </w:rPr>
      </w:pPr>
      <w:r>
        <w:rPr>
          <w:rFonts w:ascii="Arial" w:cs="Arial" w:eastAsia="Arial" w:hAnsi="Arial"/>
          <w:sz w:val="20"/>
          <w:szCs w:val="20"/>
          <w:color w:val="auto"/>
        </w:rPr>
        <w:t xml:space="preserve">Section 6.16. </w:t>
      </w:r>
      <w:r>
        <w:rPr>
          <w:rFonts w:ascii="Arial" w:cs="Arial" w:eastAsia="Arial" w:hAnsi="Arial"/>
          <w:sz w:val="20"/>
          <w:szCs w:val="20"/>
          <w:u w:val="single" w:color="auto"/>
          <w:color w:val="auto"/>
        </w:rPr>
        <w:t>ERISA</w:t>
      </w:r>
      <w:r>
        <w:rPr>
          <w:rFonts w:ascii="Arial" w:cs="Arial" w:eastAsia="Arial" w:hAnsi="Arial"/>
          <w:sz w:val="20"/>
          <w:szCs w:val="20"/>
          <w:color w:val="auto"/>
        </w:rPr>
        <w:t>.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6.17.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68" w:lineRule="auto"/>
        <w:tabs>
          <w:tab w:leader="none" w:pos="19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Borrower and its Subsidiaries are in compliance with the requirements of all federal, state and local laws, rules and regulations applicable to or pertaining to their Property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spacing w:after="0" w:line="147" w:lineRule="exact"/>
        <w:rPr>
          <w:rFonts w:ascii="Arial" w:cs="Arial" w:eastAsia="Arial" w:hAnsi="Arial"/>
          <w:sz w:val="18"/>
          <w:szCs w:val="18"/>
          <w:color w:val="auto"/>
        </w:rPr>
      </w:pPr>
    </w:p>
    <w:p>
      <w:pPr>
        <w:jc w:val="both"/>
        <w:ind w:left="200" w:right="219" w:firstLine="1190"/>
        <w:spacing w:after="0" w:line="264" w:lineRule="auto"/>
        <w:tabs>
          <w:tab w:leader="none" w:pos="19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w:t>
      </w:r>
    </w:p>
    <w:p>
      <w:pPr>
        <w:spacing w:after="0" w:line="1" w:lineRule="exact"/>
        <w:rPr>
          <w:rFonts w:ascii="Arial" w:cs="Arial" w:eastAsia="Arial" w:hAnsi="Arial"/>
          <w:sz w:val="18"/>
          <w:szCs w:val="18"/>
          <w:color w:val="auto"/>
        </w:rPr>
      </w:pPr>
    </w:p>
    <w:p>
      <w:pPr>
        <w:jc w:val="both"/>
        <w:ind w:left="200" w:right="219" w:firstLine="70"/>
        <w:spacing w:after="0" w:line="266" w:lineRule="auto"/>
        <w:tabs>
          <w:tab w:leader="none" w:pos="5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91" w:name="page92"/>
    <w:bookmarkEnd w:id="91"/>
    <w:p>
      <w:pPr>
        <w:jc w:val="both"/>
        <w:ind w:left="200" w:right="219"/>
        <w:spacing w:after="0" w:line="260" w:lineRule="auto"/>
        <w:rPr>
          <w:sz w:val="20"/>
          <w:szCs w:val="20"/>
          <w:color w:val="auto"/>
        </w:rPr>
      </w:pPr>
      <w:r>
        <w:rPr>
          <w:rFonts w:ascii="Arial" w:cs="Arial" w:eastAsia="Arial" w:hAnsi="Arial"/>
          <w:sz w:val="18"/>
          <w:szCs w:val="18"/>
          <w:color w:val="auto"/>
        </w:rPr>
        <w:t>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w:t>
      </w:r>
    </w:p>
    <w:p>
      <w:pPr>
        <w:spacing w:after="0" w:line="6" w:lineRule="exact"/>
        <w:rPr>
          <w:sz w:val="20"/>
          <w:szCs w:val="20"/>
          <w:color w:val="auto"/>
        </w:rPr>
      </w:pPr>
    </w:p>
    <w:p>
      <w:pPr>
        <w:jc w:val="both"/>
        <w:ind w:left="200" w:right="219" w:firstLine="2"/>
        <w:spacing w:after="0" w:line="258" w:lineRule="auto"/>
        <w:tabs>
          <w:tab w:leader="none" w:pos="4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w:t>
      </w:r>
    </w:p>
    <w:p>
      <w:pPr>
        <w:spacing w:after="0" w:line="3" w:lineRule="exact"/>
        <w:rPr>
          <w:rFonts w:ascii="Arial" w:cs="Arial" w:eastAsia="Arial" w:hAnsi="Arial"/>
          <w:sz w:val="18"/>
          <w:szCs w:val="18"/>
          <w:color w:val="auto"/>
        </w:rPr>
      </w:pPr>
    </w:p>
    <w:p>
      <w:pPr>
        <w:jc w:val="both"/>
        <w:ind w:left="200" w:right="219" w:firstLine="2"/>
        <w:spacing w:after="0" w:line="261" w:lineRule="auto"/>
        <w:tabs>
          <w:tab w:leader="none" w:pos="5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be entitled to make only one (1) such request per property during the initial term of this Agreement unless an Event of Default has occurred and is continuing.</w:t>
      </w:r>
    </w:p>
    <w:p>
      <w:pPr>
        <w:spacing w:after="0" w:line="156" w:lineRule="exact"/>
        <w:rPr>
          <w:rFonts w:ascii="Arial" w:cs="Arial" w:eastAsia="Arial" w:hAnsi="Arial"/>
          <w:sz w:val="18"/>
          <w:szCs w:val="18"/>
          <w:color w:val="auto"/>
        </w:rPr>
      </w:pPr>
    </w:p>
    <w:p>
      <w:pPr>
        <w:jc w:val="both"/>
        <w:ind w:left="200" w:right="219" w:firstLine="1190"/>
        <w:spacing w:after="0" w:line="277" w:lineRule="auto"/>
        <w:tabs>
          <w:tab w:leader="none" w:pos="1982"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w:t>
      </w:r>
    </w:p>
    <w:p>
      <w:pPr>
        <w:spacing w:after="0" w:line="1" w:lineRule="exact"/>
        <w:rPr>
          <w:rFonts w:ascii="Arial" w:cs="Arial" w:eastAsia="Arial" w:hAnsi="Arial"/>
          <w:sz w:val="17"/>
          <w:szCs w:val="17"/>
          <w:color w:val="auto"/>
        </w:rPr>
      </w:pPr>
    </w:p>
    <w:p>
      <w:pPr>
        <w:jc w:val="both"/>
        <w:ind w:left="200" w:right="219"/>
        <w:spacing w:after="0" w:line="249" w:lineRule="auto"/>
        <w:rPr>
          <w:rFonts w:ascii="Arial" w:cs="Arial" w:eastAsia="Arial" w:hAnsi="Arial"/>
          <w:sz w:val="17"/>
          <w:szCs w:val="17"/>
          <w:color w:val="auto"/>
        </w:rPr>
      </w:pPr>
      <w:r>
        <w:rPr>
          <w:rFonts w:ascii="Arial" w:cs="Arial" w:eastAsia="Arial" w:hAnsi="Arial"/>
          <w:sz w:val="19"/>
          <w:szCs w:val="19"/>
          <w:color w:val="auto"/>
        </w:rPr>
        <w:t>(a)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6.18.  </w:t>
      </w:r>
      <w:r>
        <w:rPr>
          <w:rFonts w:ascii="Arial" w:cs="Arial" w:eastAsia="Arial" w:hAnsi="Arial"/>
          <w:sz w:val="20"/>
          <w:szCs w:val="20"/>
          <w:u w:val="single" w:color="auto"/>
          <w:color w:val="auto"/>
        </w:rPr>
        <w:t>OFAC</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2" w:name="page93"/>
    <w:bookmarkEnd w:id="92"/>
    <w:p>
      <w:pPr>
        <w:jc w:val="both"/>
        <w:ind w:left="200" w:right="219" w:firstLine="1190"/>
        <w:spacing w:after="0" w:line="264" w:lineRule="auto"/>
        <w:tabs>
          <w:tab w:leader="none" w:pos="19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w:t>
      </w:r>
    </w:p>
    <w:p>
      <w:pPr>
        <w:spacing w:after="0" w:line="1" w:lineRule="exact"/>
        <w:rPr>
          <w:rFonts w:ascii="Arial" w:cs="Arial" w:eastAsia="Arial" w:hAnsi="Arial"/>
          <w:sz w:val="18"/>
          <w:szCs w:val="18"/>
          <w:color w:val="auto"/>
        </w:rPr>
      </w:pPr>
    </w:p>
    <w:p>
      <w:pPr>
        <w:jc w:val="both"/>
        <w:ind w:left="200" w:right="219" w:firstLine="2"/>
        <w:spacing w:after="0" w:line="247" w:lineRule="auto"/>
        <w:tabs>
          <w:tab w:leader="none" w:pos="48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spacing w:after="0" w:line="180" w:lineRule="exact"/>
        <w:rPr>
          <w:sz w:val="20"/>
          <w:szCs w:val="20"/>
          <w:color w:val="auto"/>
        </w:rPr>
      </w:pPr>
    </w:p>
    <w:p>
      <w:pPr>
        <w:ind w:left="200" w:right="359" w:firstLine="594"/>
        <w:spacing w:after="0" w:line="285"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Other Agreements</w:t>
      </w:r>
      <w:r>
        <w:rPr>
          <w:rFonts w:ascii="Arial" w:cs="Arial" w:eastAsia="Arial" w:hAnsi="Arial"/>
          <w:sz w:val="18"/>
          <w:szCs w:val="18"/>
          <w:color w:val="auto"/>
        </w:rPr>
        <w:t>. Neither the Borrower nor any Subsidiary is in default under the terms of any covenant, indenture or agreement of or affecting such Person or any of its Property,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spacing w:after="0" w:line="145" w:lineRule="exact"/>
        <w:rPr>
          <w:sz w:val="20"/>
          <w:szCs w:val="20"/>
          <w:color w:val="auto"/>
        </w:rPr>
      </w:pPr>
    </w:p>
    <w:p>
      <w:pPr>
        <w:ind w:left="200" w:right="359" w:firstLine="594"/>
        <w:spacing w:after="0" w:line="256" w:lineRule="auto"/>
        <w:rPr>
          <w:sz w:val="20"/>
          <w:szCs w:val="20"/>
          <w:color w:val="auto"/>
        </w:rPr>
      </w:pPr>
      <w:r>
        <w:rPr>
          <w:rFonts w:ascii="Arial" w:cs="Arial" w:eastAsia="Arial" w:hAnsi="Arial"/>
          <w:sz w:val="20"/>
          <w:szCs w:val="20"/>
          <w:color w:val="auto"/>
        </w:rPr>
        <w:t xml:space="preserve">Section 6.20.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are solvent, able to pay their debts as they become due, and have sufficient capital to carry on their business and all businesses in which they are about to engage.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6.21.  </w:t>
      </w:r>
      <w:r>
        <w:rPr>
          <w:rFonts w:ascii="Arial" w:cs="Arial" w:eastAsia="Arial" w:hAnsi="Arial"/>
          <w:sz w:val="20"/>
          <w:szCs w:val="20"/>
          <w:u w:val="single" w:color="auto"/>
          <w:color w:val="auto"/>
        </w:rPr>
        <w:t>No Default</w:t>
      </w:r>
      <w:r>
        <w:rPr>
          <w:rFonts w:ascii="Arial" w:cs="Arial" w:eastAsia="Arial" w:hAnsi="Arial"/>
          <w:sz w:val="20"/>
          <w:szCs w:val="20"/>
          <w:i w:val="1"/>
          <w:iCs w:val="1"/>
          <w:color w:val="auto"/>
        </w:rPr>
        <w:t>.</w:t>
      </w:r>
      <w:r>
        <w:rPr>
          <w:rFonts w:ascii="Arial" w:cs="Arial" w:eastAsia="Arial" w:hAnsi="Arial"/>
          <w:sz w:val="20"/>
          <w:szCs w:val="20"/>
          <w:color w:val="auto"/>
        </w:rPr>
        <w:t xml:space="preserve"> No Default or Event of Default has occurred and is continuing.</w:t>
      </w:r>
    </w:p>
    <w:p>
      <w:pPr>
        <w:spacing w:after="0" w:line="203" w:lineRule="exact"/>
        <w:rPr>
          <w:sz w:val="20"/>
          <w:szCs w:val="20"/>
          <w:color w:val="auto"/>
        </w:rPr>
      </w:pPr>
    </w:p>
    <w:p>
      <w:pPr>
        <w:ind w:left="200" w:right="279" w:firstLine="594"/>
        <w:spacing w:after="0" w:line="281" w:lineRule="auto"/>
        <w:rPr>
          <w:sz w:val="20"/>
          <w:szCs w:val="20"/>
          <w:color w:val="auto"/>
        </w:rPr>
      </w:pPr>
      <w:r>
        <w:rPr>
          <w:rFonts w:ascii="Arial" w:cs="Arial" w:eastAsia="Arial" w:hAnsi="Arial"/>
          <w:sz w:val="18"/>
          <w:szCs w:val="18"/>
          <w:color w:val="auto"/>
        </w:rPr>
        <w:t xml:space="preserve">Section 6.22. </w:t>
      </w:r>
      <w:r>
        <w:rPr>
          <w:rFonts w:ascii="Arial" w:cs="Arial" w:eastAsia="Arial" w:hAnsi="Arial"/>
          <w:sz w:val="18"/>
          <w:szCs w:val="18"/>
          <w:u w:val="single" w:color="auto"/>
          <w:color w:val="auto"/>
        </w:rPr>
        <w:t>No Broker Fees</w:t>
      </w:r>
      <w:r>
        <w:rPr>
          <w:rFonts w:ascii="Arial" w:cs="Arial" w:eastAsia="Arial" w:hAnsi="Arial"/>
          <w:sz w:val="18"/>
          <w:szCs w:val="18"/>
          <w:i w:val="1"/>
          <w:iCs w:val="1"/>
          <w:color w:val="auto"/>
        </w:rPr>
        <w:t>.</w:t>
      </w:r>
      <w:r>
        <w:rPr>
          <w:rFonts w:ascii="Arial" w:cs="Arial" w:eastAsia="Arial" w:hAnsi="Arial"/>
          <w:sz w:val="18"/>
          <w:szCs w:val="18"/>
          <w:color w:val="auto"/>
        </w:rPr>
        <w:t xml:space="preserve"> 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6.23.  </w:t>
      </w:r>
      <w:r>
        <w:rPr>
          <w:rFonts w:ascii="Arial" w:cs="Arial" w:eastAsia="Arial" w:hAnsi="Arial"/>
          <w:sz w:val="20"/>
          <w:szCs w:val="20"/>
          <w:u w:val="single" w:color="auto"/>
          <w:color w:val="auto"/>
        </w:rPr>
        <w:t>Condition of Property; Casualties; Condemnation</w:t>
      </w:r>
      <w:r>
        <w:rPr>
          <w:rFonts w:ascii="Arial" w:cs="Arial" w:eastAsia="Arial" w:hAnsi="Arial"/>
          <w:sz w:val="20"/>
          <w:szCs w:val="20"/>
          <w:color w:val="auto"/>
        </w:rPr>
        <w:t>. Except as set forth in</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Schedule 6.23, each Property owned by the Borrower and each Subsidiary, in all material respects (a) is in</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good repair, working order and condition, normal wear and tear excepted, (b) is free of material structural</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defects, (c) is not subject to material deferred maintenance, (d) has and will have all building systems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contained therein in good repair, working order and condition, normal wear and tear excepted and (e) is not</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located in a flood plain or flood hazard area, or if located in a flood plain or flood hazard area is covered by</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full replacement cost flood insurance. None of the Properties owned by the Borrower or any Subsidiary is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currently materially and adversely affected as a result of any fire, explosion, earthquake, flood, drought,</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windstorm, accident, strike or other labor disturbance, embargo, requisition or taking of property or</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cancellation of contracts, permits or concessions by a Governmental Authority, riot, activities of armed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forces or acts of God or of any public enemy which is not in the process of being repaired.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3" w:name="page94"/>
    <w:bookmarkEnd w:id="93"/>
    <w:p>
      <w:pPr>
        <w:jc w:val="both"/>
        <w:ind w:left="200" w:right="219"/>
        <w:spacing w:after="0" w:line="274" w:lineRule="auto"/>
        <w:rPr>
          <w:sz w:val="20"/>
          <w:szCs w:val="20"/>
          <w:color w:val="auto"/>
        </w:rPr>
      </w:pPr>
      <w:r>
        <w:rPr>
          <w:rFonts w:ascii="Arial" w:cs="Arial" w:eastAsia="Arial" w:hAnsi="Arial"/>
          <w:sz w:val="18"/>
          <w:szCs w:val="18"/>
          <w:color w:val="auto"/>
        </w:rPr>
        <w:t>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w:t>
      </w:r>
    </w:p>
    <w:p>
      <w:pPr>
        <w:spacing w:after="0" w:line="6" w:lineRule="exact"/>
        <w:rPr>
          <w:sz w:val="20"/>
          <w:szCs w:val="20"/>
          <w:color w:val="auto"/>
        </w:rPr>
      </w:pPr>
    </w:p>
    <w:p>
      <w:pPr>
        <w:jc w:val="both"/>
        <w:ind w:left="200" w:right="219" w:firstLine="2"/>
        <w:spacing w:after="0" w:line="264" w:lineRule="auto"/>
        <w:tabs>
          <w:tab w:leader="none" w:pos="509"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Property that is not an Eligible Property that has a material maintenance or structural issue associated with such Property that could reasonably be expected to have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be entitled to make only one (1) such request during the initial term of this Agreement unless an Event of Default has occurred and is continuing.</w:t>
      </w:r>
    </w:p>
    <w:p>
      <w:pPr>
        <w:spacing w:after="0" w:line="162" w:lineRule="exact"/>
        <w:rPr>
          <w:sz w:val="20"/>
          <w:szCs w:val="20"/>
          <w:color w:val="auto"/>
        </w:rPr>
      </w:pPr>
    </w:p>
    <w:p>
      <w:pPr>
        <w:ind w:left="200" w:right="259" w:firstLine="594"/>
        <w:spacing w:after="0" w:line="265" w:lineRule="auto"/>
        <w:rPr>
          <w:sz w:val="20"/>
          <w:szCs w:val="20"/>
          <w:color w:val="auto"/>
        </w:rPr>
      </w:pPr>
      <w:r>
        <w:rPr>
          <w:rFonts w:ascii="Arial" w:cs="Arial" w:eastAsia="Arial" w:hAnsi="Arial"/>
          <w:sz w:val="19"/>
          <w:szCs w:val="19"/>
          <w:color w:val="auto"/>
        </w:rPr>
        <w:t xml:space="preserve">Section 6.24. </w:t>
      </w:r>
      <w:r>
        <w:rPr>
          <w:rFonts w:ascii="Arial" w:cs="Arial" w:eastAsia="Arial" w:hAnsi="Arial"/>
          <w:sz w:val="19"/>
          <w:szCs w:val="19"/>
          <w:u w:val="single" w:color="auto"/>
          <w:color w:val="auto"/>
        </w:rPr>
        <w:t>Legal Requirements and Zoning</w:t>
      </w:r>
      <w:r>
        <w:rPr>
          <w:rFonts w:ascii="Arial" w:cs="Arial" w:eastAsia="Arial" w:hAnsi="Arial"/>
          <w:sz w:val="19"/>
          <w:szCs w:val="19"/>
          <w:color w:val="auto"/>
        </w:rPr>
        <w:t>. To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w:t>
      </w:r>
    </w:p>
    <w:p>
      <w:pPr>
        <w:spacing w:after="0" w:line="161" w:lineRule="exact"/>
        <w:rPr>
          <w:sz w:val="20"/>
          <w:szCs w:val="20"/>
          <w:color w:val="auto"/>
        </w:rPr>
      </w:pPr>
    </w:p>
    <w:p>
      <w:pPr>
        <w:ind w:left="200" w:right="439" w:firstLine="594"/>
        <w:spacing w:after="0" w:line="250" w:lineRule="auto"/>
        <w:rPr>
          <w:sz w:val="20"/>
          <w:szCs w:val="20"/>
          <w:color w:val="auto"/>
        </w:rPr>
      </w:pPr>
      <w:r>
        <w:rPr>
          <w:rFonts w:ascii="Arial" w:cs="Arial" w:eastAsia="Arial" w:hAnsi="Arial"/>
          <w:sz w:val="20"/>
          <w:szCs w:val="20"/>
          <w:color w:val="auto"/>
        </w:rPr>
        <w:t xml:space="preserve">Section 6.25. </w:t>
      </w:r>
      <w:r>
        <w:rPr>
          <w:rFonts w:ascii="Arial" w:cs="Arial" w:eastAsia="Arial" w:hAnsi="Arial"/>
          <w:sz w:val="20"/>
          <w:szCs w:val="20"/>
          <w:u w:val="single" w:color="auto"/>
          <w:color w:val="auto"/>
        </w:rPr>
        <w:t>No Defaults; Landlord is in Compliance with Leases</w:t>
      </w:r>
      <w:r>
        <w:rPr>
          <w:rFonts w:ascii="Arial" w:cs="Arial" w:eastAsia="Arial" w:hAnsi="Arial"/>
          <w:sz w:val="20"/>
          <w:szCs w:val="20"/>
          <w:color w:val="auto"/>
        </w:rPr>
        <w:t>.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spacing w:after="0" w:line="176" w:lineRule="exact"/>
        <w:rPr>
          <w:sz w:val="20"/>
          <w:szCs w:val="20"/>
          <w:color w:val="auto"/>
        </w:rPr>
      </w:pPr>
    </w:p>
    <w:p>
      <w:pPr>
        <w:ind w:left="200" w:right="439" w:firstLine="594"/>
        <w:spacing w:after="0" w:line="266" w:lineRule="auto"/>
        <w:rPr>
          <w:sz w:val="20"/>
          <w:szCs w:val="20"/>
          <w:color w:val="auto"/>
        </w:rPr>
      </w:pPr>
      <w:r>
        <w:rPr>
          <w:rFonts w:ascii="Arial" w:cs="Arial" w:eastAsia="Arial" w:hAnsi="Arial"/>
          <w:sz w:val="20"/>
          <w:szCs w:val="20"/>
          <w:color w:val="auto"/>
        </w:rPr>
        <w:t xml:space="preserve">Section 6.26. </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Neither Borrower nor any Subsidiary is an Affected Financial Institution.</w:t>
      </w:r>
    </w:p>
    <w:p>
      <w:pPr>
        <w:spacing w:after="0" w:line="159" w:lineRule="exact"/>
        <w:rPr>
          <w:sz w:val="20"/>
          <w:szCs w:val="20"/>
          <w:color w:val="auto"/>
        </w:rPr>
      </w:pPr>
    </w:p>
    <w:p>
      <w:pPr>
        <w:ind w:left="200" w:right="259" w:firstLine="594"/>
        <w:spacing w:after="0" w:line="323" w:lineRule="auto"/>
        <w:rPr>
          <w:sz w:val="20"/>
          <w:szCs w:val="20"/>
          <w:color w:val="auto"/>
        </w:rPr>
      </w:pPr>
      <w:r>
        <w:rPr>
          <w:rFonts w:ascii="Arial" w:cs="Arial" w:eastAsia="Arial" w:hAnsi="Arial"/>
          <w:sz w:val="18"/>
          <w:szCs w:val="18"/>
          <w:color w:val="auto"/>
        </w:rPr>
        <w:t xml:space="preserve">Section 6.27. </w:t>
      </w:r>
      <w:r>
        <w:rPr>
          <w:rFonts w:ascii="Arial" w:cs="Arial" w:eastAsia="Arial" w:hAnsi="Arial"/>
          <w:sz w:val="18"/>
          <w:szCs w:val="18"/>
          <w:u w:val="single" w:color="auto"/>
          <w:color w:val="auto"/>
        </w:rPr>
        <w:t>REIT Status</w:t>
      </w:r>
      <w:r>
        <w:rPr>
          <w:rFonts w:ascii="Arial" w:cs="Arial" w:eastAsia="Arial" w:hAnsi="Arial"/>
          <w:sz w:val="18"/>
          <w:szCs w:val="18"/>
          <w:color w:val="auto"/>
        </w:rPr>
        <w:t>. Parent has elected to be taxed as a REIT and will continue to operate in a manner so as to qualify as a REIT, and (b) will not revoke its election to be taxed as a REIT.</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6.28.  </w:t>
      </w:r>
      <w:r>
        <w:rPr>
          <w:rFonts w:ascii="Arial" w:cs="Arial" w:eastAsia="Arial" w:hAnsi="Arial"/>
          <w:sz w:val="20"/>
          <w:szCs w:val="20"/>
          <w:u w:val="single" w:color="auto"/>
          <w:color w:val="auto"/>
        </w:rPr>
        <w:t>Covered Entities</w:t>
      </w:r>
      <w:r>
        <w:rPr>
          <w:rFonts w:ascii="Arial" w:cs="Arial" w:eastAsia="Arial" w:hAnsi="Arial"/>
          <w:sz w:val="20"/>
          <w:szCs w:val="20"/>
          <w:color w:val="auto"/>
        </w:rPr>
        <w:t>. Borrower is not a Covered Entity.</w:t>
      </w:r>
    </w:p>
    <w:p>
      <w:pPr>
        <w:spacing w:after="0" w:line="191"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8"/>
          <w:szCs w:val="18"/>
          <w:color w:val="auto"/>
        </w:rPr>
        <w:t>CONDITIONS PRECEDENT.</w:t>
      </w:r>
    </w:p>
    <w:p>
      <w:pPr>
        <w:spacing w:after="0" w:line="20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All Borrowings</w:t>
      </w:r>
      <w:r>
        <w:rPr>
          <w:rFonts w:ascii="Arial" w:cs="Arial" w:eastAsia="Arial" w:hAnsi="Arial"/>
          <w:sz w:val="18"/>
          <w:szCs w:val="18"/>
          <w:color w:val="auto"/>
        </w:rPr>
        <w:t>. At the time of each Borrowing hereunder:</w:t>
      </w:r>
    </w:p>
    <w:p>
      <w:pPr>
        <w:spacing w:after="0" w:line="191" w:lineRule="exact"/>
        <w:rPr>
          <w:sz w:val="20"/>
          <w:szCs w:val="20"/>
          <w:color w:val="auto"/>
        </w:rPr>
      </w:pPr>
    </w:p>
    <w:p>
      <w:pPr>
        <w:jc w:val="both"/>
        <w:ind w:left="200" w:right="219" w:firstLine="1190"/>
        <w:spacing w:after="0" w:line="250" w:lineRule="auto"/>
        <w:tabs>
          <w:tab w:leader="none" w:pos="1982"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94" w:name="page95"/>
    <w:bookmarkEnd w:id="94"/>
    <w:p>
      <w:pPr>
        <w:jc w:val="both"/>
        <w:ind w:left="200" w:right="219" w:firstLine="1190"/>
        <w:spacing w:after="0" w:line="262" w:lineRule="auto"/>
        <w:tabs>
          <w:tab w:leader="none" w:pos="1982"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 Default or Event of Default shall have occurred and be continuing or would occur as a result of such Borrowing and, after giving effect to such Borrowing, subject to Section 7.2(i), the Adjusted Borrowing Base as then determined and computed shall be no less than $0;</w:t>
      </w:r>
    </w:p>
    <w:p>
      <w:pPr>
        <w:spacing w:after="0" w:line="150" w:lineRule="exact"/>
        <w:rPr>
          <w:rFonts w:ascii="Arial" w:cs="Arial" w:eastAsia="Arial" w:hAnsi="Arial"/>
          <w:sz w:val="19"/>
          <w:szCs w:val="19"/>
          <w:color w:val="auto"/>
        </w:rPr>
      </w:pPr>
    </w:p>
    <w:p>
      <w:pPr>
        <w:ind w:left="200" w:right="219" w:firstLine="1190"/>
        <w:spacing w:after="0" w:line="253" w:lineRule="auto"/>
        <w:tabs>
          <w:tab w:leader="none" w:pos="1982"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 the case of a Borrowing the Administrative Agent shall have received the notice required by Section 1.6 hereof; and</w:t>
      </w:r>
    </w:p>
    <w:p>
      <w:pPr>
        <w:spacing w:after="0" w:line="158"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68"/>
        </w:numPr>
        <w:rPr>
          <w:rFonts w:ascii="Arial" w:cs="Arial" w:eastAsia="Arial" w:hAnsi="Arial"/>
          <w:sz w:val="20"/>
          <w:szCs w:val="20"/>
          <w:color w:val="auto"/>
        </w:rPr>
      </w:pPr>
      <w:r>
        <w:rPr>
          <w:rFonts w:ascii="Arial" w:cs="Arial" w:eastAsia="Arial" w:hAnsi="Arial"/>
          <w:sz w:val="20"/>
          <w:szCs w:val="20"/>
          <w:color w:val="auto"/>
        </w:rPr>
        <w:t>such Borrowing shall not violate any order, judgment or decree of any court or other authority or any provision of law or regulation applicable to the Administrative Agent or any Lender (including, without limitation, Regulation U of the Board of Governors of the Federal Reserve System) as then in effect.</w:t>
      </w:r>
    </w:p>
    <w:p>
      <w:pPr>
        <w:spacing w:after="0" w:line="173" w:lineRule="exact"/>
        <w:rPr>
          <w:sz w:val="20"/>
          <w:szCs w:val="20"/>
          <w:color w:val="auto"/>
        </w:rPr>
      </w:pPr>
    </w:p>
    <w:p>
      <w:pPr>
        <w:jc w:val="both"/>
        <w:ind w:left="200" w:right="219" w:firstLine="594"/>
        <w:spacing w:after="0" w:line="251" w:lineRule="auto"/>
        <w:rPr>
          <w:sz w:val="20"/>
          <w:szCs w:val="20"/>
          <w:color w:val="auto"/>
        </w:rPr>
      </w:pPr>
      <w:r>
        <w:rPr>
          <w:rFonts w:ascii="Arial" w:cs="Arial" w:eastAsia="Arial" w:hAnsi="Arial"/>
          <w:sz w:val="19"/>
          <w:szCs w:val="19"/>
          <w:color w:val="auto"/>
        </w:rPr>
        <w:t xml:space="preserve">Each request for a Borrowing hereunder shall be deemed to be a representation and warranty by the Borrower on the date of such Borrowing as to the facts specified in subsections (a) through (c), inclusive, of this Section 7.1;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Lenders may advance a 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spacing w:after="0" w:line="176" w:lineRule="exact"/>
        <w:rPr>
          <w:sz w:val="20"/>
          <w:szCs w:val="20"/>
          <w:color w:val="auto"/>
        </w:rPr>
      </w:pPr>
    </w:p>
    <w:p>
      <w:pPr>
        <w:ind w:left="200" w:right="559" w:firstLine="594"/>
        <w:spacing w:after="0" w:line="266"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Closing Date Term Loan</w:t>
      </w:r>
      <w:r>
        <w:rPr>
          <w:rFonts w:ascii="Arial" w:cs="Arial" w:eastAsia="Arial" w:hAnsi="Arial"/>
          <w:sz w:val="20"/>
          <w:szCs w:val="20"/>
          <w:i w:val="1"/>
          <w:iCs w:val="1"/>
          <w:color w:val="auto"/>
        </w:rPr>
        <w:t>.</w:t>
      </w:r>
      <w:r>
        <w:rPr>
          <w:rFonts w:ascii="Arial" w:cs="Arial" w:eastAsia="Arial" w:hAnsi="Arial"/>
          <w:sz w:val="20"/>
          <w:szCs w:val="20"/>
          <w:color w:val="auto"/>
        </w:rPr>
        <w:t xml:space="preserve"> Before or concurrently with the advance of the Closing Date Term Loans:</w:t>
      </w:r>
    </w:p>
    <w:p>
      <w:pPr>
        <w:spacing w:after="0" w:line="146" w:lineRule="exact"/>
        <w:rPr>
          <w:sz w:val="20"/>
          <w:szCs w:val="20"/>
          <w:color w:val="auto"/>
        </w:rPr>
      </w:pPr>
    </w:p>
    <w:p>
      <w:pPr>
        <w:ind w:left="200" w:right="219" w:firstLine="1190"/>
        <w:spacing w:after="0" w:line="253" w:lineRule="auto"/>
        <w:tabs>
          <w:tab w:leader="none" w:pos="198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Parent and the Material Subsidiaries, as Guarantors, and the Lenders.</w:t>
      </w:r>
    </w:p>
    <w:p>
      <w:pPr>
        <w:spacing w:after="0" w:line="158"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69"/>
        </w:numPr>
        <w:rPr>
          <w:rFonts w:ascii="Arial" w:cs="Arial" w:eastAsia="Arial" w:hAnsi="Arial"/>
          <w:sz w:val="20"/>
          <w:szCs w:val="20"/>
          <w:color w:val="auto"/>
        </w:rPr>
      </w:pPr>
      <w:r>
        <w:rPr>
          <w:rFonts w:ascii="Arial" w:cs="Arial" w:eastAsia="Arial" w:hAnsi="Arial"/>
          <w:sz w:val="20"/>
          <w:szCs w:val="20"/>
          <w:color w:val="auto"/>
        </w:rPr>
        <w:t>if requested by any Lender, the Administrative Agent shall have received for such Lender such Lender’s duly executed Note of the Borrower dated the date hereof and otherwise in compliance with the provisions of Section 1.10 hereof;</w:t>
      </w:r>
    </w:p>
    <w:p>
      <w:pPr>
        <w:spacing w:after="0" w:line="167" w:lineRule="exact"/>
        <w:rPr>
          <w:rFonts w:ascii="Arial" w:cs="Arial" w:eastAsia="Arial" w:hAnsi="Arial"/>
          <w:sz w:val="20"/>
          <w:szCs w:val="20"/>
          <w:color w:val="auto"/>
        </w:rPr>
      </w:pPr>
    </w:p>
    <w:p>
      <w:pPr>
        <w:jc w:val="both"/>
        <w:ind w:left="200" w:right="219" w:firstLine="1190"/>
        <w:spacing w:after="0" w:line="283" w:lineRule="auto"/>
        <w:tabs>
          <w:tab w:leader="none" w:pos="198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shall have received copies of the Borrower’s, the Parent’s and each Material Subsidiaries articles of incorporation and bylaws (or comparable organizational documents) and any amendments thereto, certified in each instance by its Secretary or Assistant Secretary;</w:t>
      </w:r>
    </w:p>
    <w:p>
      <w:pPr>
        <w:spacing w:after="0" w:line="134" w:lineRule="exact"/>
        <w:rPr>
          <w:rFonts w:ascii="Arial" w:cs="Arial" w:eastAsia="Arial" w:hAnsi="Arial"/>
          <w:sz w:val="18"/>
          <w:szCs w:val="18"/>
          <w:color w:val="auto"/>
        </w:rPr>
      </w:pPr>
    </w:p>
    <w:p>
      <w:pPr>
        <w:jc w:val="both"/>
        <w:ind w:left="200" w:right="219" w:firstLine="1190"/>
        <w:spacing w:after="0" w:line="236" w:lineRule="auto"/>
        <w:tabs>
          <w:tab w:leader="none" w:pos="198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have received copies of resolutions of the Borrower’s, Parent’s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Parent’s and each Material Subsidiary’s behalf, all certified in each instance by its Secretary or Assistant Secretary or other Authorized Representative;</w:t>
      </w:r>
    </w:p>
    <w:p>
      <w:pPr>
        <w:spacing w:after="0" w:line="174"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Administrative Agent shall have received copies of the certificates of good standing for the Borrower, Parent and each Material Subsidiary (dated no earlier than forty-five (45) days prior to the date hereof) from the office of the secretary of the state of its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5" w:name="page96"/>
    <w:bookmarkEnd w:id="95"/>
    <w:p>
      <w:pPr>
        <w:ind w:left="200" w:right="219"/>
        <w:spacing w:after="0" w:line="253" w:lineRule="auto"/>
        <w:rPr>
          <w:sz w:val="20"/>
          <w:szCs w:val="20"/>
          <w:color w:val="auto"/>
        </w:rPr>
      </w:pPr>
      <w:r>
        <w:rPr>
          <w:rFonts w:ascii="Arial" w:cs="Arial" w:eastAsia="Arial" w:hAnsi="Arial"/>
          <w:sz w:val="20"/>
          <w:szCs w:val="20"/>
          <w:color w:val="auto"/>
        </w:rPr>
        <w:t>incorporation or organization and of each state in which it is required to the qualified to do business as a foreign corporation or organization under Sections 6.1 or 6.2;</w:t>
      </w:r>
    </w:p>
    <w:p>
      <w:pPr>
        <w:spacing w:after="0" w:line="159" w:lineRule="exact"/>
        <w:rPr>
          <w:sz w:val="20"/>
          <w:szCs w:val="20"/>
          <w:color w:val="auto"/>
        </w:rPr>
      </w:pPr>
    </w:p>
    <w:p>
      <w:pPr>
        <w:ind w:left="1980" w:hanging="590"/>
        <w:spacing w:after="0"/>
        <w:tabs>
          <w:tab w:leader="none" w:pos="19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Administrative Agent shall have received a list of the Borrower’s Authorized</w:t>
      </w:r>
    </w:p>
    <w:p>
      <w:pPr>
        <w:spacing w:after="0" w:line="20"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0"/>
          <w:szCs w:val="20"/>
          <w:color w:val="auto"/>
        </w:rPr>
        <w:t>Representatives;</w:t>
      </w:r>
    </w:p>
    <w:p>
      <w:pPr>
        <w:spacing w:after="0" w:line="174" w:lineRule="exact"/>
        <w:rPr>
          <w:rFonts w:ascii="Arial" w:cs="Arial" w:eastAsia="Arial" w:hAnsi="Arial"/>
          <w:sz w:val="19"/>
          <w:szCs w:val="19"/>
          <w:color w:val="auto"/>
        </w:rPr>
      </w:pPr>
    </w:p>
    <w:p>
      <w:pPr>
        <w:ind w:left="1980" w:hanging="590"/>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shall have received the initial fees called for by Section 2.1</w:t>
      </w:r>
    </w:p>
    <w:p>
      <w:pPr>
        <w:spacing w:after="0" w:line="3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174" w:lineRule="exact"/>
        <w:rPr>
          <w:rFonts w:ascii="Arial" w:cs="Arial" w:eastAsia="Arial" w:hAnsi="Arial"/>
          <w:sz w:val="18"/>
          <w:szCs w:val="18"/>
          <w:color w:val="auto"/>
        </w:rPr>
      </w:pPr>
    </w:p>
    <w:p>
      <w:pPr>
        <w:ind w:left="200" w:right="219" w:firstLine="1190"/>
        <w:spacing w:after="0" w:line="253"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capital and organizational structure of the Borrower and its Subsidiaries shall be reasonably satisfactory to the Administrative Agent;</w:t>
      </w:r>
    </w:p>
    <w:p>
      <w:pPr>
        <w:spacing w:after="0" w:line="158" w:lineRule="exact"/>
        <w:rPr>
          <w:rFonts w:ascii="Arial" w:cs="Arial" w:eastAsia="Arial" w:hAnsi="Arial"/>
          <w:sz w:val="20"/>
          <w:szCs w:val="20"/>
          <w:color w:val="auto"/>
        </w:rPr>
      </w:pPr>
    </w:p>
    <w:p>
      <w:pPr>
        <w:jc w:val="both"/>
        <w:ind w:left="200" w:right="219" w:firstLine="1190"/>
        <w:spacing w:after="0" w:line="238"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Administrative Agent shall have received a Closing Date Borrowing Base Certificate which shall reflect the calculation of the Adjusted Borrowing Base after giving effect to the making of the Closing Date Term Borrowing and any repayment of or advances under the Existing Credit Agreement or the Truist Term Loan Agreement occurring on such date, resulting in an Adjusted Borrowing Base which shall be no less than $0;</w:t>
      </w:r>
    </w:p>
    <w:p>
      <w:pPr>
        <w:spacing w:after="0" w:line="171"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Administrative Agent shall have received financing statement, tax, and judgment lien search results against the Borrower and the Parent evidencing the absence of Liens on its Property except as Permitted Liens or as otherwise permitted by Section 8.8 hereof;</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Administrative Agent shall have received a written opinion of counsel to the Borrower, Parent and each Material Subsidiary, in form and substance reasonably satisfactory to the Administrative Agent;</w:t>
      </w:r>
    </w:p>
    <w:p>
      <w:pPr>
        <w:spacing w:after="0" w:line="167" w:lineRule="exact"/>
        <w:rPr>
          <w:rFonts w:ascii="Arial" w:cs="Arial" w:eastAsia="Arial" w:hAnsi="Arial"/>
          <w:sz w:val="20"/>
          <w:szCs w:val="20"/>
          <w:color w:val="auto"/>
        </w:rPr>
      </w:pPr>
    </w:p>
    <w:p>
      <w:pPr>
        <w:jc w:val="both"/>
        <w:ind w:left="200" w:right="219" w:firstLine="1190"/>
        <w:spacing w:after="0" w:line="283" w:lineRule="auto"/>
        <w:tabs>
          <w:tab w:leader="none" w:pos="19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spacing w:after="0" w:line="134" w:lineRule="exact"/>
        <w:rPr>
          <w:rFonts w:ascii="Arial" w:cs="Arial" w:eastAsia="Arial" w:hAnsi="Arial"/>
          <w:sz w:val="18"/>
          <w:szCs w:val="18"/>
          <w:color w:val="auto"/>
        </w:rPr>
      </w:pPr>
    </w:p>
    <w:p>
      <w:pPr>
        <w:jc w:val="both"/>
        <w:ind w:left="200" w:right="219" w:firstLine="1190"/>
        <w:spacing w:after="0" w:line="238"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other agreements, instruments, documents, certificates, and opinions as the Administrative Agent may reasonably request, including, evidence reasonably accepted to the Administrative Agent that the Loan Documents were executed outside of the State of Florida such that no documentary stamp tax is required to be paid by the State of Florida with respect to the Loans;</w:t>
      </w:r>
    </w:p>
    <w:p>
      <w:pPr>
        <w:spacing w:after="0" w:line="171"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Arial" w:cs="Arial" w:eastAsia="Arial" w:hAnsi="Arial"/>
          <w:sz w:val="20"/>
          <w:szCs w:val="20"/>
          <w:i w:val="1"/>
          <w:iCs w:val="1"/>
          <w:color w:val="auto"/>
        </w:rPr>
        <w:t>“know your customer”</w:t>
      </w:r>
      <w:r>
        <w:rPr>
          <w:rFonts w:ascii="Arial" w:cs="Arial" w:eastAsia="Arial" w:hAnsi="Arial"/>
          <w:sz w:val="20"/>
          <w:szCs w:val="20"/>
          <w:color w:val="auto"/>
        </w:rPr>
        <w:t xml:space="preserve"> or similar rules and regulations;</w:t>
      </w:r>
    </w:p>
    <w:p>
      <w:pPr>
        <w:spacing w:after="0" w:line="173" w:lineRule="exact"/>
        <w:rPr>
          <w:rFonts w:ascii="Arial" w:cs="Arial" w:eastAsia="Arial" w:hAnsi="Arial"/>
          <w:sz w:val="20"/>
          <w:szCs w:val="20"/>
          <w:color w:val="auto"/>
        </w:rPr>
      </w:pPr>
    </w:p>
    <w:p>
      <w:pPr>
        <w:jc w:val="both"/>
        <w:ind w:left="200" w:right="219" w:firstLine="1190"/>
        <w:spacing w:after="0" w:line="251" w:lineRule="auto"/>
        <w:tabs>
          <w:tab w:leader="none" w:pos="1982"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6" w:name="page97"/>
    <w:bookmarkEnd w:id="96"/>
    <w:p>
      <w:pPr>
        <w:ind w:left="200" w:right="219"/>
        <w:spacing w:after="0" w:line="253" w:lineRule="auto"/>
        <w:rPr>
          <w:sz w:val="20"/>
          <w:szCs w:val="20"/>
          <w:color w:val="auto"/>
        </w:rPr>
      </w:pPr>
      <w:r>
        <w:rPr>
          <w:rFonts w:ascii="Arial" w:cs="Arial" w:eastAsia="Arial" w:hAnsi="Arial"/>
          <w:sz w:val="20"/>
          <w:szCs w:val="20"/>
          <w:color w:val="auto"/>
        </w:rPr>
        <w:t>on the assets of the Borrower and each Subsidiary, which pay-off and lien release letters shall be in form and substance reasonably acceptable to the Administrative Agent;</w:t>
      </w:r>
    </w:p>
    <w:p>
      <w:pPr>
        <w:spacing w:after="0" w:line="159" w:lineRule="exact"/>
        <w:rPr>
          <w:sz w:val="20"/>
          <w:szCs w:val="20"/>
          <w:color w:val="auto"/>
        </w:rPr>
      </w:pPr>
    </w:p>
    <w:p>
      <w:pPr>
        <w:jc w:val="both"/>
        <w:ind w:left="200" w:right="219" w:firstLine="1190"/>
        <w:spacing w:after="0" w:line="262" w:lineRule="auto"/>
        <w:tabs>
          <w:tab w:leader="none" w:pos="198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secured creditors of the Borrower and each Subsidiary shall have deposited in escrow UCC termination statements and other lien release instruments necessary to release their Liens (other than Permitted Liens) on the assets of the Borrower and each Subsidiary; and</w:t>
      </w:r>
    </w:p>
    <w:p>
      <w:pPr>
        <w:spacing w:after="0" w:line="150" w:lineRule="exact"/>
        <w:rPr>
          <w:rFonts w:ascii="Arial" w:cs="Arial" w:eastAsia="Arial" w:hAnsi="Arial"/>
          <w:sz w:val="19"/>
          <w:szCs w:val="19"/>
          <w:color w:val="auto"/>
        </w:rPr>
      </w:pPr>
    </w:p>
    <w:p>
      <w:pPr>
        <w:jc w:val="both"/>
        <w:ind w:left="200" w:right="219" w:firstLine="1190"/>
        <w:spacing w:after="0" w:line="243" w:lineRule="auto"/>
        <w:tabs>
          <w:tab w:leader="none" w:pos="1982" w:val="left"/>
        </w:tabs>
        <w:numPr>
          <w:ilvl w:val="0"/>
          <w:numId w:val="71"/>
        </w:numPr>
        <w:rPr>
          <w:rFonts w:ascii="Arial" w:cs="Arial" w:eastAsia="Arial" w:hAnsi="Arial"/>
          <w:sz w:val="20"/>
          <w:szCs w:val="20"/>
          <w:color w:val="auto"/>
        </w:rPr>
      </w:pPr>
      <w:r>
        <w:rPr>
          <w:rFonts w:ascii="Arial" w:cs="Arial" w:eastAsia="Arial" w:hAnsi="Arial"/>
          <w:sz w:val="20"/>
          <w:szCs w:val="20"/>
          <w:color w:val="auto"/>
        </w:rPr>
        <w:t>at least five days prior to the Closing Date, if the Borrower qualifies as a “legal entity customer” under the Beneficial Ownership Regulation, the Borrower shall deliver a Beneficial Ownership Certification in relation to it.</w:t>
      </w:r>
    </w:p>
    <w:p>
      <w:pPr>
        <w:spacing w:after="0" w:line="180" w:lineRule="exact"/>
        <w:rPr>
          <w:sz w:val="20"/>
          <w:szCs w:val="20"/>
          <w:color w:val="auto"/>
        </w:rPr>
      </w:pPr>
    </w:p>
    <w:p>
      <w:pPr>
        <w:ind w:left="200" w:right="319" w:firstLine="594"/>
        <w:spacing w:after="0" w:line="252" w:lineRule="auto"/>
        <w:rPr>
          <w:sz w:val="20"/>
          <w:szCs w:val="20"/>
          <w:color w:val="auto"/>
        </w:rPr>
      </w:pPr>
      <w:r>
        <w:rPr>
          <w:rFonts w:ascii="Arial" w:cs="Arial" w:eastAsia="Arial" w:hAnsi="Arial"/>
          <w:sz w:val="20"/>
          <w:szCs w:val="20"/>
          <w:color w:val="auto"/>
        </w:rPr>
        <w:t xml:space="preserve">Section 7.3. </w:t>
      </w:r>
      <w:r>
        <w:rPr>
          <w:rFonts w:ascii="Arial" w:cs="Arial" w:eastAsia="Arial" w:hAnsi="Arial"/>
          <w:sz w:val="20"/>
          <w:szCs w:val="20"/>
          <w:u w:val="single" w:color="auto"/>
          <w:color w:val="auto"/>
        </w:rPr>
        <w:t>Eligible Property Additions and Deletions to the Borrowing Base</w:t>
      </w:r>
      <w:r>
        <w:rPr>
          <w:rFonts w:ascii="Arial" w:cs="Arial" w:eastAsia="Arial" w:hAnsi="Arial"/>
          <w:sz w:val="20"/>
          <w:szCs w:val="20"/>
          <w:i w:val="1"/>
          <w:iCs w:val="1"/>
          <w:color w:val="auto"/>
        </w:rPr>
        <w:t>.</w:t>
      </w:r>
      <w:r>
        <w:rPr>
          <w:rFonts w:ascii="Arial" w:cs="Arial" w:eastAsia="Arial" w:hAnsi="Arial"/>
          <w:sz w:val="20"/>
          <w:szCs w:val="20"/>
          <w:color w:val="auto"/>
        </w:rPr>
        <w:t xml:space="preserve"> As of the Closing Date, the Borrower represents and warrants to the Lenders and the Administrative Agent that the Initial Properties qualify as Eligible Properties and that the information provided on Schedule 1.1 is true and correct in all material respects.</w:t>
      </w:r>
    </w:p>
    <w:p>
      <w:pPr>
        <w:spacing w:after="0" w:line="160" w:lineRule="exact"/>
        <w:rPr>
          <w:sz w:val="20"/>
          <w:szCs w:val="20"/>
          <w:color w:val="auto"/>
        </w:rPr>
      </w:pPr>
    </w:p>
    <w:p>
      <w:pPr>
        <w:jc w:val="both"/>
        <w:ind w:left="200" w:right="219" w:firstLine="594"/>
        <w:spacing w:after="0" w:line="261" w:lineRule="auto"/>
        <w:rPr>
          <w:sz w:val="20"/>
          <w:szCs w:val="20"/>
          <w:color w:val="auto"/>
        </w:rPr>
      </w:pPr>
      <w:r>
        <w:rPr>
          <w:rFonts w:ascii="Arial" w:cs="Arial" w:eastAsia="Arial" w:hAnsi="Arial"/>
          <w:sz w:val="18"/>
          <w:szCs w:val="18"/>
          <w:color w:val="auto"/>
        </w:rPr>
        <w:t>Upon not less than 10 Business Days prior written notice from the Borrower to the Administrative Agent, the Borrower can designate that a Property be added (subject to the other requirements for a Property qualifying as an Eligible Property) or deleted as an Eligible Property included in calculating the Borrowing Base and the Adjusted Borrowing Base, as applicable. Such notice shall be accompanied by a Borrowing Base Certificate setting forth the components of the Borrowing Base and the Adjusted Borrowing Base, as applicable, as of the addition or deletion of the designated Property as an Eligible Property, and with respect to a deletion, Borrower’s certification in such detail as reasonably required by the Administrative Agent that no Default or Event of Default exists under this Agreement and such deletion shall not (A) cause the Eligible Properties to violate the Borrowing Base Requirements, (B) cause a Default, or (C) cause or result in the Borrower failing to comply with any of the financial covenants contained in Section 8.20 hereof. Each addition shall be an Eligible Property in a minimum amount equal to $500,000 Borrowing Base Value or $500,000 Debt Service Coverage Amount, or shall be comprised of more than one qualifying Eligible Properties that in the aggregate have a minimum amount equal to $1,000,000 Borrowing Base Value or $1,000,000 Debt Service Coverage Amount, and all such additions shall be subject to reasonable approval by the Administrative Agent. Borrower shall provide Administrative Agent with copies of all documentation related to the inclusion of an Eligible Property or a Subsidiary Guarantor which it provides to lenders under the Existing Credit Agreement simultaneously therewith.</w:t>
      </w:r>
    </w:p>
    <w:p>
      <w:pPr>
        <w:spacing w:after="0" w:line="159"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If no Default exists at the time of any deletion of a Property from qualifying as an Eligible Property included in calculating the Borrowing Base and the Adjusted Borrowing Base, as applicable, any Material Subsidiary which owned such Property, but that does not otherwise own any other Eligible Property, shall be released from its obligations under its Guaranty.</w:t>
      </w:r>
    </w:p>
    <w:p>
      <w:pPr>
        <w:spacing w:after="0" w:line="173"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19"/>
          <w:szCs w:val="19"/>
          <w:color w:val="auto"/>
        </w:rPr>
        <w:t>COVENANTS.</w:t>
      </w:r>
    </w:p>
    <w:p>
      <w:pPr>
        <w:spacing w:after="0" w:line="19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The Borrower agrees that, so long as any Loan is outstanding by the Borrower hereunder, except to the extent compliance in any case or cases is cured or waived in writing pursuant to the terms of Section 12.13 hereof: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97" w:name="page98"/>
    <w:bookmarkEnd w:id="97"/>
    <w:p>
      <w:pPr>
        <w:ind w:left="200" w:right="239" w:firstLine="594"/>
        <w:spacing w:after="0" w:line="281"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Maintenance of Existence</w:t>
      </w:r>
      <w:r>
        <w:rPr>
          <w:rFonts w:ascii="Arial" w:cs="Arial" w:eastAsia="Arial" w:hAnsi="Arial"/>
          <w:sz w:val="18"/>
          <w:szCs w:val="18"/>
          <w:i w:val="1"/>
          <w:iCs w:val="1"/>
          <w:color w:val="auto"/>
        </w:rPr>
        <w:t>.</w:t>
      </w:r>
      <w:r>
        <w:rPr>
          <w:rFonts w:ascii="Arial" w:cs="Arial" w:eastAsia="Arial" w:hAnsi="Arial"/>
          <w:sz w:val="18"/>
          <w:szCs w:val="18"/>
          <w:color w:val="auto"/>
        </w:rPr>
        <w:t xml:space="preserve"> (i)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spacing w:after="0" w:line="135" w:lineRule="exact"/>
        <w:rPr>
          <w:sz w:val="20"/>
          <w:szCs w:val="20"/>
          <w:color w:val="auto"/>
        </w:rPr>
      </w:pPr>
    </w:p>
    <w:p>
      <w:pPr>
        <w:jc w:val="both"/>
        <w:ind w:left="200" w:right="219" w:firstLine="532"/>
        <w:spacing w:after="0" w:line="270" w:lineRule="auto"/>
        <w:tabs>
          <w:tab w:leader="none" w:pos="12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At least one class of common stock of Parent shall at all times be duly listed on the New York Stock Exchange, the NYSE American or The NASDAQ Stock Market and (b) the Parent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spacing w:after="0" w:line="160" w:lineRule="exact"/>
        <w:rPr>
          <w:sz w:val="20"/>
          <w:szCs w:val="20"/>
          <w:color w:val="auto"/>
        </w:rPr>
      </w:pPr>
    </w:p>
    <w:p>
      <w:pPr>
        <w:ind w:left="200" w:right="239" w:firstLine="594"/>
        <w:spacing w:after="0" w:line="262" w:lineRule="auto"/>
        <w:rPr>
          <w:sz w:val="20"/>
          <w:szCs w:val="20"/>
          <w:color w:val="auto"/>
        </w:rPr>
      </w:pPr>
      <w:r>
        <w:rPr>
          <w:rFonts w:ascii="Arial" w:cs="Arial" w:eastAsia="Arial" w:hAnsi="Arial"/>
          <w:sz w:val="19"/>
          <w:szCs w:val="19"/>
          <w:color w:val="auto"/>
        </w:rPr>
        <w:t xml:space="preserve">Section 8.2. </w:t>
      </w:r>
      <w:r>
        <w:rPr>
          <w:rFonts w:ascii="Arial" w:cs="Arial" w:eastAsia="Arial" w:hAnsi="Arial"/>
          <w:sz w:val="19"/>
          <w:szCs w:val="19"/>
          <w:u w:val="single" w:color="auto"/>
          <w:color w:val="auto"/>
        </w:rPr>
        <w:t>Maintenance of Properties, Agreements</w:t>
      </w:r>
      <w:r>
        <w:rPr>
          <w:rFonts w:ascii="Arial" w:cs="Arial" w:eastAsia="Arial" w:hAnsi="Arial"/>
          <w:sz w:val="19"/>
          <w:szCs w:val="19"/>
          <w:i w:val="1"/>
          <w:iCs w:val="1"/>
          <w:color w:val="auto"/>
        </w:rPr>
        <w:t>.</w:t>
      </w:r>
      <w:r>
        <w:rPr>
          <w:rFonts w:ascii="Arial" w:cs="Arial" w:eastAsia="Arial" w:hAnsi="Arial"/>
          <w:sz w:val="19"/>
          <w:szCs w:val="19"/>
          <w:color w:val="auto"/>
        </w:rPr>
        <w:t xml:space="preserve"> The Borrower and each Guarantor shall cause each of its tenants to maintain, preserve, and keep all of the Borrower’s and each Guarantor’s Property in working condition and order (ordinary wear and tear excepted) in all material respects, and Borrower and each Guarantor shall from time to time make all needful and proper repairs, renewals, replacements, additions, and betterments to its Property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Parent in its business judgment or due to any breach by the other party thereto) and shall not modify or amend any material contract or agreement that would cause a Material Adverse Effect.</w:t>
      </w:r>
    </w:p>
    <w:p>
      <w:pPr>
        <w:spacing w:after="0" w:line="164" w:lineRule="exact"/>
        <w:rPr>
          <w:sz w:val="20"/>
          <w:szCs w:val="20"/>
          <w:color w:val="auto"/>
        </w:rPr>
      </w:pPr>
    </w:p>
    <w:p>
      <w:pPr>
        <w:ind w:left="200" w:right="479" w:firstLine="594"/>
        <w:spacing w:after="0" w:line="249" w:lineRule="auto"/>
        <w:rPr>
          <w:sz w:val="20"/>
          <w:szCs w:val="20"/>
          <w:color w:val="auto"/>
        </w:rPr>
      </w:pPr>
      <w:r>
        <w:rPr>
          <w:rFonts w:ascii="Arial" w:cs="Arial" w:eastAsia="Arial" w:hAnsi="Arial"/>
          <w:sz w:val="20"/>
          <w:szCs w:val="20"/>
          <w:color w:val="auto"/>
        </w:rPr>
        <w:t xml:space="preserve">Section 8.3. </w:t>
      </w:r>
      <w:r>
        <w:rPr>
          <w:rFonts w:ascii="Arial" w:cs="Arial" w:eastAsia="Arial" w:hAnsi="Arial"/>
          <w:sz w:val="20"/>
          <w:szCs w:val="20"/>
          <w:u w:val="single" w:color="auto"/>
          <w:color w:val="auto"/>
        </w:rPr>
        <w:t>Taxes and Assessment</w:t>
      </w:r>
      <w:r>
        <w:rPr>
          <w:rFonts w:ascii="Arial" w:cs="Arial" w:eastAsia="Arial" w:hAnsi="Arial"/>
          <w:sz w:val="20"/>
          <w:szCs w:val="20"/>
          <w:i w:val="1"/>
          <w:iCs w:val="1"/>
          <w:u w:val="single" w:color="auto"/>
          <w:color w:val="auto"/>
        </w:rPr>
        <w:t>s</w:t>
      </w:r>
      <w:r>
        <w:rPr>
          <w:rFonts w:ascii="Arial" w:cs="Arial" w:eastAsia="Arial" w:hAnsi="Arial"/>
          <w:sz w:val="20"/>
          <w:szCs w:val="20"/>
          <w:color w:val="auto"/>
        </w:rPr>
        <w:t>. The Borrower and each Guarantor shall, or shall cause its tenants to, duly pay and discharge all taxes, rates, assessments, fees, and governmental charges upon or against it or its Property,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177" w:lineRule="exact"/>
        <w:rPr>
          <w:sz w:val="20"/>
          <w:szCs w:val="20"/>
          <w:color w:val="auto"/>
        </w:rPr>
      </w:pPr>
    </w:p>
    <w:p>
      <w:pPr>
        <w:ind w:left="200" w:right="239" w:firstLine="594"/>
        <w:spacing w:after="0" w:line="278"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Insurance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where the Tenant of a Property shall maintain insurance pursuant to the terms of its Lease, the Borrower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98" w:name="page99"/>
    <w:bookmarkEnd w:id="98"/>
    <w:p>
      <w:pPr>
        <w:ind w:left="200" w:right="219"/>
        <w:spacing w:after="0" w:line="266" w:lineRule="auto"/>
        <w:rPr>
          <w:sz w:val="20"/>
          <w:szCs w:val="20"/>
          <w:color w:val="auto"/>
        </w:rPr>
      </w:pPr>
      <w:r>
        <w:rPr>
          <w:rFonts w:ascii="Arial" w:cs="Arial" w:eastAsia="Arial" w:hAnsi="Arial"/>
          <w:sz w:val="20"/>
          <w:szCs w:val="20"/>
          <w:color w:val="auto"/>
        </w:rPr>
        <w:t>and the Lenders a certificate setting forth in summary form the nature and extent of the insurance maintained pursuant to this Section 8.4.</w:t>
      </w:r>
    </w:p>
    <w:p>
      <w:pPr>
        <w:spacing w:after="0" w:line="159" w:lineRule="exact"/>
        <w:rPr>
          <w:sz w:val="20"/>
          <w:szCs w:val="20"/>
          <w:color w:val="auto"/>
        </w:rPr>
      </w:pPr>
    </w:p>
    <w:p>
      <w:pPr>
        <w:ind w:left="200" w:right="359" w:firstLine="594"/>
        <w:spacing w:after="0" w:line="265" w:lineRule="auto"/>
        <w:rPr>
          <w:sz w:val="20"/>
          <w:szCs w:val="20"/>
          <w:color w:val="auto"/>
        </w:rPr>
      </w:pPr>
      <w:r>
        <w:rPr>
          <w:rFonts w:ascii="Arial" w:cs="Arial" w:eastAsia="Arial" w:hAnsi="Arial"/>
          <w:sz w:val="19"/>
          <w:szCs w:val="19"/>
          <w:color w:val="auto"/>
        </w:rPr>
        <w:t xml:space="preserve">Section 8.5. </w:t>
      </w:r>
      <w:r>
        <w:rPr>
          <w:rFonts w:ascii="Arial" w:cs="Arial" w:eastAsia="Arial" w:hAnsi="Arial"/>
          <w:sz w:val="19"/>
          <w:szCs w:val="19"/>
          <w:u w:val="single" w:color="auto"/>
          <w:color w:val="auto"/>
        </w:rPr>
        <w:t>Financial Reports</w:t>
      </w:r>
      <w:r>
        <w:rPr>
          <w:rFonts w:ascii="Arial" w:cs="Arial" w:eastAsia="Arial" w:hAnsi="Arial"/>
          <w:sz w:val="19"/>
          <w:szCs w:val="19"/>
          <w:i w:val="1"/>
          <w:iCs w:val="1"/>
          <w:color w:val="auto"/>
        </w:rPr>
        <w:t>.</w:t>
      </w:r>
      <w:r>
        <w:rPr>
          <w:rFonts w:ascii="Arial" w:cs="Arial" w:eastAsia="Arial" w:hAnsi="Arial"/>
          <w:sz w:val="19"/>
          <w:szCs w:val="19"/>
          <w:color w:val="auto"/>
        </w:rPr>
        <w:t xml:space="preserve"> The Borrower shall, and shall cause Parent and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spacing w:after="0" w:line="149" w:lineRule="exact"/>
        <w:rPr>
          <w:sz w:val="20"/>
          <w:szCs w:val="20"/>
          <w:color w:val="auto"/>
        </w:rPr>
      </w:pPr>
    </w:p>
    <w:p>
      <w:pPr>
        <w:jc w:val="both"/>
        <w:ind w:left="200" w:right="219" w:firstLine="1190"/>
        <w:spacing w:after="0" w:line="247" w:lineRule="auto"/>
        <w:tabs>
          <w:tab w:leader="none" w:pos="1982" w:val="left"/>
        </w:tabs>
        <w:numPr>
          <w:ilvl w:val="0"/>
          <w:numId w:val="73"/>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ninety (90) days after the last day each fiscal year of Parent, a copy of the consolidated and consolidating balance sheet of Parent and its Subsidiaries as of the last day of the fiscal year then ended and the consolidated and consolidating statements of income, retained earnings, and cash flows of Parent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Parent and reasonably satisfactory to the Administrative Agent, to the effect that the consolidated financial statements have been prepared in accordance with GAAP and present fairly in accordance with GAAP the consolidated financial condition of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spacing w:after="0" w:line="168" w:lineRule="exact"/>
        <w:rPr>
          <w:rFonts w:ascii="Arial" w:cs="Arial" w:eastAsia="Arial" w:hAnsi="Arial"/>
          <w:sz w:val="19"/>
          <w:szCs w:val="19"/>
          <w:color w:val="auto"/>
        </w:rPr>
      </w:pPr>
    </w:p>
    <w:p>
      <w:pPr>
        <w:jc w:val="both"/>
        <w:ind w:left="200" w:right="219" w:firstLine="1190"/>
        <w:spacing w:after="0" w:line="238" w:lineRule="auto"/>
        <w:tabs>
          <w:tab w:leader="none" w:pos="1982" w:val="left"/>
        </w:tabs>
        <w:numPr>
          <w:ilvl w:val="0"/>
          <w:numId w:val="73"/>
        </w:numPr>
        <w:rPr>
          <w:rFonts w:ascii="Arial" w:cs="Arial" w:eastAsia="Arial" w:hAnsi="Arial"/>
          <w:sz w:val="20"/>
          <w:szCs w:val="20"/>
          <w:color w:val="auto"/>
        </w:rPr>
      </w:pPr>
      <w:r>
        <w:rPr>
          <w:rFonts w:ascii="Arial" w:cs="Arial" w:eastAsia="Arial" w:hAnsi="Arial"/>
          <w:sz w:val="20"/>
          <w:szCs w:val="20"/>
          <w:color w:val="auto"/>
        </w:rPr>
        <w:t>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171" w:lineRule="exact"/>
        <w:rPr>
          <w:rFonts w:ascii="Arial" w:cs="Arial" w:eastAsia="Arial" w:hAnsi="Arial"/>
          <w:sz w:val="20"/>
          <w:szCs w:val="20"/>
          <w:color w:val="auto"/>
        </w:rPr>
      </w:pPr>
    </w:p>
    <w:p>
      <w:pPr>
        <w:jc w:val="both"/>
        <w:ind w:left="200" w:right="219" w:firstLine="1190"/>
        <w:spacing w:after="0" w:line="249" w:lineRule="auto"/>
        <w:tabs>
          <w:tab w:leader="none" w:pos="1982" w:val="left"/>
        </w:tabs>
        <w:numPr>
          <w:ilvl w:val="0"/>
          <w:numId w:val="73"/>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forty-five (45) days after the last day of each fiscal quarter of each fiscal year of Parent, a copy of the consolidated and consolidating balance sheet of Parent and its Subsidiaries as of the last day of such fiscal quarter and the consolidated and consolidating statements of income, retained earnings, and cash flows of Parent and its Subsidiaries for the fiscal quarter and for the fiscal year-to-date period then ended, each in reasonable detail showing in comparative form the figures for the corresponding date and period in the previous fiscal year, prepared by Parent in accordance with GAAP (subject to the absence of footnote disclosures and year-end audit adjustments) and certified to by its chief financial officer or another officer of Parent reasonably acceptable to the Administrative Agent;</w:t>
      </w:r>
    </w:p>
    <w:p>
      <w:pPr>
        <w:spacing w:after="0" w:line="162" w:lineRule="exact"/>
        <w:rPr>
          <w:rFonts w:ascii="Arial" w:cs="Arial" w:eastAsia="Arial" w:hAnsi="Arial"/>
          <w:sz w:val="19"/>
          <w:szCs w:val="19"/>
          <w:color w:val="auto"/>
        </w:rPr>
      </w:pPr>
    </w:p>
    <w:p>
      <w:pPr>
        <w:jc w:val="both"/>
        <w:ind w:left="200" w:right="219" w:firstLine="1190"/>
        <w:spacing w:after="0" w:line="238" w:lineRule="auto"/>
        <w:tabs>
          <w:tab w:leader="none" w:pos="1982"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Parent and certified to by its chief financial officer or another officer of Parent acceptable to the Administrative Agent;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99" w:name="page100"/>
    <w:bookmarkEnd w:id="99"/>
    <w:p>
      <w:pPr>
        <w:jc w:val="both"/>
        <w:ind w:left="200" w:right="219" w:firstLine="1190"/>
        <w:spacing w:after="0" w:line="265" w:lineRule="auto"/>
        <w:tabs>
          <w:tab w:leader="none" w:pos="19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each of the financial statements delivered pursuant to subsections (a) and (b) above, a Compliance Certificate (</w:t>
      </w:r>
      <w:r>
        <w:rPr>
          <w:rFonts w:ascii="Arial" w:cs="Arial" w:eastAsia="Arial" w:hAnsi="Arial"/>
          <w:sz w:val="18"/>
          <w:szCs w:val="18"/>
          <w:i w:val="1"/>
          <w:iCs w:val="1"/>
          <w:color w:val="auto"/>
        </w:rPr>
        <w:t>“Compliance Certificate”</w:t>
      </w:r>
      <w:r>
        <w:rPr>
          <w:rFonts w:ascii="Arial" w:cs="Arial" w:eastAsia="Arial" w:hAnsi="Arial"/>
          <w:sz w:val="18"/>
          <w:szCs w:val="18"/>
          <w:color w:val="auto"/>
        </w:rPr>
        <w:t>) in the form attached hereto as Exhibit E signed by the chief financial officer of Parent or another officer of Parent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spacing w:after="0" w:line="151" w:lineRule="exact"/>
        <w:rPr>
          <w:rFonts w:ascii="Arial" w:cs="Arial" w:eastAsia="Arial" w:hAnsi="Arial"/>
          <w:sz w:val="18"/>
          <w:szCs w:val="18"/>
          <w:color w:val="auto"/>
        </w:rPr>
      </w:pPr>
    </w:p>
    <w:p>
      <w:pPr>
        <w:jc w:val="both"/>
        <w:ind w:left="200" w:right="219" w:firstLine="1190"/>
        <w:spacing w:after="0" w:line="262" w:lineRule="auto"/>
        <w:tabs>
          <w:tab w:leader="none" w:pos="1982" w:val="left"/>
        </w:tabs>
        <w:numPr>
          <w:ilvl w:val="0"/>
          <w:numId w:val="74"/>
        </w:numPr>
        <w:rPr>
          <w:rFonts w:ascii="Arial" w:cs="Arial" w:eastAsia="Arial" w:hAnsi="Arial"/>
          <w:sz w:val="19"/>
          <w:szCs w:val="19"/>
          <w:color w:val="auto"/>
        </w:rPr>
      </w:pPr>
      <w:r>
        <w:rPr>
          <w:rFonts w:ascii="Arial" w:cs="Arial" w:eastAsia="Arial" w:hAnsi="Arial"/>
          <w:sz w:val="19"/>
          <w:szCs w:val="19"/>
          <w:color w:val="auto"/>
        </w:rPr>
        <w:t>promptly after receipt thereof, any additional written reports, management letters or other detailed information contained in writing concerning significant aspects of Parent’s or any Subsidiary’s operations and financial affairs given to it by its independent public accountants;</w:t>
      </w:r>
    </w:p>
    <w:p>
      <w:pPr>
        <w:spacing w:after="0" w:line="150" w:lineRule="exact"/>
        <w:rPr>
          <w:rFonts w:ascii="Arial" w:cs="Arial" w:eastAsia="Arial" w:hAnsi="Arial"/>
          <w:sz w:val="19"/>
          <w:szCs w:val="19"/>
          <w:color w:val="auto"/>
        </w:rPr>
      </w:pPr>
    </w:p>
    <w:p>
      <w:pPr>
        <w:jc w:val="both"/>
        <w:ind w:left="200" w:right="219" w:firstLine="1190"/>
        <w:spacing w:after="0" w:line="237" w:lineRule="auto"/>
        <w:tabs>
          <w:tab w:leader="none" w:pos="1982"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promptly after the sending or filing thereof, copies of each financial statement, report, notice or proxy statement sent by Parent or any Subsidiary to its stockholders or other equity holders, and upon written request from the Administrative Agent, copies of each regular, periodic or special report, registration statement or prospectus (including all Form 10-K, Form 10-Q and Form 8-K reports) filed by Parent or any Subsidiary with any securities exchange or the Securities and Exchange Commission or any successor agency;</w:t>
      </w:r>
    </w:p>
    <w:p>
      <w:pPr>
        <w:spacing w:after="0" w:line="172" w:lineRule="exact"/>
        <w:rPr>
          <w:rFonts w:ascii="Arial" w:cs="Arial" w:eastAsia="Arial" w:hAnsi="Arial"/>
          <w:sz w:val="20"/>
          <w:szCs w:val="20"/>
          <w:color w:val="auto"/>
        </w:rPr>
      </w:pPr>
    </w:p>
    <w:p>
      <w:pPr>
        <w:jc w:val="both"/>
        <w:ind w:left="200" w:right="219" w:firstLine="1190"/>
        <w:spacing w:after="0" w:line="283" w:lineRule="auto"/>
        <w:tabs>
          <w:tab w:leader="none" w:pos="19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after receipt thereof, a copy of each audit made by any regulatory agency of the books and records of Parent or any Subsidiary or of notice of any material noncompliance with any applicable law, regulation or guideline relating to Parent or any Subsidiary, or their respective businesses;</w:t>
      </w:r>
    </w:p>
    <w:p>
      <w:pPr>
        <w:spacing w:after="0" w:line="134" w:lineRule="exact"/>
        <w:rPr>
          <w:rFonts w:ascii="Arial" w:cs="Arial" w:eastAsia="Arial" w:hAnsi="Arial"/>
          <w:sz w:val="18"/>
          <w:szCs w:val="18"/>
          <w:color w:val="auto"/>
        </w:rPr>
      </w:pPr>
    </w:p>
    <w:p>
      <w:pPr>
        <w:ind w:left="1980" w:hanging="590"/>
        <w:spacing w:after="0"/>
        <w:tabs>
          <w:tab w:leader="none" w:pos="1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Intentionally Deleted;</w:t>
      </w:r>
    </w:p>
    <w:p>
      <w:pPr>
        <w:spacing w:after="0" w:line="190" w:lineRule="exact"/>
        <w:rPr>
          <w:rFonts w:ascii="Arial" w:cs="Arial" w:eastAsia="Arial" w:hAnsi="Arial"/>
          <w:sz w:val="20"/>
          <w:szCs w:val="20"/>
          <w:color w:val="auto"/>
        </w:rPr>
      </w:pPr>
    </w:p>
    <w:p>
      <w:pPr>
        <w:ind w:left="1980" w:hanging="590"/>
        <w:spacing w:after="0"/>
        <w:tabs>
          <w:tab w:leader="none" w:pos="1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notice of any Change of Control;</w:t>
      </w:r>
    </w:p>
    <w:p>
      <w:pPr>
        <w:spacing w:after="0" w:line="190" w:lineRule="exact"/>
        <w:rPr>
          <w:rFonts w:ascii="Arial" w:cs="Arial" w:eastAsia="Arial" w:hAnsi="Arial"/>
          <w:sz w:val="20"/>
          <w:szCs w:val="20"/>
          <w:color w:val="auto"/>
        </w:rPr>
      </w:pPr>
    </w:p>
    <w:p>
      <w:pPr>
        <w:jc w:val="both"/>
        <w:ind w:left="200" w:right="219" w:firstLine="1190"/>
        <w:spacing w:after="0" w:line="266" w:lineRule="auto"/>
        <w:tabs>
          <w:tab w:leader="none" w:pos="19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after knowledge thereof shall have come to the attention of any Responsible Officer of Parent, written notice of (i) any threatened (in writing) or pending litigation or governmental or arbitration proceeding or labor controversy against Parent or any Subsidiary or any of their Property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of such certification;</w:t>
      </w:r>
    </w:p>
    <w:p>
      <w:pPr>
        <w:spacing w:after="0" w:line="151" w:lineRule="exact"/>
        <w:rPr>
          <w:rFonts w:ascii="Arial" w:cs="Arial" w:eastAsia="Arial" w:hAnsi="Arial"/>
          <w:sz w:val="18"/>
          <w:szCs w:val="18"/>
          <w:color w:val="auto"/>
        </w:rPr>
      </w:pPr>
    </w:p>
    <w:p>
      <w:pPr>
        <w:jc w:val="both"/>
        <w:ind w:left="200" w:right="219" w:firstLine="1190"/>
        <w:spacing w:after="0" w:line="250" w:lineRule="auto"/>
        <w:tabs>
          <w:tab w:leader="none" w:pos="1982" w:val="left"/>
        </w:tabs>
        <w:numPr>
          <w:ilvl w:val="0"/>
          <w:numId w:val="74"/>
        </w:numPr>
        <w:rPr>
          <w:rFonts w:ascii="Arial" w:cs="Arial" w:eastAsia="Arial" w:hAnsi="Arial"/>
          <w:sz w:val="19"/>
          <w:szCs w:val="19"/>
          <w:color w:val="auto"/>
        </w:rPr>
      </w:pPr>
      <w:r>
        <w:rPr>
          <w:rFonts w:ascii="Arial" w:cs="Arial" w:eastAsia="Arial" w:hAnsi="Arial"/>
          <w:sz w:val="19"/>
          <w:szCs w:val="19"/>
          <w:color w:val="auto"/>
        </w:rPr>
        <w:t>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(ii) a copy of any notice of a material default by the Borrower or any Guarantor from any ground lessor under a Significant Lease during such quarter and (iii) a schedule showing for such quarter any Significant Lease that was or is continuing to be in default with respect to monthly contractual rent payments in excess of 60 days;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0" w:name="page101"/>
    <w:bookmarkEnd w:id="100"/>
    <w:p>
      <w:pPr>
        <w:jc w:val="both"/>
        <w:ind w:left="200" w:right="219" w:firstLine="1190"/>
        <w:spacing w:after="0" w:line="283" w:lineRule="auto"/>
        <w:tabs>
          <w:tab w:leader="none" w:pos="19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promptly after knowledge thereof shall have come to the attention of any Responsible Officer of Parent, written notice to each Lender if amounts payable under a Lease of any Eligible Property or portion thereof included in the Borrowing Base Value is more than sixty (60) days past due; and</w:t>
      </w:r>
    </w:p>
    <w:p>
      <w:pPr>
        <w:spacing w:after="0" w:line="134" w:lineRule="exact"/>
        <w:rPr>
          <w:rFonts w:ascii="Arial" w:cs="Arial" w:eastAsia="Arial" w:hAnsi="Arial"/>
          <w:sz w:val="18"/>
          <w:szCs w:val="18"/>
          <w:color w:val="auto"/>
        </w:rPr>
      </w:pPr>
    </w:p>
    <w:p>
      <w:pPr>
        <w:ind w:left="200" w:right="219" w:firstLine="1190"/>
        <w:spacing w:after="0" w:line="253" w:lineRule="auto"/>
        <w:tabs>
          <w:tab w:leader="none" w:pos="1982"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promptly after the request of any Lender, any other information or report reasonably requested by a Lender;</w:t>
      </w:r>
    </w:p>
    <w:p>
      <w:pPr>
        <w:spacing w:after="0" w:line="159"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to the extent such items set forth above are filed with the Securities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Exchange Commission or otherwise are publicly available, the Borrower shall be deemed to have satisfied this covenant once it provides notice to the Administrative Agent of such availability.</w:t>
      </w:r>
    </w:p>
    <w:p>
      <w:pPr>
        <w:spacing w:after="0" w:line="163" w:lineRule="exact"/>
        <w:rPr>
          <w:sz w:val="20"/>
          <w:szCs w:val="20"/>
          <w:color w:val="auto"/>
        </w:rPr>
      </w:pPr>
    </w:p>
    <w:p>
      <w:pPr>
        <w:ind w:left="200" w:right="259" w:firstLine="594"/>
        <w:spacing w:after="0" w:line="276"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Inspection</w:t>
      </w:r>
      <w:r>
        <w:rPr>
          <w:rFonts w:ascii="Arial" w:cs="Arial" w:eastAsia="Arial" w:hAnsi="Arial"/>
          <w:sz w:val="18"/>
          <w:szCs w:val="18"/>
          <w:color w:val="auto"/>
        </w:rPr>
        <w:t>. The Borrower shall, and shall cause Parent and each Subsidiary to, permit the Administrative Agent, each Lender and each of their duly authorized representatives and agents during normal business hours to visit and inspect any of its Property,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Parent hereby authorizes such accountants with Parent present to discuss with the Administrative Agent and such Lenders the finances and affairs of the Parent and its Subsidiaries) at such reasonable times and intervals as the Administrative Agent or any such Lender may designate and, so long as no Default or Event of Default exists, with reasonable prior notice to Parent. The Administrative Agent, and Lenders shall use reasonable efforts to coordinate inspections undertaken in accordance with this Section 8.6 to reduce the administrative burden of such inspections on the Parent and their Subsidiaries.</w:t>
      </w:r>
    </w:p>
    <w:p>
      <w:pPr>
        <w:spacing w:after="0" w:line="161" w:lineRule="exact"/>
        <w:rPr>
          <w:sz w:val="20"/>
          <w:szCs w:val="20"/>
          <w:color w:val="auto"/>
        </w:rPr>
      </w:pPr>
    </w:p>
    <w:p>
      <w:pPr>
        <w:ind w:left="200" w:right="259" w:firstLine="594"/>
        <w:spacing w:after="0" w:line="275"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Liens</w:t>
      </w:r>
      <w:r>
        <w:rPr>
          <w:rFonts w:ascii="Arial" w:cs="Arial" w:eastAsia="Arial" w:hAnsi="Arial"/>
          <w:sz w:val="19"/>
          <w:szCs w:val="19"/>
          <w:i w:val="1"/>
          <w:iCs w:val="1"/>
          <w:color w:val="auto"/>
        </w:rPr>
        <w:t>.</w:t>
      </w:r>
      <w:r>
        <w:rPr>
          <w:rFonts w:ascii="Arial" w:cs="Arial" w:eastAsia="Arial" w:hAnsi="Arial"/>
          <w:sz w:val="19"/>
          <w:szCs w:val="19"/>
          <w:color w:val="auto"/>
        </w:rPr>
        <w:t xml:space="preserve"> The Borrower shall not, nor shall it permit any Subsidiary to, create, incur or permit to exist any Lien of any kind on any Property owned by any such Person;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foregoing shall not apply to nor operate to prevent any Permitted Liens.</w:t>
      </w:r>
    </w:p>
    <w:p>
      <w:pPr>
        <w:spacing w:after="0" w:line="152" w:lineRule="exact"/>
        <w:rPr>
          <w:sz w:val="20"/>
          <w:szCs w:val="20"/>
          <w:color w:val="auto"/>
        </w:rPr>
      </w:pPr>
    </w:p>
    <w:p>
      <w:pPr>
        <w:ind w:left="200" w:right="219" w:firstLine="594"/>
        <w:spacing w:after="0" w:line="27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Investments, Acquisitions, Loans and Advances</w:t>
      </w:r>
      <w:r>
        <w:rPr>
          <w:rFonts w:ascii="Arial" w:cs="Arial" w:eastAsia="Arial" w:hAnsi="Arial"/>
          <w:sz w:val="18"/>
          <w:szCs w:val="18"/>
          <w:color w:val="auto"/>
        </w:rPr>
        <w:t xml:space="preserve">. The Borrower shall not, nor shall it permit any Subsidiary to (i) directly or indirectly, make, retain or have outstanding any of the following any investments (whether through the purchase of stock or obligations or otherwise) in any Person, real property or improvements on real property, or any loans, advances, lines of credit, mortgage loans or other financings (including pursuant to sale/leaseback transactions) to any other Person, or (ii) acquire any real property, improvements on real property or all or any substantial part of the assets or business of any other Person or division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apply to nor operate to prevent, with respect to the Borrower or any Subsidiary, any of the following:</w:t>
      </w:r>
    </w:p>
    <w:p>
      <w:pPr>
        <w:spacing w:after="0" w:line="142" w:lineRule="exact"/>
        <w:rPr>
          <w:sz w:val="20"/>
          <w:szCs w:val="20"/>
          <w:color w:val="auto"/>
        </w:rPr>
      </w:pPr>
    </w:p>
    <w:p>
      <w:pPr>
        <w:jc w:val="both"/>
        <w:ind w:left="200" w:right="219" w:firstLine="1190"/>
        <w:spacing w:after="0" w:line="283" w:lineRule="auto"/>
        <w:tabs>
          <w:tab w:leader="none" w:pos="19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1" w:name="page102"/>
    <w:bookmarkEnd w:id="101"/>
    <w:p>
      <w:pPr>
        <w:ind w:left="200" w:right="219" w:firstLine="1190"/>
        <w:spacing w:after="0" w:line="25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investments in commercial paper with a Rating of at least P-1 by Moody’s and at least A-1 by S&amp;P maturing within one (1) year of the date of issuance thereof;</w:t>
      </w:r>
    </w:p>
    <w:p>
      <w:pPr>
        <w:spacing w:after="0" w:line="158"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interest bearing assets or investments in certificates of deposit issued by any Lender or by any United States commercial bank having capital and surplus of not less than $100,000,000 which have a maturity of one (1) year or less;</w:t>
      </w:r>
    </w:p>
    <w:p>
      <w:pPr>
        <w:spacing w:after="0" w:line="167" w:lineRule="exact"/>
        <w:rPr>
          <w:rFonts w:ascii="Arial" w:cs="Arial" w:eastAsia="Arial" w:hAnsi="Arial"/>
          <w:sz w:val="20"/>
          <w:szCs w:val="20"/>
          <w:color w:val="auto"/>
        </w:rPr>
      </w:pPr>
    </w:p>
    <w:p>
      <w:pPr>
        <w:jc w:val="both"/>
        <w:ind w:left="200" w:right="219" w:firstLine="1190"/>
        <w:spacing w:after="0" w:line="238"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spacing w:after="0" w:line="171"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investments in money market funds that invest solely, and which are restricted by their respective charters to invest solely, in investments of the type described in the immediately preceding subsections (a), (b), (c), and (d) above;</w:t>
      </w:r>
    </w:p>
    <w:p>
      <w:pPr>
        <w:spacing w:after="0" w:line="167"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Borrower’s investments from time to time in its Subsidiaries, and investments made from time to time by a Subsidiary in one or more of its Subsidiaries;</w:t>
      </w:r>
    </w:p>
    <w:p>
      <w:pPr>
        <w:spacing w:after="0" w:line="158"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intercompany advances made from time to time among the Borrower and its Subsidiaries in the ordinary course of business to finance working capital needs;</w:t>
      </w:r>
    </w:p>
    <w:p>
      <w:pPr>
        <w:spacing w:after="0" w:line="158" w:lineRule="exact"/>
        <w:rPr>
          <w:rFonts w:ascii="Arial" w:cs="Arial" w:eastAsia="Arial" w:hAnsi="Arial"/>
          <w:sz w:val="20"/>
          <w:szCs w:val="20"/>
          <w:color w:val="auto"/>
        </w:rPr>
      </w:pPr>
    </w:p>
    <w:p>
      <w:pPr>
        <w:jc w:val="both"/>
        <w:ind w:left="200" w:right="219" w:firstLine="1190"/>
        <w:spacing w:after="0" w:line="283" w:lineRule="auto"/>
        <w:tabs>
          <w:tab w:leader="none" w:pos="19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from time to time in individual Properties, including Eligible Properties, or in entities which own such individual Properties, including Eligible Properties, provided that such investment does not cause a breach of the financial covenants set forth in Section 8.20 hereof;</w:t>
      </w:r>
    </w:p>
    <w:p>
      <w:pPr>
        <w:spacing w:after="0" w:line="134" w:lineRule="exact"/>
        <w:rPr>
          <w:rFonts w:ascii="Arial" w:cs="Arial" w:eastAsia="Arial" w:hAnsi="Arial"/>
          <w:sz w:val="18"/>
          <w:szCs w:val="18"/>
          <w:color w:val="auto"/>
        </w:rPr>
      </w:pPr>
    </w:p>
    <w:p>
      <w:pPr>
        <w:ind w:left="200" w:right="219" w:firstLine="1190"/>
        <w:spacing w:after="0" w:line="279" w:lineRule="auto"/>
        <w:tabs>
          <w:tab w:leader="none" w:pos="1982" w:val="left"/>
        </w:tabs>
        <w:numPr>
          <w:ilvl w:val="0"/>
          <w:numId w:val="77"/>
        </w:numPr>
        <w:rPr>
          <w:rFonts w:ascii="Arial" w:cs="Arial" w:eastAsia="Arial" w:hAnsi="Arial"/>
          <w:sz w:val="19"/>
          <w:szCs w:val="19"/>
          <w:color w:val="auto"/>
        </w:rPr>
      </w:pPr>
      <w:r>
        <w:rPr>
          <w:rFonts w:ascii="Arial" w:cs="Arial" w:eastAsia="Arial" w:hAnsi="Arial"/>
          <w:sz w:val="19"/>
          <w:szCs w:val="19"/>
          <w:color w:val="auto"/>
        </w:rPr>
        <w:t>cash investments in joint ventures in an amount not to exceed in the aggregate at any one time outstanding 10% of the Total Asset Value of Parent and its Subsidiaries at such time;</w:t>
      </w:r>
    </w:p>
    <w:p>
      <w:pPr>
        <w:spacing w:after="0" w:line="135" w:lineRule="exact"/>
        <w:rPr>
          <w:rFonts w:ascii="Arial" w:cs="Arial" w:eastAsia="Arial" w:hAnsi="Arial"/>
          <w:sz w:val="19"/>
          <w:szCs w:val="19"/>
          <w:color w:val="auto"/>
        </w:rPr>
      </w:pPr>
    </w:p>
    <w:p>
      <w:pPr>
        <w:jc w:val="both"/>
        <w:ind w:left="200" w:right="219" w:firstLine="1190"/>
        <w:spacing w:after="0" w:line="243"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investments in Assets Under Development in an amount not to exceed in the aggregate at any one time outstanding 10% of the Total Asset Value of Parent and its Subsidiaries at such time; and</w:t>
      </w:r>
    </w:p>
    <w:p>
      <w:pPr>
        <w:spacing w:after="0" w:line="167"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77"/>
        </w:numPr>
        <w:rPr>
          <w:rFonts w:ascii="Arial" w:cs="Arial" w:eastAsia="Arial" w:hAnsi="Arial"/>
          <w:sz w:val="20"/>
          <w:szCs w:val="20"/>
          <w:color w:val="auto"/>
        </w:rPr>
      </w:pPr>
      <w:r>
        <w:rPr>
          <w:rFonts w:ascii="Arial" w:cs="Arial" w:eastAsia="Arial" w:hAnsi="Arial"/>
          <w:sz w:val="20"/>
          <w:szCs w:val="20"/>
          <w:color w:val="auto"/>
        </w:rPr>
        <w:t>repurchases (including tender offers (</w:t>
      </w:r>
      <w:r>
        <w:rPr>
          <w:rFonts w:ascii="Arial" w:cs="Arial" w:eastAsia="Arial" w:hAnsi="Arial"/>
          <w:sz w:val="20"/>
          <w:szCs w:val="20"/>
          <w:i w:val="1"/>
          <w:iCs w:val="1"/>
          <w:color w:val="auto"/>
        </w:rPr>
        <w:t>e.g.</w:t>
      </w:r>
      <w:r>
        <w:rPr>
          <w:rFonts w:ascii="Arial" w:cs="Arial" w:eastAsia="Arial" w:hAnsi="Arial"/>
          <w:sz w:val="20"/>
          <w:szCs w:val="20"/>
          <w:color w:val="auto"/>
        </w:rPr>
        <w:t xml:space="preserve"> Dutch or modified Dutch tender offers)) of Parent’s stock if at the time of such repurchases, the aggregate purchase price of all stock repurchases during the immediately preceding Rolling Period does not exceed 10% of the Total Asset Value of Parent and its Subsidiaries at such time.</w:t>
      </w:r>
    </w:p>
    <w:p>
      <w:pPr>
        <w:spacing w:after="0" w:line="173"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8"/>
          <w:szCs w:val="18"/>
          <w:color w:val="auto"/>
        </w:rPr>
        <w:t>Investments of the type described in clauses (i), (j) and (k) immediately preceding shall at no time exceed in the aggregate at any one time outstanding 30% of the Total Asset Value of Parent and its Subsidiaries at such time. 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2" w:name="page103"/>
    <w:bookmarkEnd w:id="102"/>
    <w:p>
      <w:pPr>
        <w:ind w:left="200" w:right="379" w:firstLine="594"/>
        <w:spacing w:after="0" w:line="282"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Mergers, Consolidations and Sales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with the prior written consent of the Required Lenders (which shall not be unreasonably withheld, conditioned or delayed), the Borrower shall not, nor shall it permit Parent or any Subsidiary to, be a party to any merger or consolidation, or sell, transfer, lease or otherwise dispose of all or substantially all of its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so long as the Borrower and Subsidiaries are in compliance with all covenants and agreements in this Agreement and no Default or Event of Default then exist, this Section shall not apply to nor operate to prevent:</w:t>
      </w:r>
    </w:p>
    <w:p>
      <w:pPr>
        <w:spacing w:after="0" w:line="137" w:lineRule="exact"/>
        <w:rPr>
          <w:sz w:val="20"/>
          <w:szCs w:val="20"/>
          <w:color w:val="auto"/>
        </w:rPr>
      </w:pPr>
    </w:p>
    <w:p>
      <w:pPr>
        <w:ind w:left="200" w:right="219" w:firstLine="1190"/>
        <w:spacing w:after="0" w:line="253" w:lineRule="auto"/>
        <w:tabs>
          <w:tab w:leader="none" w:pos="1982"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sale, transfer, lease or other disposition of Property of the Borrower and its Subsidiaries to one another in the ordinary course of its business;</w:t>
      </w:r>
    </w:p>
    <w:p>
      <w:pPr>
        <w:spacing w:after="0" w:line="158"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the merger of any Subsidiary with and into the Borrower or any other Subsidiary,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in the case of any merger involving the Borrower, the Borrower is the corporation surviving</w:t>
      </w:r>
      <w:r>
        <w:rPr>
          <w:rFonts w:ascii="Arial" w:cs="Arial" w:eastAsia="Arial" w:hAnsi="Arial"/>
          <w:sz w:val="20"/>
          <w:szCs w:val="20"/>
          <w:i w:val="1"/>
          <w:iCs w:val="1"/>
          <w:color w:val="auto"/>
        </w:rPr>
        <w:t xml:space="preserve"> </w:t>
      </w:r>
      <w:r>
        <w:rPr>
          <w:rFonts w:ascii="Arial" w:cs="Arial" w:eastAsia="Arial" w:hAnsi="Arial"/>
          <w:sz w:val="20"/>
          <w:szCs w:val="20"/>
          <w:color w:val="auto"/>
        </w:rPr>
        <w:t>the merger;</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sale, transfer or other disposition of any tangible personal property that, in the reasonable business judgment of the Borrower or its Subsidiary, has become obsolete or worn out, and which is disposed of in the ordinary course of business; and</w:t>
      </w:r>
    </w:p>
    <w:p>
      <w:pPr>
        <w:spacing w:after="0" w:line="167"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spacing w:after="0" w:line="173" w:lineRule="exact"/>
        <w:rPr>
          <w:rFonts w:ascii="Arial" w:cs="Arial" w:eastAsia="Arial" w:hAnsi="Arial"/>
          <w:sz w:val="20"/>
          <w:szCs w:val="20"/>
          <w:color w:val="auto"/>
        </w:rPr>
      </w:pPr>
    </w:p>
    <w:p>
      <w:pPr>
        <w:ind w:left="1980" w:hanging="590"/>
        <w:spacing w:after="0"/>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merger if it results in the simultaneous payoff in immediately available funds of</w:t>
      </w:r>
    </w:p>
    <w:p>
      <w:pPr>
        <w:spacing w:after="0" w:line="3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the Obligations; and</w:t>
      </w:r>
    </w:p>
    <w:p>
      <w:pPr>
        <w:spacing w:after="0" w:line="174" w:lineRule="exact"/>
        <w:rPr>
          <w:rFonts w:ascii="Arial" w:cs="Arial" w:eastAsia="Arial" w:hAnsi="Arial"/>
          <w:sz w:val="18"/>
          <w:szCs w:val="18"/>
          <w:color w:val="auto"/>
        </w:rPr>
      </w:pPr>
    </w:p>
    <w:p>
      <w:pPr>
        <w:ind w:left="1980" w:hanging="590"/>
        <w:spacing w:after="0"/>
        <w:tabs>
          <w:tab w:leader="none" w:pos="19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merger or consolidation, directly or indirectly, with any other Person so long as</w:t>
      </w:r>
    </w:p>
    <w:p>
      <w:pPr>
        <w:spacing w:after="0" w:line="31" w:lineRule="exact"/>
        <w:rPr>
          <w:rFonts w:ascii="Arial" w:cs="Arial" w:eastAsia="Arial" w:hAnsi="Arial"/>
          <w:sz w:val="18"/>
          <w:szCs w:val="18"/>
          <w:color w:val="auto"/>
        </w:rPr>
      </w:pPr>
    </w:p>
    <w:p>
      <w:pPr>
        <w:jc w:val="both"/>
        <w:ind w:left="200" w:right="219" w:firstLine="2"/>
        <w:spacing w:after="0" w:line="261" w:lineRule="auto"/>
        <w:tabs>
          <w:tab w:leader="none" w:pos="4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Parent,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Parent, the Borrower and the Subsidiaries with the terms and conditions of this Agreement and the other Loan Documents, including, without limitation, the financial covenants contained in Section 8.20, after giving effect to such consolidation or merger.</w:t>
      </w:r>
    </w:p>
    <w:p>
      <w:pPr>
        <w:spacing w:after="0" w:line="171" w:lineRule="exact"/>
        <w:rPr>
          <w:sz w:val="20"/>
          <w:szCs w:val="20"/>
          <w:color w:val="auto"/>
        </w:rPr>
      </w:pPr>
    </w:p>
    <w:p>
      <w:pPr>
        <w:jc w:val="both"/>
        <w:ind w:left="200" w:right="219" w:firstLine="594"/>
        <w:spacing w:after="0" w:line="27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Maintenance of Subsidiaries</w:t>
      </w:r>
      <w:r>
        <w:rPr>
          <w:rFonts w:ascii="Arial" w:cs="Arial" w:eastAsia="Arial" w:hAnsi="Arial"/>
          <w:sz w:val="18"/>
          <w:szCs w:val="18"/>
          <w:color w:val="auto"/>
        </w:rPr>
        <w:t xml:space="preserve">. The Borrower shall not assign, sell or transfer, nor shall it permit any Material Subsidiary to issue, assign, sell or transfer, any shares of capital stock or other equity interests of a Material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operate to prevent</w:t>
      </w:r>
    </w:p>
    <w:p>
      <w:pPr>
        <w:spacing w:after="0" w:line="1" w:lineRule="exact"/>
        <w:rPr>
          <w:sz w:val="20"/>
          <w:szCs w:val="20"/>
          <w:color w:val="auto"/>
        </w:rPr>
      </w:pPr>
    </w:p>
    <w:p>
      <w:pPr>
        <w:ind w:left="200" w:right="279" w:firstLine="2"/>
        <w:spacing w:after="0" w:line="248" w:lineRule="auto"/>
        <w:tabs>
          <w:tab w:leader="none" w:pos="469" w:val="left"/>
        </w:tabs>
        <w:numPr>
          <w:ilvl w:val="0"/>
          <w:numId w:val="80"/>
        </w:numPr>
        <w:rPr>
          <w:rFonts w:ascii="Arial" w:cs="Arial" w:eastAsia="Arial" w:hAnsi="Arial"/>
          <w:sz w:val="20"/>
          <w:szCs w:val="20"/>
          <w:color w:val="auto"/>
        </w:rPr>
      </w:pPr>
      <w:r>
        <w:rPr>
          <w:rFonts w:ascii="Arial" w:cs="Arial" w:eastAsia="Arial" w:hAnsi="Arial"/>
          <w:sz w:val="20"/>
          <w:szCs w:val="20"/>
          <w:color w:val="auto"/>
        </w:rPr>
        <w:t>Liens on the capital stock or other equity interests of Material Subsidiaries granted to the Administrative Agent, (b) the issuance, sale and transfer to any person of any shares of capital stock of a Material Subsidiary solely for the purpose of</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03" w:name="page104"/>
    <w:bookmarkEnd w:id="103"/>
    <w:p>
      <w:pPr>
        <w:ind w:left="200" w:right="219"/>
        <w:spacing w:after="0" w:line="266" w:lineRule="auto"/>
        <w:rPr>
          <w:sz w:val="20"/>
          <w:szCs w:val="20"/>
          <w:color w:val="auto"/>
        </w:rPr>
      </w:pPr>
      <w:r>
        <w:rPr>
          <w:rFonts w:ascii="Arial" w:cs="Arial" w:eastAsia="Arial" w:hAnsi="Arial"/>
          <w:sz w:val="20"/>
          <w:szCs w:val="20"/>
          <w:color w:val="auto"/>
        </w:rPr>
        <w:t>qualifying, and to the extent legally necessary to qualify, such person as a director of such Subsidiary, and (c) any transaction permitted by Section 8.9(b) above.</w:t>
      </w:r>
    </w:p>
    <w:p>
      <w:pPr>
        <w:spacing w:after="0" w:line="159" w:lineRule="exact"/>
        <w:rPr>
          <w:sz w:val="20"/>
          <w:szCs w:val="20"/>
          <w:color w:val="auto"/>
        </w:rPr>
      </w:pPr>
    </w:p>
    <w:p>
      <w:pPr>
        <w:ind w:left="200" w:right="219" w:firstLine="594"/>
        <w:spacing w:after="0" w:line="261"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u w:val="single" w:color="auto"/>
          <w:color w:val="auto"/>
        </w:rPr>
        <w:t>ERISA</w:t>
      </w:r>
      <w:r>
        <w:rPr>
          <w:rFonts w:ascii="Arial" w:cs="Arial" w:eastAsia="Arial" w:hAnsi="Arial"/>
          <w:sz w:val="19"/>
          <w:szCs w:val="19"/>
          <w:i w:val="1"/>
          <w:iCs w:val="1"/>
          <w:color w:val="auto"/>
        </w:rPr>
        <w:t>.</w:t>
      </w:r>
      <w:r>
        <w:rPr>
          <w:rFonts w:ascii="Arial" w:cs="Arial" w:eastAsia="Arial" w:hAnsi="Arial"/>
          <w:sz w:val="19"/>
          <w:szCs w:val="19"/>
          <w:color w:val="auto"/>
        </w:rPr>
        <w:t xml:space="preserve"> 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Property.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8.12.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75" w:lineRule="auto"/>
        <w:tabs>
          <w:tab w:leader="none" w:pos="198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Borrower shall, and shall cause each Subsidiary to, comply in all material respects with the requirements of all federal, state, and local laws, rules, regulations, ordinances and orders applicable to or pertaining to its Property or business operations, where any such non-compliance, individually or in the aggregate, could reasonably be expected to have a Material Adverse Effect.</w:t>
      </w:r>
    </w:p>
    <w:p>
      <w:pPr>
        <w:spacing w:after="0" w:line="140" w:lineRule="exact"/>
        <w:rPr>
          <w:rFonts w:ascii="Arial" w:cs="Arial" w:eastAsia="Arial" w:hAnsi="Arial"/>
          <w:sz w:val="18"/>
          <w:szCs w:val="18"/>
          <w:color w:val="auto"/>
        </w:rPr>
      </w:pPr>
    </w:p>
    <w:p>
      <w:pPr>
        <w:jc w:val="both"/>
        <w:ind w:left="200" w:right="219" w:firstLine="1190"/>
        <w:spacing w:after="0" w:line="260" w:lineRule="auto"/>
        <w:tabs>
          <w:tab w:leader="none" w:pos="198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w:t>
      </w:r>
    </w:p>
    <w:p>
      <w:pPr>
        <w:spacing w:after="0" w:line="2" w:lineRule="exact"/>
        <w:rPr>
          <w:rFonts w:ascii="Arial" w:cs="Arial" w:eastAsia="Arial" w:hAnsi="Arial"/>
          <w:sz w:val="18"/>
          <w:szCs w:val="18"/>
          <w:color w:val="auto"/>
        </w:rPr>
      </w:pPr>
    </w:p>
    <w:p>
      <w:pPr>
        <w:jc w:val="both"/>
        <w:ind w:left="200" w:right="219" w:firstLine="2"/>
        <w:spacing w:after="0" w:line="246" w:lineRule="auto"/>
        <w:tabs>
          <w:tab w:leader="none" w:pos="493" w:val="left"/>
        </w:tabs>
        <w:numPr>
          <w:ilvl w:val="0"/>
          <w:numId w:val="82"/>
        </w:numPr>
        <w:rPr>
          <w:rFonts w:ascii="Arial" w:cs="Arial" w:eastAsia="Arial" w:hAnsi="Arial"/>
          <w:sz w:val="19"/>
          <w:szCs w:val="19"/>
          <w:color w:val="auto"/>
        </w:rPr>
      </w:pPr>
      <w:r>
        <w:rPr>
          <w:rFonts w:ascii="Arial" w:cs="Arial" w:eastAsia="Arial" w:hAnsi="Arial"/>
          <w:sz w:val="19"/>
          <w:szCs w:val="19"/>
          <w:color w:val="auto"/>
        </w:rPr>
        <w:t>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t>arising  pursuant  to  any  (x)  Release,  threatened  Release  or  disposal  of  a  Hazardous  Material  or</w:t>
      </w:r>
    </w:p>
    <w:p>
      <w:pPr>
        <w:spacing w:after="0" w:line="32" w:lineRule="exact"/>
        <w:rPr>
          <w:sz w:val="20"/>
          <w:szCs w:val="20"/>
          <w:color w:val="auto"/>
        </w:rPr>
      </w:pPr>
    </w:p>
    <w:p>
      <w:pPr>
        <w:jc w:val="both"/>
        <w:ind w:left="200" w:right="219" w:firstLine="2"/>
        <w:spacing w:after="0" w:line="261" w:lineRule="auto"/>
        <w:tabs>
          <w:tab w:leader="none" w:pos="4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8.13.  </w:t>
      </w:r>
      <w:r>
        <w:rPr>
          <w:rFonts w:ascii="Arial" w:cs="Arial" w:eastAsia="Arial" w:hAnsi="Arial"/>
          <w:sz w:val="20"/>
          <w:szCs w:val="20"/>
          <w:u w:val="single" w:color="auto"/>
          <w:color w:val="auto"/>
        </w:rPr>
        <w:t>Compliance with OFAC Sanctions Programs and Anti-Corruption Laws</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83" w:lineRule="auto"/>
        <w:tabs>
          <w:tab w:leader="none" w:pos="198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spacing w:after="0" w:line="134" w:lineRule="exact"/>
        <w:rPr>
          <w:rFonts w:ascii="Arial" w:cs="Arial" w:eastAsia="Arial" w:hAnsi="Arial"/>
          <w:sz w:val="18"/>
          <w:szCs w:val="18"/>
          <w:color w:val="auto"/>
        </w:rPr>
      </w:pPr>
    </w:p>
    <w:p>
      <w:pPr>
        <w:jc w:val="both"/>
        <w:ind w:left="200" w:right="219" w:firstLine="1190"/>
        <w:spacing w:after="0" w:line="256" w:lineRule="auto"/>
        <w:tabs>
          <w:tab w:leader="none" w:pos="1982"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w:t>
      </w:r>
    </w:p>
    <w:p>
      <w:pPr>
        <w:spacing w:after="0" w:line="156" w:lineRule="exact"/>
        <w:rPr>
          <w:rFonts w:ascii="Arial" w:cs="Arial" w:eastAsia="Arial" w:hAnsi="Arial"/>
          <w:sz w:val="19"/>
          <w:szCs w:val="19"/>
          <w:color w:val="auto"/>
        </w:rPr>
      </w:pPr>
    </w:p>
    <w:p>
      <w:pPr>
        <w:jc w:val="both"/>
        <w:ind w:left="200" w:right="219" w:firstLine="1190"/>
        <w:spacing w:after="0" w:line="247" w:lineRule="auto"/>
        <w:tabs>
          <w:tab w:leader="none" w:pos="198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If a Responsible Officer of the Borrower obtains actual knowledge or receives any written notice that the Borrower, any Subsidiary of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w:t>
      </w:r>
      <w:r>
        <w:rPr>
          <w:rFonts w:ascii="Arial" w:cs="Arial" w:eastAsia="Arial" w:hAnsi="Arial"/>
          <w:sz w:val="19"/>
          <w:szCs w:val="19"/>
          <w:i w:val="1"/>
          <w:iCs w:val="1"/>
          <w:color w:val="auto"/>
        </w:rPr>
        <w:t>“OFAC Event”</w:t>
      </w:r>
      <w:r>
        <w:rPr>
          <w:rFonts w:ascii="Arial" w:cs="Arial" w:eastAsia="Arial" w:hAnsi="Arial"/>
          <w:sz w:val="19"/>
          <w:szCs w:val="19"/>
          <w:color w:val="auto"/>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spacing w:after="0" w:line="170" w:lineRule="exact"/>
        <w:rPr>
          <w:rFonts w:ascii="Arial" w:cs="Arial" w:eastAsia="Arial" w:hAnsi="Arial"/>
          <w:sz w:val="19"/>
          <w:szCs w:val="19"/>
          <w:color w:val="auto"/>
        </w:rPr>
      </w:pPr>
    </w:p>
    <w:p>
      <w:pPr>
        <w:jc w:val="both"/>
        <w:ind w:left="200" w:right="219" w:firstLine="1190"/>
        <w:spacing w:after="0" w:line="239" w:lineRule="auto"/>
        <w:tabs>
          <w:tab w:leader="none" w:pos="1982" w:val="left"/>
        </w:tabs>
        <w:numPr>
          <w:ilvl w:val="0"/>
          <w:numId w:val="84"/>
        </w:numPr>
        <w:rPr>
          <w:rFonts w:ascii="Arial" w:cs="Arial" w:eastAsia="Arial" w:hAnsi="Arial"/>
          <w:sz w:val="20"/>
          <w:szCs w:val="20"/>
          <w:color w:val="auto"/>
        </w:rPr>
      </w:pPr>
      <w:r>
        <w:rPr>
          <w:rFonts w:ascii="Arial" w:cs="Arial" w:eastAsia="Arial" w:hAnsi="Arial"/>
          <w:sz w:val="20"/>
          <w:szCs w:val="20"/>
          <w:color w:val="auto"/>
        </w:rPr>
        <w:t>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5" w:name="page106"/>
    <w:bookmarkEnd w:id="105"/>
    <w:p>
      <w:pPr>
        <w:jc w:val="both"/>
        <w:ind w:left="200" w:right="219"/>
        <w:spacing w:after="0" w:line="262" w:lineRule="auto"/>
        <w:rPr>
          <w:sz w:val="20"/>
          <w:szCs w:val="20"/>
          <w:color w:val="auto"/>
        </w:rPr>
      </w:pPr>
      <w:r>
        <w:rPr>
          <w:rFonts w:ascii="Arial" w:cs="Arial" w:eastAsia="Arial" w:hAnsi="Arial"/>
          <w:sz w:val="19"/>
          <w:szCs w:val="19"/>
          <w:color w:val="auto"/>
        </w:rPr>
        <w:t>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spacing w:after="0" w:line="151" w:lineRule="exact"/>
        <w:rPr>
          <w:sz w:val="20"/>
          <w:szCs w:val="20"/>
          <w:color w:val="auto"/>
        </w:rPr>
      </w:pPr>
    </w:p>
    <w:p>
      <w:pPr>
        <w:ind w:left="200" w:right="219" w:firstLine="1190"/>
        <w:spacing w:after="0" w:line="253" w:lineRule="auto"/>
        <w:tabs>
          <w:tab w:leader="none" w:pos="19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Borrower will not, nor will it permit any Subsidiary to, violate any Anti-Corruption Law in any material respect.</w:t>
      </w:r>
    </w:p>
    <w:p>
      <w:pPr>
        <w:spacing w:after="0" w:line="158"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85"/>
        </w:numPr>
        <w:rPr>
          <w:rFonts w:ascii="Arial" w:cs="Arial" w:eastAsia="Arial" w:hAnsi="Arial"/>
          <w:sz w:val="20"/>
          <w:szCs w:val="20"/>
          <w:color w:val="auto"/>
        </w:rPr>
      </w:pPr>
      <w:r>
        <w:rPr>
          <w:rFonts w:ascii="Arial" w:cs="Arial" w:eastAsia="Arial" w:hAnsi="Arial"/>
          <w:sz w:val="20"/>
          <w:szCs w:val="20"/>
          <w:color w:val="auto"/>
        </w:rPr>
        <w:t>Borrower and each Subsidiary will maintain in effect policies and procedures designed to ensure compliance by such Persons, their Subsidiaries, and their respective directors, officers, employees, and agents with applicable Anti-Corruption Laws.</w:t>
      </w:r>
    </w:p>
    <w:p>
      <w:pPr>
        <w:spacing w:after="0" w:line="180"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color w:val="auto"/>
        </w:rPr>
        <w:t xml:space="preserve">Section 8.14. </w:t>
      </w:r>
      <w:r>
        <w:rPr>
          <w:rFonts w:ascii="Arial" w:cs="Arial" w:eastAsia="Arial" w:hAnsi="Arial"/>
          <w:sz w:val="19"/>
          <w:szCs w:val="19"/>
          <w:u w:val="single" w:color="auto"/>
          <w:color w:val="auto"/>
        </w:rPr>
        <w:t>Burdensome Contracts With Affiliates</w:t>
      </w:r>
      <w:r>
        <w:rPr>
          <w:rFonts w:ascii="Arial" w:cs="Arial" w:eastAsia="Arial" w:hAnsi="Arial"/>
          <w:sz w:val="19"/>
          <w:szCs w:val="19"/>
          <w:i w:val="1"/>
          <w:iCs w:val="1"/>
          <w:color w:val="auto"/>
        </w:rPr>
        <w:t>.</w:t>
      </w:r>
      <w:r>
        <w:rPr>
          <w:rFonts w:ascii="Arial" w:cs="Arial" w:eastAsia="Arial" w:hAnsi="Arial"/>
          <w:sz w:val="19"/>
          <w:szCs w:val="19"/>
          <w:color w:val="auto"/>
        </w:rPr>
        <w:t xml:space="preserve"> Except (a) compensation, bonus and benefit arrangements with employees, officers and directors approved by Parent’s board of directors or committee thereof, (b) transactions permitted by Section 8.9 hereof, (c) transactions in the ordinary course of business of the Borrower, Parent or its Subsidiaries or (d) transactions approved by the Parent’s board of directors and reasonably acceptable to the Administrative Agent, the Borrower shall not, nor shall it permit Parent or any Subsidiary to, enter into any contract, agreement or business arrangement with any of its Affiliates on terms and conditions which are less favorable to the Borrower, Parent or such Subsidiary than would be usual and customary in similar contracts, agreements or business arrangements between Persons not affiliated with each other.</w:t>
      </w:r>
    </w:p>
    <w:p>
      <w:pPr>
        <w:spacing w:after="0" w:line="168" w:lineRule="exact"/>
        <w:rPr>
          <w:sz w:val="20"/>
          <w:szCs w:val="20"/>
          <w:color w:val="auto"/>
        </w:rPr>
      </w:pPr>
    </w:p>
    <w:p>
      <w:pPr>
        <w:jc w:val="both"/>
        <w:ind w:left="200" w:right="219" w:firstLine="594"/>
        <w:spacing w:after="0" w:line="256" w:lineRule="auto"/>
        <w:rPr>
          <w:sz w:val="20"/>
          <w:szCs w:val="20"/>
          <w:color w:val="auto"/>
        </w:rPr>
      </w:pPr>
      <w:r>
        <w:rPr>
          <w:rFonts w:ascii="Arial" w:cs="Arial" w:eastAsia="Arial" w:hAnsi="Arial"/>
          <w:sz w:val="20"/>
          <w:szCs w:val="20"/>
          <w:color w:val="auto"/>
        </w:rPr>
        <w:t xml:space="preserve">Section 8.15. </w:t>
      </w:r>
      <w:r>
        <w:rPr>
          <w:rFonts w:ascii="Arial" w:cs="Arial" w:eastAsia="Arial" w:hAnsi="Arial"/>
          <w:sz w:val="20"/>
          <w:szCs w:val="20"/>
          <w:u w:val="single" w:color="auto"/>
          <w:color w:val="auto"/>
        </w:rPr>
        <w:t>No Changes in Fiscal Year</w:t>
      </w:r>
      <w:r>
        <w:rPr>
          <w:rFonts w:ascii="Arial" w:cs="Arial" w:eastAsia="Arial" w:hAnsi="Arial"/>
          <w:sz w:val="20"/>
          <w:szCs w:val="20"/>
          <w:i w:val="1"/>
          <w:iCs w:val="1"/>
          <w:color w:val="auto"/>
        </w:rPr>
        <w:t>.</w:t>
      </w:r>
      <w:r>
        <w:rPr>
          <w:rFonts w:ascii="Arial" w:cs="Arial" w:eastAsia="Arial" w:hAnsi="Arial"/>
          <w:sz w:val="20"/>
          <w:szCs w:val="20"/>
          <w:color w:val="auto"/>
        </w:rPr>
        <w:t xml:space="preserve"> The Fiscal Year of the Parent and its Subsidiaries ends on December 31 of each year; and the Borrower shall not, nor shall it permit Parent or any Subsidiary to, change its Fiscal Year from its present basis.</w:t>
      </w:r>
    </w:p>
    <w:p>
      <w:pPr>
        <w:spacing w:after="0" w:line="168" w:lineRule="exact"/>
        <w:rPr>
          <w:sz w:val="20"/>
          <w:szCs w:val="20"/>
          <w:color w:val="auto"/>
        </w:rPr>
      </w:pPr>
    </w:p>
    <w:p>
      <w:pPr>
        <w:jc w:val="both"/>
        <w:ind w:left="200" w:right="219" w:firstLine="594"/>
        <w:spacing w:after="0" w:line="256" w:lineRule="auto"/>
        <w:rPr>
          <w:sz w:val="20"/>
          <w:szCs w:val="20"/>
          <w:color w:val="auto"/>
        </w:rPr>
      </w:pPr>
      <w:r>
        <w:rPr>
          <w:rFonts w:ascii="Arial" w:cs="Arial" w:eastAsia="Arial" w:hAnsi="Arial"/>
          <w:sz w:val="20"/>
          <w:szCs w:val="20"/>
          <w:color w:val="auto"/>
        </w:rPr>
        <w:t xml:space="preserve">Section 8.16. </w:t>
      </w:r>
      <w:r>
        <w:rPr>
          <w:rFonts w:ascii="Arial" w:cs="Arial" w:eastAsia="Arial" w:hAnsi="Arial"/>
          <w:sz w:val="20"/>
          <w:szCs w:val="20"/>
          <w:u w:val="single" w:color="auto"/>
          <w:color w:val="auto"/>
        </w:rPr>
        <w:t>Formation of Subsidiaries</w:t>
      </w:r>
      <w:r>
        <w:rPr>
          <w:rFonts w:ascii="Arial" w:cs="Arial" w:eastAsia="Arial" w:hAnsi="Arial"/>
          <w:sz w:val="20"/>
          <w:szCs w:val="20"/>
          <w:i w:val="1"/>
          <w:iCs w:val="1"/>
          <w:color w:val="auto"/>
        </w:rPr>
        <w:t>.</w:t>
      </w:r>
      <w:r>
        <w:rPr>
          <w:rFonts w:ascii="Arial" w:cs="Arial" w:eastAsia="Arial" w:hAnsi="Arial"/>
          <w:sz w:val="20"/>
          <w:szCs w:val="20"/>
          <w:color w:val="auto"/>
        </w:rPr>
        <w:t xml:space="preserve"> Promptly upon the formation or acquisition of any Material Subsidiary, the Borrower shall provide the Administrative Agent and the Lenders notice thereof and timely comply with the requirements of Sections 4.2 and 8.24 hereof.</w:t>
      </w:r>
    </w:p>
    <w:p>
      <w:pPr>
        <w:spacing w:after="0" w:line="168" w:lineRule="exact"/>
        <w:rPr>
          <w:sz w:val="20"/>
          <w:szCs w:val="20"/>
          <w:color w:val="auto"/>
        </w:rPr>
      </w:pPr>
    </w:p>
    <w:p>
      <w:pPr>
        <w:jc w:val="both"/>
        <w:ind w:left="200" w:right="219" w:firstLine="594"/>
        <w:spacing w:after="0" w:line="252" w:lineRule="auto"/>
        <w:rPr>
          <w:sz w:val="20"/>
          <w:szCs w:val="20"/>
          <w:color w:val="auto"/>
        </w:rPr>
      </w:pPr>
      <w:r>
        <w:rPr>
          <w:rFonts w:ascii="Arial" w:cs="Arial" w:eastAsia="Arial" w:hAnsi="Arial"/>
          <w:sz w:val="20"/>
          <w:szCs w:val="20"/>
          <w:color w:val="auto"/>
        </w:rPr>
        <w:t xml:space="preserve">Section 8.17. </w:t>
      </w:r>
      <w:r>
        <w:rPr>
          <w:rFonts w:ascii="Arial" w:cs="Arial" w:eastAsia="Arial" w:hAnsi="Arial"/>
          <w:sz w:val="20"/>
          <w:szCs w:val="20"/>
          <w:u w:val="single" w:color="auto"/>
          <w:color w:val="auto"/>
        </w:rPr>
        <w:t>Change in the Nature of Business</w:t>
      </w:r>
      <w:r>
        <w:rPr>
          <w:rFonts w:ascii="Arial" w:cs="Arial" w:eastAsia="Arial" w:hAnsi="Arial"/>
          <w:sz w:val="20"/>
          <w:szCs w:val="20"/>
          <w:i w:val="1"/>
          <w:iCs w:val="1"/>
          <w:color w:val="auto"/>
        </w:rPr>
        <w:t>.</w:t>
      </w:r>
      <w:r>
        <w:rPr>
          <w:rFonts w:ascii="Arial" w:cs="Arial" w:eastAsia="Arial" w:hAnsi="Arial"/>
          <w:sz w:val="20"/>
          <w:szCs w:val="20"/>
          <w:color w:val="auto"/>
        </w:rPr>
        <w:t xml:space="preserve"> 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Closing Date.</w:t>
      </w:r>
    </w:p>
    <w:p>
      <w:pPr>
        <w:spacing w:after="0" w:line="173" w:lineRule="exact"/>
        <w:rPr>
          <w:sz w:val="20"/>
          <w:szCs w:val="20"/>
          <w:color w:val="auto"/>
        </w:rPr>
      </w:pPr>
    </w:p>
    <w:p>
      <w:pPr>
        <w:jc w:val="both"/>
        <w:ind w:left="200" w:right="219" w:firstLine="594"/>
        <w:spacing w:after="0" w:line="266" w:lineRule="auto"/>
        <w:rPr>
          <w:sz w:val="20"/>
          <w:szCs w:val="20"/>
          <w:color w:val="auto"/>
        </w:rPr>
      </w:pPr>
      <w:r>
        <w:rPr>
          <w:rFonts w:ascii="Arial" w:cs="Arial" w:eastAsia="Arial" w:hAnsi="Arial"/>
          <w:sz w:val="20"/>
          <w:szCs w:val="20"/>
          <w:color w:val="auto"/>
        </w:rPr>
        <w:t xml:space="preserve">Section 8.18.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Borrower shall use the credit extended under this Agreement solely for the purposes set forth in, or otherwise permitted by, Section 6.4 hereof.</w:t>
      </w:r>
    </w:p>
    <w:p>
      <w:pPr>
        <w:spacing w:after="0" w:line="159"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color w:val="auto"/>
        </w:rPr>
        <w:t xml:space="preserve">Section 8.19. </w:t>
      </w:r>
      <w:r>
        <w:rPr>
          <w:rFonts w:ascii="Arial" w:cs="Arial" w:eastAsia="Arial" w:hAnsi="Arial"/>
          <w:sz w:val="19"/>
          <w:szCs w:val="19"/>
          <w:u w:val="single" w:color="auto"/>
          <w:color w:val="auto"/>
        </w:rPr>
        <w:t>No Restrictions</w:t>
      </w:r>
      <w:r>
        <w:rPr>
          <w:rFonts w:ascii="Arial" w:cs="Arial" w:eastAsia="Arial" w:hAnsi="Arial"/>
          <w:sz w:val="19"/>
          <w:szCs w:val="19"/>
          <w:color w:val="auto"/>
        </w:rPr>
        <w:t>.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Property to the Borrower or any other Subsidiary (other than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6" w:name="page107"/>
    <w:bookmarkEnd w:id="106"/>
    <w:p>
      <w:pPr>
        <w:jc w:val="both"/>
        <w:ind w:left="200" w:right="219"/>
        <w:spacing w:after="0" w:line="311" w:lineRule="auto"/>
        <w:rPr>
          <w:sz w:val="20"/>
          <w:szCs w:val="20"/>
          <w:color w:val="auto"/>
        </w:rPr>
      </w:pPr>
      <w:r>
        <w:rPr>
          <w:rFonts w:ascii="Arial" w:cs="Arial" w:eastAsia="Arial" w:hAnsi="Arial"/>
          <w:sz w:val="17"/>
          <w:szCs w:val="17"/>
          <w:color w:val="auto"/>
        </w:rPr>
        <w:t>limitations on transfers comparable to those in Section 8.9 in any documentation evidencing any Other Unsecured Indebtedness)</w:t>
      </w:r>
      <w:r>
        <w:rPr>
          <w:rFonts w:ascii="Arial" w:cs="Arial" w:eastAsia="Arial" w:hAnsi="Arial"/>
          <w:sz w:val="17"/>
          <w:szCs w:val="17"/>
          <w:i w:val="1"/>
          <w:iCs w:val="1"/>
          <w:color w:val="auto"/>
        </w:rPr>
        <w:t>; provided however, that</w:t>
      </w:r>
      <w:r>
        <w:rPr>
          <w:rFonts w:ascii="Arial" w:cs="Arial" w:eastAsia="Arial" w:hAnsi="Arial"/>
          <w:sz w:val="17"/>
          <w:szCs w:val="17"/>
          <w:color w:val="auto"/>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8.20.  </w:t>
      </w:r>
      <w:r>
        <w:rPr>
          <w:rFonts w:ascii="Arial" w:cs="Arial" w:eastAsia="Arial" w:hAnsi="Arial"/>
          <w:sz w:val="20"/>
          <w:szCs w:val="20"/>
          <w:u w:val="single" w:color="auto"/>
          <w:color w:val="auto"/>
        </w:rPr>
        <w:t>Financial Covenants</w:t>
      </w:r>
      <w:r>
        <w:rPr>
          <w:rFonts w:ascii="Arial" w:cs="Arial" w:eastAsia="Arial" w:hAnsi="Arial"/>
          <w:sz w:val="20"/>
          <w:szCs w:val="20"/>
          <w:i w:val="1"/>
          <w:iCs w:val="1"/>
          <w:color w:val="auto"/>
        </w:rPr>
        <w:t>.</w:t>
      </w:r>
    </w:p>
    <w:p>
      <w:pPr>
        <w:spacing w:after="0" w:line="191" w:lineRule="exact"/>
        <w:rPr>
          <w:sz w:val="20"/>
          <w:szCs w:val="20"/>
          <w:color w:val="auto"/>
        </w:rPr>
      </w:pPr>
    </w:p>
    <w:p>
      <w:pPr>
        <w:jc w:val="both"/>
        <w:ind w:left="200" w:right="219" w:firstLine="1190"/>
        <w:spacing w:after="0" w:line="243" w:lineRule="auto"/>
        <w:tabs>
          <w:tab w:leader="none" w:pos="198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Maximum Total Indebtedness to Total Asset Value Ratio</w:t>
      </w:r>
      <w:r>
        <w:rPr>
          <w:rFonts w:ascii="Arial" w:cs="Arial" w:eastAsia="Arial" w:hAnsi="Arial"/>
          <w:sz w:val="20"/>
          <w:szCs w:val="20"/>
          <w:color w:val="auto"/>
        </w:rPr>
        <w:t>. As of the last day of each Fiscal Quarter of the Borrower, the Borrower shall not permit the ratio of Total Indebtedness to Total Asset Value to be greater than 0.60 to 1.00.</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Maximum Secured Indebtedness to Total Asset Value Ratio</w:t>
      </w:r>
      <w:r>
        <w:rPr>
          <w:rFonts w:ascii="Arial" w:cs="Arial" w:eastAsia="Arial" w:hAnsi="Arial"/>
          <w:sz w:val="20"/>
          <w:szCs w:val="20"/>
          <w:color w:val="auto"/>
        </w:rPr>
        <w:t>. As of the last day of each Fiscal Quarter of the Borrower, the Borrower shall not permit the ratio of Secured Indebtedness to Total Asset Value to be greater than 0.40 to 1.00.</w:t>
      </w:r>
    </w:p>
    <w:p>
      <w:pPr>
        <w:spacing w:after="0" w:line="167" w:lineRule="exact"/>
        <w:rPr>
          <w:rFonts w:ascii="Arial" w:cs="Arial" w:eastAsia="Arial" w:hAnsi="Arial"/>
          <w:sz w:val="20"/>
          <w:szCs w:val="20"/>
          <w:color w:val="auto"/>
        </w:rPr>
      </w:pPr>
    </w:p>
    <w:p>
      <w:pPr>
        <w:jc w:val="both"/>
        <w:ind w:left="200" w:right="219" w:firstLine="1190"/>
        <w:spacing w:after="0" w:line="262" w:lineRule="auto"/>
        <w:tabs>
          <w:tab w:leader="none" w:pos="198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Minimum Adjusted EBITDA to Fixed Charges Ratio</w:t>
      </w:r>
      <w:r>
        <w:rPr>
          <w:rFonts w:ascii="Arial" w:cs="Arial" w:eastAsia="Arial" w:hAnsi="Arial"/>
          <w:sz w:val="19"/>
          <w:szCs w:val="19"/>
          <w:i w:val="1"/>
          <w:iCs w:val="1"/>
          <w:color w:val="auto"/>
        </w:rPr>
        <w:t>.</w:t>
      </w:r>
      <w:r>
        <w:rPr>
          <w:rFonts w:ascii="Arial" w:cs="Arial" w:eastAsia="Arial" w:hAnsi="Arial"/>
          <w:sz w:val="19"/>
          <w:szCs w:val="19"/>
          <w:color w:val="auto"/>
        </w:rPr>
        <w:t xml:space="preserve"> As of the last day of each Fiscal Quarter of the Borrower, the Borrower shall not permit the ratio of Adjusted EBITDA for the applicable Rolling Period to Fixed Charges for such Rolling Period to be less than 1.50 to 1.0.</w:t>
      </w:r>
    </w:p>
    <w:p>
      <w:pPr>
        <w:spacing w:after="0" w:line="150" w:lineRule="exact"/>
        <w:rPr>
          <w:rFonts w:ascii="Arial" w:cs="Arial" w:eastAsia="Arial" w:hAnsi="Arial"/>
          <w:sz w:val="19"/>
          <w:szCs w:val="19"/>
          <w:color w:val="auto"/>
        </w:rPr>
      </w:pPr>
    </w:p>
    <w:p>
      <w:pPr>
        <w:jc w:val="both"/>
        <w:ind w:left="200" w:right="219" w:firstLine="1190"/>
        <w:spacing w:after="0" w:line="243" w:lineRule="auto"/>
        <w:tabs>
          <w:tab w:leader="none" w:pos="198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Maximum Secured Recourse Indebtedness to Total Asset Value Ratio</w:t>
      </w:r>
      <w:r>
        <w:rPr>
          <w:rFonts w:ascii="Arial" w:cs="Arial" w:eastAsia="Arial" w:hAnsi="Arial"/>
          <w:sz w:val="20"/>
          <w:szCs w:val="20"/>
          <w:color w:val="auto"/>
        </w:rPr>
        <w:t>. As of the last day of each Fiscal Quarter of the Borrower, the Borrower shall not permit the ratio of Secured Recourse Indebtedness to Total Asset Value to be greater than 0.05 to 1.0.</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Maximum Unsecured Indebtedness to Borrowing Base Value Ratio</w:t>
      </w:r>
      <w:r>
        <w:rPr>
          <w:rFonts w:ascii="Arial" w:cs="Arial" w:eastAsia="Arial" w:hAnsi="Arial"/>
          <w:sz w:val="20"/>
          <w:szCs w:val="20"/>
          <w:color w:val="auto"/>
        </w:rPr>
        <w:t>. As of the last day of each Fiscal Quarter of the Borrower, the Borrower shall not permit the ratio of Unsecured Indebtedness to Borrowing Base Value to be greater than 0.60 to 1.00.</w:t>
      </w:r>
    </w:p>
    <w:p>
      <w:pPr>
        <w:spacing w:after="0" w:line="167" w:lineRule="exact"/>
        <w:rPr>
          <w:rFonts w:ascii="Arial" w:cs="Arial" w:eastAsia="Arial" w:hAnsi="Arial"/>
          <w:sz w:val="20"/>
          <w:szCs w:val="20"/>
          <w:color w:val="auto"/>
        </w:rPr>
      </w:pPr>
    </w:p>
    <w:p>
      <w:pPr>
        <w:jc w:val="both"/>
        <w:ind w:left="200" w:right="219" w:firstLine="1190"/>
        <w:spacing w:after="0" w:line="275" w:lineRule="auto"/>
        <w:tabs>
          <w:tab w:leader="none" w:pos="198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Maintenance of Net Worth</w:t>
      </w:r>
      <w:r>
        <w:rPr>
          <w:rFonts w:ascii="Arial" w:cs="Arial" w:eastAsia="Arial" w:hAnsi="Arial"/>
          <w:sz w:val="18"/>
          <w:szCs w:val="18"/>
          <w:color w:val="auto"/>
        </w:rPr>
        <w:t xml:space="preserve">. The Borrower shall, as of the last day of each Fiscal Quarter, maintain a Tangible Net Worth of not less than the sum of (a) $163,830,000,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75% of the aggregate net proceeds received by Parent or any of its Subsidiaries in connection with any offering of Stock or Stock Equivalents of the Borrower, Parent or the Subsidiaries since June 30, 2021.</w:t>
      </w:r>
    </w:p>
    <w:p>
      <w:pPr>
        <w:spacing w:after="0" w:line="153" w:lineRule="exact"/>
        <w:rPr>
          <w:sz w:val="20"/>
          <w:szCs w:val="20"/>
          <w:color w:val="auto"/>
        </w:rPr>
      </w:pPr>
    </w:p>
    <w:p>
      <w:pPr>
        <w:ind w:left="200" w:right="219" w:firstLine="594"/>
        <w:spacing w:after="0" w:line="282" w:lineRule="auto"/>
        <w:rPr>
          <w:sz w:val="20"/>
          <w:szCs w:val="20"/>
          <w:color w:val="auto"/>
        </w:rPr>
      </w:pPr>
      <w:r>
        <w:rPr>
          <w:rFonts w:ascii="Arial" w:cs="Arial" w:eastAsia="Arial" w:hAnsi="Arial"/>
          <w:sz w:val="18"/>
          <w:szCs w:val="18"/>
          <w:color w:val="auto"/>
        </w:rPr>
        <w:t xml:space="preserve">Section 8.21. </w:t>
      </w:r>
      <w:r>
        <w:rPr>
          <w:rFonts w:ascii="Arial" w:cs="Arial" w:eastAsia="Arial" w:hAnsi="Arial"/>
          <w:sz w:val="18"/>
          <w:szCs w:val="18"/>
          <w:u w:val="single" w:color="auto"/>
          <w:color w:val="auto"/>
        </w:rPr>
        <w:t>Borrowing Base Covenant</w:t>
      </w:r>
      <w:r>
        <w:rPr>
          <w:rFonts w:ascii="Arial" w:cs="Arial" w:eastAsia="Arial" w:hAnsi="Arial"/>
          <w:sz w:val="18"/>
          <w:szCs w:val="18"/>
          <w:color w:val="auto"/>
        </w:rPr>
        <w:t>. The Borrower shall cause the Eligible Properties in the Borrowing Base to at all times comply with the Borrowing Base Requirements (other than with respect to Eligible Properties that may exceed concentration limits but still be included in the Borrowing Base Value in compliance with the definition of Borrowing Base Requirements) and shall exclude from the calculation of Borrowing Base Value any portion of Property NOI or book value of any Eligible Properties attributable to any Eligible Properties that exceed the concentration limits set forth in the Borrowing Base Requirements.</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8.22.  </w:t>
      </w:r>
      <w:r>
        <w:rPr>
          <w:rFonts w:ascii="Arial" w:cs="Arial" w:eastAsia="Arial" w:hAnsi="Arial"/>
          <w:sz w:val="20"/>
          <w:szCs w:val="20"/>
          <w:u w:val="single" w:color="auto"/>
          <w:color w:val="auto"/>
        </w:rPr>
        <w:t>Electronic Delivery of Certain Information</w:t>
      </w:r>
      <w:r>
        <w:rPr>
          <w:rFonts w:ascii="Arial" w:cs="Arial" w:eastAsia="Arial" w:hAnsi="Arial"/>
          <w:sz w:val="20"/>
          <w:szCs w:val="20"/>
          <w:i w:val="1"/>
          <w:iCs w:val="1"/>
          <w:color w:val="auto"/>
        </w:rPr>
        <w:t>.</w:t>
      </w:r>
    </w:p>
    <w:p>
      <w:pPr>
        <w:spacing w:after="0" w:line="191" w:lineRule="exact"/>
        <w:rPr>
          <w:sz w:val="20"/>
          <w:szCs w:val="20"/>
          <w:color w:val="auto"/>
        </w:rPr>
      </w:pPr>
    </w:p>
    <w:p>
      <w:pPr>
        <w:jc w:val="both"/>
        <w:ind w:left="200" w:right="219" w:firstLine="1190"/>
        <w:spacing w:after="0" w:line="243" w:lineRule="auto"/>
        <w:tabs>
          <w:tab w:leader="none" w:pos="1982" w:val="left"/>
        </w:tabs>
        <w:numPr>
          <w:ilvl w:val="0"/>
          <w:numId w:val="87"/>
        </w:numPr>
        <w:rPr>
          <w:rFonts w:ascii="Arial" w:cs="Arial" w:eastAsia="Arial" w:hAnsi="Arial"/>
          <w:sz w:val="20"/>
          <w:szCs w:val="20"/>
          <w:color w:val="auto"/>
        </w:rPr>
      </w:pPr>
      <w:r>
        <w:rPr>
          <w:rFonts w:ascii="Arial" w:cs="Arial" w:eastAsia="Arial" w:hAnsi="Arial"/>
          <w:sz w:val="20"/>
          <w:szCs w:val="20"/>
          <w:color w:val="auto"/>
        </w:rPr>
        <w:t>Documents, including financial reports to be delivered pursuant to Section 8.5 hereof, required to be delivered pursuant to this Agreement may be delivered by electronic communication and delivery, including, the Internet, including the website maintained by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07" w:name="page108"/>
    <w:bookmarkEnd w:id="107"/>
    <w:p>
      <w:pPr>
        <w:jc w:val="both"/>
        <w:ind w:left="200" w:right="219"/>
        <w:spacing w:after="0" w:line="261" w:lineRule="auto"/>
        <w:rPr>
          <w:sz w:val="20"/>
          <w:szCs w:val="20"/>
          <w:color w:val="auto"/>
        </w:rPr>
      </w:pPr>
      <w:r>
        <w:rPr>
          <w:rFonts w:ascii="Arial" w:cs="Arial" w:eastAsia="Arial" w:hAnsi="Arial"/>
          <w:sz w:val="18"/>
          <w:szCs w:val="18"/>
          <w:color w:val="auto"/>
        </w:rPr>
        <w:t>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New York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spacing w:after="0" w:line="156" w:lineRule="exact"/>
        <w:rPr>
          <w:sz w:val="20"/>
          <w:szCs w:val="20"/>
          <w:color w:val="auto"/>
        </w:rPr>
      </w:pPr>
    </w:p>
    <w:p>
      <w:pPr>
        <w:jc w:val="both"/>
        <w:ind w:left="200" w:right="219" w:firstLine="1190"/>
        <w:spacing w:after="0" w:line="243" w:lineRule="auto"/>
        <w:tabs>
          <w:tab w:leader="none" w:pos="1982" w:val="left"/>
        </w:tabs>
        <w:numPr>
          <w:ilvl w:val="0"/>
          <w:numId w:val="88"/>
        </w:numPr>
        <w:rPr>
          <w:rFonts w:ascii="Arial" w:cs="Arial" w:eastAsia="Arial" w:hAnsi="Arial"/>
          <w:sz w:val="20"/>
          <w:szCs w:val="20"/>
          <w:color w:val="auto"/>
        </w:rPr>
      </w:pPr>
      <w:r>
        <w:rPr>
          <w:rFonts w:ascii="Arial" w:cs="Arial" w:eastAsia="Arial" w:hAnsi="Arial"/>
          <w:sz w:val="20"/>
          <w:szCs w:val="20"/>
          <w:color w:val="auto"/>
        </w:rPr>
        <w:t>Documents required to be delivered pursuant to Section 1 may be delivered electronically to a website provided for such purpose by the Administrative Agent pursuant to the procedures provided to the Borrower by the Administrative Agent.</w:t>
      </w:r>
    </w:p>
    <w:p>
      <w:pPr>
        <w:spacing w:after="0" w:line="167" w:lineRule="exact"/>
        <w:rPr>
          <w:rFonts w:ascii="Arial" w:cs="Arial" w:eastAsia="Arial" w:hAnsi="Arial"/>
          <w:sz w:val="20"/>
          <w:szCs w:val="20"/>
          <w:color w:val="auto"/>
        </w:rPr>
      </w:pPr>
    </w:p>
    <w:p>
      <w:pPr>
        <w:jc w:val="both"/>
        <w:ind w:left="200" w:right="219" w:firstLine="1190"/>
        <w:spacing w:after="0" w:line="260" w:lineRule="auto"/>
        <w:tabs>
          <w:tab w:leader="none" w:pos="21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Agreement and any document, amendment, approval, consent, information, notice, certificate, request, statement, disclosure or authorization related to this Agreement (each a “</w:t>
      </w:r>
      <w:r>
        <w:rPr>
          <w:rFonts w:ascii="Arial" w:cs="Arial" w:eastAsia="Arial" w:hAnsi="Arial"/>
          <w:sz w:val="18"/>
          <w:szCs w:val="18"/>
          <w:i w:val="1"/>
          <w:iCs w:val="1"/>
          <w:color w:val="auto"/>
        </w:rPr>
        <w:t>Communication</w:t>
      </w:r>
      <w:r>
        <w:rPr>
          <w:rFonts w:ascii="Arial" w:cs="Arial" w:eastAsia="Arial" w:hAnsi="Arial"/>
          <w:sz w:val="18"/>
          <w:szCs w:val="18"/>
          <w:color w:val="auto"/>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Arial" w:cs="Arial" w:eastAsia="Arial" w:hAnsi="Arial"/>
          <w:sz w:val="18"/>
          <w:szCs w:val="18"/>
          <w:i w:val="1"/>
          <w:iCs w:val="1"/>
          <w:color w:val="auto"/>
        </w:rPr>
        <w:t>Electronic Copy</w:t>
      </w:r>
      <w:r>
        <w:rPr>
          <w:rFonts w:ascii="Arial" w:cs="Arial" w:eastAsia="Arial" w:hAnsi="Arial"/>
          <w:sz w:val="18"/>
          <w:szCs w:val="18"/>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8" w:name="page109"/>
    <w:bookmarkEnd w:id="108"/>
    <w:p>
      <w:pPr>
        <w:jc w:val="both"/>
        <w:ind w:left="200" w:right="219"/>
        <w:spacing w:after="0" w:line="264" w:lineRule="auto"/>
        <w:rPr>
          <w:sz w:val="20"/>
          <w:szCs w:val="20"/>
          <w:color w:val="auto"/>
        </w:rPr>
      </w:pPr>
      <w:r>
        <w:rPr>
          <w:rFonts w:ascii="Arial" w:cs="Arial" w:eastAsia="Arial" w:hAnsi="Arial"/>
          <w:sz w:val="18"/>
          <w:szCs w:val="18"/>
          <w:color w:val="auto"/>
        </w:rPr>
        <w:t>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66" w:lineRule="exact"/>
        <w:rPr>
          <w:sz w:val="20"/>
          <w:szCs w:val="20"/>
          <w:color w:val="auto"/>
        </w:rPr>
      </w:pPr>
    </w:p>
    <w:p>
      <w:pPr>
        <w:ind w:left="200" w:right="559" w:firstLine="594"/>
        <w:spacing w:after="0" w:line="267" w:lineRule="auto"/>
        <w:rPr>
          <w:sz w:val="20"/>
          <w:szCs w:val="20"/>
          <w:color w:val="auto"/>
        </w:rPr>
      </w:pPr>
      <w:r>
        <w:rPr>
          <w:rFonts w:ascii="Arial" w:cs="Arial" w:eastAsia="Arial" w:hAnsi="Arial"/>
          <w:sz w:val="19"/>
          <w:szCs w:val="19"/>
          <w:color w:val="auto"/>
        </w:rPr>
        <w:t xml:space="preserve">Section 8.23. </w:t>
      </w:r>
      <w:r>
        <w:rPr>
          <w:rFonts w:ascii="Arial" w:cs="Arial" w:eastAsia="Arial" w:hAnsi="Arial"/>
          <w:sz w:val="19"/>
          <w:szCs w:val="19"/>
          <w:u w:val="single" w:color="auto"/>
          <w:color w:val="auto"/>
        </w:rPr>
        <w:t>Evidence of Payment of Florida Intangibles Tax</w:t>
      </w:r>
      <w:r>
        <w:rPr>
          <w:rFonts w:ascii="Arial" w:cs="Arial" w:eastAsia="Arial" w:hAnsi="Arial"/>
          <w:sz w:val="19"/>
          <w:szCs w:val="19"/>
          <w:i w:val="1"/>
          <w:iCs w:val="1"/>
          <w:color w:val="auto"/>
        </w:rPr>
        <w:t>.</w:t>
      </w:r>
      <w:r>
        <w:rPr>
          <w:rFonts w:ascii="Arial" w:cs="Arial" w:eastAsia="Arial" w:hAnsi="Arial"/>
          <w:sz w:val="19"/>
          <w:szCs w:val="19"/>
          <w:color w:val="auto"/>
        </w:rPr>
        <w:t xml:space="preserve"> Within thirty (30) days after the Closing Date (or such longer time period consented to in writing by the Administrative Agent, in its reasonable discretion), the Borrower shall deliver evidence reasonably acceptable to the Administrative Agent of Borrower’s payment in full of all documentary stamp tax required to be paid by the State of Florida with respect to the Loans, if any.</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8.24.  </w:t>
      </w:r>
      <w:r>
        <w:rPr>
          <w:rFonts w:ascii="Arial" w:cs="Arial" w:eastAsia="Arial" w:hAnsi="Arial"/>
          <w:sz w:val="20"/>
          <w:szCs w:val="20"/>
          <w:u w:val="single" w:color="auto"/>
          <w:color w:val="auto"/>
        </w:rPr>
        <w:t>REIT Status</w:t>
      </w:r>
      <w:r>
        <w:rPr>
          <w:rFonts w:ascii="Arial" w:cs="Arial" w:eastAsia="Arial" w:hAnsi="Arial"/>
          <w:sz w:val="20"/>
          <w:szCs w:val="20"/>
          <w:i w:val="1"/>
          <w:iCs w:val="1"/>
          <w:color w:val="auto"/>
        </w:rPr>
        <w:t>.</w:t>
      </w:r>
      <w:r>
        <w:rPr>
          <w:rFonts w:ascii="Arial" w:cs="Arial" w:eastAsia="Arial" w:hAnsi="Arial"/>
          <w:sz w:val="20"/>
          <w:szCs w:val="20"/>
          <w:color w:val="auto"/>
        </w:rPr>
        <w:t>Parent shall maintain its status as a REIT.</w:t>
      </w:r>
    </w:p>
    <w:p>
      <w:pPr>
        <w:spacing w:after="0" w:line="203" w:lineRule="exact"/>
        <w:rPr>
          <w:sz w:val="20"/>
          <w:szCs w:val="20"/>
          <w:color w:val="auto"/>
        </w:rPr>
      </w:pPr>
    </w:p>
    <w:p>
      <w:pPr>
        <w:ind w:left="200" w:right="379" w:firstLine="594"/>
        <w:spacing w:after="0" w:line="266" w:lineRule="auto"/>
        <w:rPr>
          <w:sz w:val="20"/>
          <w:szCs w:val="20"/>
          <w:color w:val="auto"/>
        </w:rPr>
      </w:pPr>
      <w:r>
        <w:rPr>
          <w:rFonts w:ascii="Arial" w:cs="Arial" w:eastAsia="Arial" w:hAnsi="Arial"/>
          <w:sz w:val="20"/>
          <w:szCs w:val="20"/>
          <w:color w:val="auto"/>
        </w:rPr>
        <w:t xml:space="preserve">Section 8.25. </w:t>
      </w:r>
      <w:r>
        <w:rPr>
          <w:rFonts w:ascii="Arial" w:cs="Arial" w:eastAsia="Arial" w:hAnsi="Arial"/>
          <w:sz w:val="20"/>
          <w:szCs w:val="20"/>
          <w:u w:val="single" w:color="auto"/>
          <w:color w:val="auto"/>
        </w:rPr>
        <w:t>Restricted Payments</w:t>
      </w:r>
      <w:r>
        <w:rPr>
          <w:rFonts w:ascii="Arial" w:cs="Arial" w:eastAsia="Arial" w:hAnsi="Arial"/>
          <w:sz w:val="20"/>
          <w:szCs w:val="20"/>
          <w:i w:val="1"/>
          <w:iCs w:val="1"/>
          <w:color w:val="auto"/>
        </w:rPr>
        <w:t>.</w:t>
      </w:r>
      <w:r>
        <w:rPr>
          <w:rFonts w:ascii="Arial" w:cs="Arial" w:eastAsia="Arial" w:hAnsi="Arial"/>
          <w:sz w:val="20"/>
          <w:szCs w:val="20"/>
          <w:color w:val="auto"/>
        </w:rPr>
        <w:t xml:space="preserve"> The Borrower shall not, nor shall Parent or any Subsidiary to, declare or make any Restricted Payment;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w:t>
      </w:r>
    </w:p>
    <w:p>
      <w:pPr>
        <w:spacing w:after="0" w:line="146" w:lineRule="exact"/>
        <w:rPr>
          <w:sz w:val="20"/>
          <w:szCs w:val="20"/>
          <w:color w:val="auto"/>
        </w:rPr>
      </w:pPr>
    </w:p>
    <w:p>
      <w:pPr>
        <w:jc w:val="both"/>
        <w:ind w:left="200" w:right="219" w:firstLine="1190"/>
        <w:spacing w:after="0" w:line="235" w:lineRule="auto"/>
        <w:tabs>
          <w:tab w:leader="none" w:pos="1982" w:val="left"/>
        </w:tabs>
        <w:numPr>
          <w:ilvl w:val="0"/>
          <w:numId w:val="89"/>
        </w:numPr>
        <w:rPr>
          <w:rFonts w:ascii="Arial" w:cs="Arial" w:eastAsia="Arial" w:hAnsi="Arial"/>
          <w:sz w:val="20"/>
          <w:szCs w:val="20"/>
          <w:color w:val="auto"/>
        </w:rPr>
      </w:pPr>
      <w:r>
        <w:rPr>
          <w:rFonts w:ascii="Arial" w:cs="Arial" w:eastAsia="Arial" w:hAnsi="Arial"/>
          <w:sz w:val="20"/>
          <w:szCs w:val="20"/>
          <w:color w:val="auto"/>
        </w:rPr>
        <w:t>(i) Parent may declare or make cash distributions to its equity holders in an aggregate amount not to exceed the greater of (x) ninety-five percent (95%) of Parent’s Adjusted FFO for each Fiscal Quarter ending thereafter, or (y) the amount necessary for Parent to be able to make distributions required to maintain its status as a REIT and to avoid the imposition of any federal or state income tax, and to avoid the imposition of the excise tax described by Section 4981 of the Code, in each case on Parent; provided further that, in either case, (A) during the continuance of an Event of Default, Restricted Payments made pursuant to clause (a) shall not exceed the amounts described in clause (y), and (B) following a Bankruptcy Event with respect to the Borrower or the acceleration of the Obligations, Parent shall not make any cash distributions;</w:t>
      </w:r>
    </w:p>
    <w:p>
      <w:pPr>
        <w:spacing w:after="0" w:line="176" w:lineRule="exact"/>
        <w:rPr>
          <w:rFonts w:ascii="Arial" w:cs="Arial" w:eastAsia="Arial" w:hAnsi="Arial"/>
          <w:sz w:val="20"/>
          <w:szCs w:val="20"/>
          <w:color w:val="auto"/>
        </w:rPr>
      </w:pPr>
    </w:p>
    <w:p>
      <w:pPr>
        <w:ind w:left="200" w:right="219" w:firstLine="1190"/>
        <w:spacing w:after="0" w:line="279" w:lineRule="auto"/>
        <w:tabs>
          <w:tab w:leader="none" w:pos="198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Borrower may make Restricted Payments ratably to the holders of its Equity Interests to permit Parent to make the Restricted Payments permitted under clause (a) above;</w:t>
      </w:r>
    </w:p>
    <w:p>
      <w:pPr>
        <w:spacing w:after="0" w:line="135" w:lineRule="exact"/>
        <w:rPr>
          <w:rFonts w:ascii="Arial" w:cs="Arial" w:eastAsia="Arial" w:hAnsi="Arial"/>
          <w:sz w:val="19"/>
          <w:szCs w:val="19"/>
          <w:color w:val="auto"/>
        </w:rPr>
      </w:pPr>
    </w:p>
    <w:p>
      <w:pPr>
        <w:ind w:left="1980" w:hanging="590"/>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Subsidiary may make Restricted Payments ratably to the holders of its Equity</w:t>
      </w:r>
    </w:p>
    <w:p>
      <w:pPr>
        <w:spacing w:after="0" w:line="3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0"/>
          <w:szCs w:val="20"/>
          <w:color w:val="auto"/>
        </w:rPr>
        <w:t>Interests;</w:t>
      </w:r>
    </w:p>
    <w:p>
      <w:pPr>
        <w:spacing w:after="0" w:line="174" w:lineRule="exact"/>
        <w:rPr>
          <w:rFonts w:ascii="Arial" w:cs="Arial" w:eastAsia="Arial" w:hAnsi="Arial"/>
          <w:sz w:val="18"/>
          <w:szCs w:val="18"/>
          <w:color w:val="auto"/>
        </w:rPr>
      </w:pPr>
    </w:p>
    <w:p>
      <w:pPr>
        <w:jc w:val="both"/>
        <w:ind w:left="200" w:right="219" w:firstLine="1190"/>
        <w:spacing w:after="0" w:line="237" w:lineRule="auto"/>
        <w:tabs>
          <w:tab w:leader="none" w:pos="1982" w:val="left"/>
        </w:tabs>
        <w:numPr>
          <w:ilvl w:val="0"/>
          <w:numId w:val="89"/>
        </w:numPr>
        <w:rPr>
          <w:rFonts w:ascii="Arial" w:cs="Arial" w:eastAsia="Arial" w:hAnsi="Arial"/>
          <w:sz w:val="20"/>
          <w:szCs w:val="20"/>
          <w:color w:val="auto"/>
        </w:rPr>
      </w:pPr>
      <w:r>
        <w:rPr>
          <w:rFonts w:ascii="Arial" w:cs="Arial" w:eastAsia="Arial" w:hAnsi="Arial"/>
          <w:sz w:val="20"/>
          <w:szCs w:val="20"/>
          <w:color w:val="auto"/>
        </w:rPr>
        <w:t>Parent, 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w:t>
      </w:r>
    </w:p>
    <w:p>
      <w:pPr>
        <w:spacing w:after="0" w:line="172"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89"/>
        </w:numPr>
        <w:rPr>
          <w:rFonts w:ascii="Arial" w:cs="Arial" w:eastAsia="Arial" w:hAnsi="Arial"/>
          <w:sz w:val="20"/>
          <w:szCs w:val="20"/>
          <w:color w:val="auto"/>
        </w:rPr>
      </w:pPr>
      <w:r>
        <w:rPr>
          <w:rFonts w:ascii="Arial" w:cs="Arial" w:eastAsia="Arial" w:hAnsi="Arial"/>
          <w:sz w:val="20"/>
          <w:szCs w:val="20"/>
          <w:color w:val="auto"/>
        </w:rPr>
        <w:t>Parent, the Borrower and each Guarantor may make cash payments in lieu of the issuance of fractional shares representing insignificant interests in connection with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09" w:name="page110"/>
    <w:bookmarkEnd w:id="109"/>
    <w:p>
      <w:pPr>
        <w:ind w:left="200" w:right="219"/>
        <w:spacing w:after="0" w:line="253" w:lineRule="auto"/>
        <w:rPr>
          <w:sz w:val="20"/>
          <w:szCs w:val="20"/>
          <w:color w:val="auto"/>
        </w:rPr>
      </w:pPr>
      <w:r>
        <w:rPr>
          <w:rFonts w:ascii="Arial" w:cs="Arial" w:eastAsia="Arial" w:hAnsi="Arial"/>
          <w:sz w:val="20"/>
          <w:szCs w:val="20"/>
          <w:color w:val="auto"/>
        </w:rPr>
        <w:t>exercise of warrants, options or other securities convertible into or exchangeable for equity interests of Parent, the Borrower or any Subsidiary;</w:t>
      </w:r>
    </w:p>
    <w:p>
      <w:pPr>
        <w:spacing w:after="0" w:line="159" w:lineRule="exact"/>
        <w:rPr>
          <w:sz w:val="20"/>
          <w:szCs w:val="20"/>
          <w:color w:val="auto"/>
        </w:rPr>
      </w:pPr>
    </w:p>
    <w:p>
      <w:pPr>
        <w:jc w:val="both"/>
        <w:ind w:left="200" w:right="219" w:firstLine="1190"/>
        <w:spacing w:after="0" w:line="239" w:lineRule="auto"/>
        <w:tabs>
          <w:tab w:leader="none" w:pos="1982" w:val="left"/>
        </w:tabs>
        <w:numPr>
          <w:ilvl w:val="0"/>
          <w:numId w:val="90"/>
        </w:numPr>
        <w:rPr>
          <w:rFonts w:ascii="Arial" w:cs="Arial" w:eastAsia="Arial" w:hAnsi="Arial"/>
          <w:sz w:val="20"/>
          <w:szCs w:val="20"/>
          <w:color w:val="auto"/>
        </w:rPr>
      </w:pPr>
      <w:r>
        <w:rPr>
          <w:rFonts w:ascii="Arial" w:cs="Arial" w:eastAsia="Arial" w:hAnsi="Arial"/>
          <w:sz w:val="20"/>
          <w:szCs w:val="20"/>
          <w:color w:val="auto"/>
        </w:rPr>
        <w:t>so long as no Change of Control results therefrom, Parent,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spacing w:after="0" w:line="173" w:lineRule="exact"/>
        <w:rPr>
          <w:rFonts w:ascii="Arial" w:cs="Arial" w:eastAsia="Arial" w:hAnsi="Arial"/>
          <w:sz w:val="20"/>
          <w:szCs w:val="20"/>
          <w:color w:val="auto"/>
        </w:rPr>
      </w:pPr>
    </w:p>
    <w:p>
      <w:pPr>
        <w:jc w:val="both"/>
        <w:ind w:left="200" w:right="219" w:firstLine="1190"/>
        <w:spacing w:after="0" w:line="283" w:lineRule="auto"/>
        <w:tabs>
          <w:tab w:leader="none" w:pos="19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 long as no Change of Control results therefrom, the Borrower and each Subsidiary that is a Guarantor may make dividends or distributions to allow Parent to make payments in connection with share purchase programs, to the extent not otherwise prohibited by the terms of this Agreement; and</w:t>
      </w:r>
    </w:p>
    <w:p>
      <w:pPr>
        <w:spacing w:after="0" w:line="134" w:lineRule="exact"/>
        <w:rPr>
          <w:rFonts w:ascii="Arial" w:cs="Arial" w:eastAsia="Arial" w:hAnsi="Arial"/>
          <w:sz w:val="18"/>
          <w:szCs w:val="18"/>
          <w:color w:val="auto"/>
        </w:rPr>
      </w:pPr>
    </w:p>
    <w:p>
      <w:pPr>
        <w:ind w:left="200" w:right="219" w:firstLine="1190"/>
        <w:spacing w:after="0" w:line="279" w:lineRule="auto"/>
        <w:tabs>
          <w:tab w:leader="none" w:pos="1982" w:val="left"/>
        </w:tabs>
        <w:numPr>
          <w:ilvl w:val="0"/>
          <w:numId w:val="90"/>
        </w:numPr>
        <w:rPr>
          <w:rFonts w:ascii="Arial" w:cs="Arial" w:eastAsia="Arial" w:hAnsi="Arial"/>
          <w:sz w:val="19"/>
          <w:szCs w:val="19"/>
          <w:color w:val="auto"/>
        </w:rPr>
      </w:pPr>
      <w:r>
        <w:rPr>
          <w:rFonts w:ascii="Arial" w:cs="Arial" w:eastAsia="Arial" w:hAnsi="Arial"/>
          <w:sz w:val="19"/>
          <w:szCs w:val="19"/>
          <w:color w:val="auto"/>
        </w:rPr>
        <w:t>Parent may exercise any redemption or conversion rights with respect to its Equity Interests in accordance with the terms of the governing documents setting out any such rights.</w:t>
      </w:r>
    </w:p>
    <w:p>
      <w:pPr>
        <w:spacing w:after="0" w:line="148"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20"/>
          <w:szCs w:val="20"/>
          <w:color w:val="auto"/>
        </w:rPr>
        <w:t xml:space="preserve">Section 8.26. </w:t>
      </w:r>
      <w:r>
        <w:rPr>
          <w:rFonts w:ascii="Arial" w:cs="Arial" w:eastAsia="Arial" w:hAnsi="Arial"/>
          <w:sz w:val="20"/>
          <w:szCs w:val="20"/>
          <w:u w:val="single" w:color="auto"/>
          <w:color w:val="auto"/>
        </w:rPr>
        <w:t>Other Unsecured Indebtedness Guarantees</w:t>
      </w:r>
      <w:r>
        <w:rPr>
          <w:rFonts w:ascii="Arial" w:cs="Arial" w:eastAsia="Arial" w:hAnsi="Arial"/>
          <w:sz w:val="20"/>
          <w:szCs w:val="20"/>
          <w:color w:val="auto"/>
        </w:rPr>
        <w:t>.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provided, that the foregoing shall not restrict or prohibit any Subsidiary guaranty of any Property level Indebtedness for Borrowed Money which otherwise remains in compliance with Section 8.20.</w:t>
      </w:r>
    </w:p>
    <w:p>
      <w:pPr>
        <w:spacing w:after="0" w:line="165"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color w:val="auto"/>
        </w:rPr>
        <w:t>EVENTS OF DEFAULT AND REMEDIES</w:t>
      </w:r>
    </w:p>
    <w:p>
      <w:pPr>
        <w:spacing w:after="0" w:line="20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i w:val="1"/>
          <w:i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one or more of the following shall constitute an</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“Event of</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i w:val="1"/>
          <w:iCs w:val="1"/>
          <w:color w:val="auto"/>
        </w:rPr>
        <w:t xml:space="preserve">Default” </w:t>
      </w:r>
      <w:r>
        <w:rPr>
          <w:rFonts w:ascii="Arial" w:cs="Arial" w:eastAsia="Arial" w:hAnsi="Arial"/>
          <w:sz w:val="20"/>
          <w:szCs w:val="20"/>
          <w:color w:val="auto"/>
        </w:rPr>
        <w:t>hereunder:</w:t>
      </w:r>
    </w:p>
    <w:p>
      <w:pPr>
        <w:spacing w:after="0" w:line="176" w:lineRule="exact"/>
        <w:rPr>
          <w:sz w:val="20"/>
          <w:szCs w:val="20"/>
          <w:color w:val="auto"/>
        </w:rPr>
      </w:pPr>
    </w:p>
    <w:p>
      <w:pPr>
        <w:jc w:val="both"/>
        <w:ind w:left="200" w:right="219" w:firstLine="1190"/>
        <w:spacing w:after="0" w:line="239" w:lineRule="auto"/>
        <w:tabs>
          <w:tab w:leader="none" w:pos="1982" w:val="left"/>
        </w:tabs>
        <w:numPr>
          <w:ilvl w:val="0"/>
          <w:numId w:val="91"/>
        </w:numPr>
        <w:rPr>
          <w:rFonts w:ascii="Arial" w:cs="Arial" w:eastAsia="Arial" w:hAnsi="Arial"/>
          <w:sz w:val="20"/>
          <w:szCs w:val="20"/>
          <w:color w:val="auto"/>
        </w:rPr>
      </w:pPr>
      <w:r>
        <w:rPr>
          <w:rFonts w:ascii="Arial" w:cs="Arial" w:eastAsia="Arial" w:hAnsi="Arial"/>
          <w:sz w:val="20"/>
          <w:szCs w:val="20"/>
          <w:color w:val="auto"/>
        </w:rPr>
        <w:t>default in the payment when due of all or any part of the principal of any Loan (whether at the stated maturity thereof or at any other time provided for in this Agreement); or default for a period of three (3) Business Days in the payment when due of any interest, fee or other Obligation payable hereunder or under any other Loan Document;</w:t>
      </w:r>
    </w:p>
    <w:p>
      <w:pPr>
        <w:spacing w:after="0" w:line="173" w:lineRule="exact"/>
        <w:rPr>
          <w:rFonts w:ascii="Arial" w:cs="Arial" w:eastAsia="Arial" w:hAnsi="Arial"/>
          <w:sz w:val="20"/>
          <w:szCs w:val="20"/>
          <w:color w:val="auto"/>
        </w:rPr>
      </w:pPr>
    </w:p>
    <w:p>
      <w:pPr>
        <w:jc w:val="both"/>
        <w:ind w:left="200" w:right="219" w:firstLine="1190"/>
        <w:spacing w:after="0" w:line="275" w:lineRule="auto"/>
        <w:tabs>
          <w:tab w:leader="none" w:pos="1982"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observance or performance of any covenant set forth in Sections 8.1 (only with respect to the first sentence thereof), 8.5 (for a period of five (5) days), 8.7, 8.8, 8.9, 8.10, 8.20, 8.21 (if not replaced with another Eligible Property or Eligible Properties in accordance with Section 7.3 hereof within ten (10) Business Days after the period of notice required by Section 7.3), 8.23 or 8.25 hereof;</w:t>
      </w:r>
    </w:p>
    <w:p>
      <w:pPr>
        <w:spacing w:after="0" w:line="140" w:lineRule="exact"/>
        <w:rPr>
          <w:rFonts w:ascii="Arial" w:cs="Arial" w:eastAsia="Arial" w:hAnsi="Arial"/>
          <w:sz w:val="18"/>
          <w:szCs w:val="18"/>
          <w:color w:val="auto"/>
        </w:rPr>
      </w:pPr>
    </w:p>
    <w:p>
      <w:pPr>
        <w:jc w:val="both"/>
        <w:ind w:left="200" w:right="219" w:firstLine="1190"/>
        <w:spacing w:after="0" w:line="236" w:lineRule="auto"/>
        <w:tabs>
          <w:tab w:leader="none" w:pos="1982"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Arial" w:cs="Arial" w:eastAsia="Arial" w:hAnsi="Arial"/>
          <w:sz w:val="20"/>
          <w:szCs w:val="20"/>
          <w:i w:val="1"/>
          <w:iCs w:val="1"/>
          <w:color w:val="auto"/>
        </w:rPr>
        <w:t>provided, however</w:t>
      </w:r>
      <w:r>
        <w:rPr>
          <w:rFonts w:ascii="Arial" w:cs="Arial" w:eastAsia="Arial" w:hAnsi="Arial"/>
          <w:sz w:val="20"/>
          <w:szCs w:val="20"/>
          <w:color w:val="auto"/>
        </w:rPr>
        <w:t>,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0" w:name="page111"/>
    <w:bookmarkEnd w:id="110"/>
    <w:p>
      <w:pPr>
        <w:ind w:left="200" w:right="219"/>
        <w:spacing w:after="0" w:line="253" w:lineRule="auto"/>
        <w:rPr>
          <w:sz w:val="20"/>
          <w:szCs w:val="20"/>
          <w:color w:val="auto"/>
        </w:rPr>
      </w:pPr>
      <w:r>
        <w:rPr>
          <w:rFonts w:ascii="Arial" w:cs="Arial" w:eastAsia="Arial" w:hAnsi="Arial"/>
          <w:sz w:val="20"/>
          <w:szCs w:val="20"/>
          <w:color w:val="auto"/>
        </w:rPr>
        <w:t>necessary for the Borrower in the exercise of due diligence to cure such default, provided such additional period shall not exceed sixty (60) days;</w:t>
      </w:r>
    </w:p>
    <w:p>
      <w:pPr>
        <w:spacing w:after="0" w:line="159" w:lineRule="exact"/>
        <w:rPr>
          <w:sz w:val="20"/>
          <w:szCs w:val="20"/>
          <w:color w:val="auto"/>
        </w:rPr>
      </w:pPr>
    </w:p>
    <w:p>
      <w:pPr>
        <w:jc w:val="both"/>
        <w:ind w:left="200" w:right="219" w:firstLine="1190"/>
        <w:spacing w:after="0" w:line="266" w:lineRule="auto"/>
        <w:tabs>
          <w:tab w:leader="none" w:pos="1982"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spacing w:after="0" w:line="151" w:lineRule="exact"/>
        <w:rPr>
          <w:rFonts w:ascii="Arial" w:cs="Arial" w:eastAsia="Arial" w:hAnsi="Arial"/>
          <w:sz w:val="18"/>
          <w:szCs w:val="18"/>
          <w:color w:val="auto"/>
        </w:rPr>
      </w:pPr>
    </w:p>
    <w:p>
      <w:pPr>
        <w:jc w:val="both"/>
        <w:ind w:left="200" w:right="219" w:firstLine="1190"/>
        <w:spacing w:after="0" w:line="238" w:lineRule="auto"/>
        <w:tabs>
          <w:tab w:leader="none" w:pos="1982" w:val="left"/>
        </w:tabs>
        <w:numPr>
          <w:ilvl w:val="1"/>
          <w:numId w:val="92"/>
        </w:numPr>
        <w:rPr>
          <w:rFonts w:ascii="Arial" w:cs="Arial" w:eastAsia="Arial" w:hAnsi="Arial"/>
          <w:sz w:val="20"/>
          <w:szCs w:val="20"/>
          <w:color w:val="auto"/>
        </w:rPr>
      </w:pPr>
      <w:r>
        <w:rPr>
          <w:rFonts w:ascii="Arial" w:cs="Arial" w:eastAsia="Arial" w:hAnsi="Arial"/>
          <w:sz w:val="20"/>
          <w:szCs w:val="20"/>
          <w:color w:val="auto"/>
        </w:rPr>
        <w:t>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spacing w:after="0" w:line="171" w:lineRule="exact"/>
        <w:rPr>
          <w:rFonts w:ascii="Arial" w:cs="Arial" w:eastAsia="Arial" w:hAnsi="Arial"/>
          <w:sz w:val="20"/>
          <w:szCs w:val="20"/>
          <w:color w:val="auto"/>
        </w:rPr>
      </w:pPr>
    </w:p>
    <w:p>
      <w:pPr>
        <w:jc w:val="both"/>
        <w:ind w:left="200" w:right="219" w:firstLine="1190"/>
        <w:spacing w:after="0" w:line="281" w:lineRule="auto"/>
        <w:tabs>
          <w:tab w:leader="none" w:pos="1982"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default and expiration of any cure periods related thereto shall occur under (x) any Indebtedness for Borrowed Money issued, assumed or guaranteed by the Borrower or any Subsidiary aggregating in excess of $10,000,000 or (y) any recourse Indebtedness for Borrowed Money issued, assumed or guaranteed by the Borrower or any Subsidiary aggregating in excess of $1,000,000,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43" w:lineRule="exact"/>
        <w:rPr>
          <w:rFonts w:ascii="Arial" w:cs="Arial" w:eastAsia="Arial" w:hAnsi="Arial"/>
          <w:sz w:val="17"/>
          <w:szCs w:val="17"/>
          <w:color w:val="auto"/>
        </w:rPr>
      </w:pPr>
    </w:p>
    <w:p>
      <w:pPr>
        <w:jc w:val="both"/>
        <w:ind w:left="200" w:right="219" w:firstLine="1190"/>
        <w:spacing w:after="0" w:line="253" w:lineRule="auto"/>
        <w:tabs>
          <w:tab w:leader="none" w:pos="1982"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judgment or judgments, writ or writs or warrant or warrants of attachment, or any similar process or processes, shall be entered or filed against the Borrower or any Subsidiary, or against any of its Property, in an aggregate amount in excess of $5,000,000 (except to the extent fully covered by insurance pursuant to which the insurer has accepted liability therefor in writing), and which remains undischarged, unvacated, unbonded or unstayed for a period of thirty (30) days;</w:t>
      </w:r>
    </w:p>
    <w:p>
      <w:pPr>
        <w:spacing w:after="0" w:line="160" w:lineRule="exact"/>
        <w:rPr>
          <w:rFonts w:ascii="Arial" w:cs="Arial" w:eastAsia="Arial" w:hAnsi="Arial"/>
          <w:sz w:val="19"/>
          <w:szCs w:val="19"/>
          <w:color w:val="auto"/>
        </w:rPr>
      </w:pPr>
    </w:p>
    <w:p>
      <w:pPr>
        <w:jc w:val="both"/>
        <w:ind w:left="200" w:right="219" w:firstLine="1190"/>
        <w:spacing w:after="0" w:line="260" w:lineRule="auto"/>
        <w:tabs>
          <w:tab w:leader="none" w:pos="1982"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Arial" w:cs="Arial" w:eastAsia="Arial" w:hAnsi="Arial"/>
          <w:sz w:val="18"/>
          <w:szCs w:val="18"/>
          <w:i w:val="1"/>
          <w:iCs w:val="1"/>
          <w:color w:val="auto"/>
        </w:rPr>
        <w:t>“Material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Plan”</w:t>
      </w:r>
      <w:r>
        <w:rPr>
          <w:rFonts w:ascii="Arial" w:cs="Arial" w:eastAsia="Arial" w:hAnsi="Arial"/>
          <w:sz w:val="18"/>
          <w:szCs w:val="18"/>
          <w:color w:val="auto"/>
        </w:rPr>
        <w:t>) shall be filed under Title IV of ERISA by the Borrower or any Subsidiary, or any other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w:t>
      </w:r>
    </w:p>
    <w:p>
      <w:pPr>
        <w:spacing w:after="0" w:line="2" w:lineRule="exact"/>
        <w:rPr>
          <w:rFonts w:ascii="Arial" w:cs="Arial" w:eastAsia="Arial" w:hAnsi="Arial"/>
          <w:sz w:val="18"/>
          <w:szCs w:val="18"/>
          <w:color w:val="auto"/>
        </w:rPr>
      </w:pPr>
    </w:p>
    <w:p>
      <w:pPr>
        <w:ind w:left="200" w:right="219" w:firstLine="2"/>
        <w:spacing w:after="0" w:line="238" w:lineRule="auto"/>
        <w:tabs>
          <w:tab w:leader="none" w:pos="504" w:val="left"/>
        </w:tabs>
        <w:numPr>
          <w:ilvl w:val="0"/>
          <w:numId w:val="93"/>
        </w:numPr>
        <w:rPr>
          <w:rFonts w:ascii="Arial" w:cs="Arial" w:eastAsia="Arial" w:hAnsi="Arial"/>
          <w:sz w:val="20"/>
          <w:szCs w:val="20"/>
          <w:color w:val="auto"/>
        </w:rPr>
      </w:pPr>
      <w:r>
        <w:rPr>
          <w:rFonts w:ascii="Arial" w:cs="Arial" w:eastAsia="Arial" w:hAnsi="Arial"/>
          <w:sz w:val="20"/>
          <w:szCs w:val="20"/>
          <w:color w:val="auto"/>
        </w:rPr>
        <w:t>of ERISA and such proceeding shall not have been dismissed within thirty (30) days thereafter; or a condition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1" w:name="page112"/>
    <w:bookmarkEnd w:id="111"/>
    <w:p>
      <w:pPr>
        <w:ind w:left="200" w:right="219"/>
        <w:spacing w:after="0" w:line="253" w:lineRule="auto"/>
        <w:rPr>
          <w:sz w:val="20"/>
          <w:szCs w:val="20"/>
          <w:color w:val="auto"/>
        </w:rPr>
      </w:pPr>
      <w:r>
        <w:rPr>
          <w:rFonts w:ascii="Arial" w:cs="Arial" w:eastAsia="Arial" w:hAnsi="Arial"/>
          <w:sz w:val="20"/>
          <w:szCs w:val="20"/>
          <w:color w:val="auto"/>
        </w:rPr>
        <w:t>shall exist by reason of which the PBGC would be entitled to obtain a decree adjudicating that any Material Plan must be terminated;</w:t>
      </w:r>
    </w:p>
    <w:p>
      <w:pPr>
        <w:spacing w:after="0" w:line="159" w:lineRule="exact"/>
        <w:rPr>
          <w:sz w:val="20"/>
          <w:szCs w:val="20"/>
          <w:color w:val="auto"/>
        </w:rPr>
      </w:pPr>
    </w:p>
    <w:p>
      <w:pPr>
        <w:ind w:left="1980" w:hanging="590"/>
        <w:spacing w:after="0"/>
        <w:tabs>
          <w:tab w:leader="none" w:pos="198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any Change of Control shall occur;</w:t>
      </w:r>
    </w:p>
    <w:p>
      <w:pPr>
        <w:spacing w:after="0" w:line="190" w:lineRule="exact"/>
        <w:rPr>
          <w:rFonts w:ascii="Arial" w:cs="Arial" w:eastAsia="Arial" w:hAnsi="Arial"/>
          <w:sz w:val="20"/>
          <w:szCs w:val="20"/>
          <w:color w:val="auto"/>
        </w:rPr>
      </w:pPr>
    </w:p>
    <w:p>
      <w:pPr>
        <w:jc w:val="both"/>
        <w:ind w:left="200" w:right="219" w:firstLine="1190"/>
        <w:spacing w:after="0" w:line="264" w:lineRule="auto"/>
        <w:tabs>
          <w:tab w:leader="none" w:pos="198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w:t>
      </w:r>
    </w:p>
    <w:p>
      <w:pPr>
        <w:spacing w:after="0" w:line="1" w:lineRule="exact"/>
        <w:rPr>
          <w:rFonts w:ascii="Arial" w:cs="Arial" w:eastAsia="Arial" w:hAnsi="Arial"/>
          <w:sz w:val="18"/>
          <w:szCs w:val="18"/>
          <w:color w:val="auto"/>
        </w:rPr>
      </w:pPr>
    </w:p>
    <w:p>
      <w:pPr>
        <w:jc w:val="both"/>
        <w:ind w:left="200" w:right="219" w:firstLine="2"/>
        <w:spacing w:after="0" w:line="233" w:lineRule="auto"/>
        <w:tabs>
          <w:tab w:leader="none" w:pos="547" w:val="left"/>
        </w:tabs>
        <w:numPr>
          <w:ilvl w:val="0"/>
          <w:numId w:val="95"/>
        </w:numPr>
        <w:rPr>
          <w:rFonts w:ascii="Arial" w:cs="Arial" w:eastAsia="Arial" w:hAnsi="Arial"/>
          <w:sz w:val="20"/>
          <w:szCs w:val="20"/>
          <w:color w:val="auto"/>
        </w:rPr>
      </w:pPr>
      <w:r>
        <w:rPr>
          <w:rFonts w:ascii="Arial" w:cs="Arial" w:eastAsia="Arial" w:hAnsi="Arial"/>
          <w:sz w:val="20"/>
          <w:szCs w:val="20"/>
          <w:color w:val="auto"/>
        </w:rPr>
        <w:t>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spacing w:after="0" w:line="177" w:lineRule="exact"/>
        <w:rPr>
          <w:rFonts w:ascii="Arial" w:cs="Arial" w:eastAsia="Arial" w:hAnsi="Arial"/>
          <w:sz w:val="20"/>
          <w:szCs w:val="20"/>
          <w:color w:val="auto"/>
        </w:rPr>
      </w:pPr>
    </w:p>
    <w:p>
      <w:pPr>
        <w:jc w:val="both"/>
        <w:ind w:left="200" w:right="219" w:firstLine="1190"/>
        <w:spacing w:after="0" w:line="238" w:lineRule="auto"/>
        <w:tabs>
          <w:tab w:leader="none" w:pos="1982" w:val="left"/>
        </w:tabs>
        <w:numPr>
          <w:ilvl w:val="1"/>
          <w:numId w:val="95"/>
        </w:numPr>
        <w:rPr>
          <w:rFonts w:ascii="Arial" w:cs="Arial" w:eastAsia="Arial" w:hAnsi="Arial"/>
          <w:sz w:val="20"/>
          <w:szCs w:val="20"/>
          <w:color w:val="auto"/>
        </w:rPr>
      </w:pPr>
      <w:r>
        <w:rPr>
          <w:rFonts w:ascii="Arial" w:cs="Arial" w:eastAsia="Arial" w:hAnsi="Arial"/>
          <w:sz w:val="20"/>
          <w:szCs w:val="20"/>
          <w:color w:val="auto"/>
        </w:rPr>
        <w:t>a custodian, receiver, trustee, examiner, liquidator or similar official shall be appointed for the Borrower or any Subsidiary, or any substantial part of any of its Property, or a proceeding described in Section 9.1(j)(v) shall be instituted against the Borrower or any Subsidiary, and such appointment continues undischarged or such proceeding continues undismissed or unstayed for a period of sixty (60) days;</w:t>
      </w:r>
    </w:p>
    <w:p>
      <w:pPr>
        <w:spacing w:after="0" w:line="171"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Common Stock of Parent fails to be duly listed on the New York Stock Exchange, the NYSE American or The NASDAQ Stock Market; or</w:t>
      </w:r>
    </w:p>
    <w:p>
      <w:pPr>
        <w:spacing w:after="0" w:line="158" w:lineRule="exact"/>
        <w:rPr>
          <w:rFonts w:ascii="Arial" w:cs="Arial" w:eastAsia="Arial" w:hAnsi="Arial"/>
          <w:sz w:val="20"/>
          <w:szCs w:val="20"/>
          <w:color w:val="auto"/>
        </w:rPr>
      </w:pPr>
    </w:p>
    <w:p>
      <w:pPr>
        <w:jc w:val="both"/>
        <w:ind w:left="200" w:right="219" w:firstLine="1190"/>
        <w:spacing w:after="0" w:line="249" w:lineRule="auto"/>
        <w:tabs>
          <w:tab w:leader="none" w:pos="1982" w:val="left"/>
        </w:tabs>
        <w:numPr>
          <w:ilvl w:val="1"/>
          <w:numId w:val="95"/>
        </w:numPr>
        <w:rPr>
          <w:rFonts w:ascii="Arial" w:cs="Arial" w:eastAsia="Arial" w:hAnsi="Arial"/>
          <w:sz w:val="19"/>
          <w:szCs w:val="19"/>
          <w:color w:val="auto"/>
        </w:rPr>
      </w:pPr>
      <w:r>
        <w:rPr>
          <w:rFonts w:ascii="Arial" w:cs="Arial" w:eastAsia="Arial" w:hAnsi="Arial"/>
          <w:sz w:val="19"/>
          <w:szCs w:val="19"/>
          <w:color w:val="auto"/>
        </w:rPr>
        <w:t>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the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spacing w:after="0" w:line="179" w:lineRule="exact"/>
        <w:rPr>
          <w:sz w:val="20"/>
          <w:szCs w:val="20"/>
          <w:color w:val="auto"/>
        </w:rPr>
      </w:pPr>
    </w:p>
    <w:p>
      <w:pPr>
        <w:ind w:left="200" w:right="259" w:firstLine="594"/>
        <w:spacing w:after="0" w:line="263"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Non-Bankruptcy Defaults</w:t>
      </w:r>
      <w:r>
        <w:rPr>
          <w:rFonts w:ascii="Arial" w:cs="Arial" w:eastAsia="Arial" w:hAnsi="Arial"/>
          <w:sz w:val="19"/>
          <w:szCs w:val="19"/>
          <w:i w:val="1"/>
          <w:iCs w:val="1"/>
          <w:color w:val="auto"/>
        </w:rPr>
        <w:t>.</w:t>
      </w:r>
      <w:r>
        <w:rPr>
          <w:rFonts w:ascii="Arial" w:cs="Arial" w:eastAsia="Arial" w:hAnsi="Arial"/>
          <w:sz w:val="19"/>
          <w:szCs w:val="19"/>
          <w:color w:val="auto"/>
        </w:rPr>
        <w:t xml:space="preserve"> 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Term Loans and Incremental Term Loans to be forthwith due and payable and thereupon all outstanding Loans, including both principal and interest thereon, shall be and become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2" w:name="page113"/>
    <w:bookmarkEnd w:id="112"/>
    <w:p>
      <w:pPr>
        <w:jc w:val="both"/>
        <w:ind w:left="200" w:right="219"/>
        <w:spacing w:after="0" w:line="289" w:lineRule="auto"/>
        <w:rPr>
          <w:sz w:val="20"/>
          <w:szCs w:val="20"/>
          <w:color w:val="auto"/>
        </w:rPr>
      </w:pPr>
      <w:r>
        <w:rPr>
          <w:rFonts w:ascii="Arial" w:cs="Arial" w:eastAsia="Arial" w:hAnsi="Arial"/>
          <w:sz w:val="18"/>
          <w:szCs w:val="18"/>
          <w:color w:val="auto"/>
        </w:rPr>
        <w:t>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spacing w:after="0" w:line="142" w:lineRule="exact"/>
        <w:rPr>
          <w:sz w:val="20"/>
          <w:szCs w:val="20"/>
          <w:color w:val="auto"/>
        </w:rPr>
      </w:pPr>
    </w:p>
    <w:p>
      <w:pPr>
        <w:jc w:val="both"/>
        <w:ind w:left="200" w:right="339" w:firstLine="594"/>
        <w:spacing w:after="0" w:line="28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Bankruptcy Defaults</w:t>
      </w:r>
      <w:r>
        <w:rPr>
          <w:rFonts w:ascii="Arial" w:cs="Arial" w:eastAsia="Arial" w:hAnsi="Arial"/>
          <w:sz w:val="18"/>
          <w:szCs w:val="18"/>
          <w:color w:val="auto"/>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 and any obligation of the Lenders to extend further credit pursuant to any unfunded Incremental Term Loan shall immediately terminate.</w:t>
      </w:r>
    </w:p>
    <w:p>
      <w:pPr>
        <w:spacing w:after="0" w:line="145" w:lineRule="exact"/>
        <w:rPr>
          <w:sz w:val="20"/>
          <w:szCs w:val="20"/>
          <w:color w:val="auto"/>
        </w:rPr>
      </w:pPr>
    </w:p>
    <w:p>
      <w:pPr>
        <w:jc w:val="both"/>
        <w:ind w:left="200" w:right="279" w:firstLine="594"/>
        <w:spacing w:after="0" w:line="256" w:lineRule="auto"/>
        <w:rPr>
          <w:sz w:val="20"/>
          <w:szCs w:val="20"/>
          <w:color w:val="auto"/>
        </w:rPr>
      </w:pPr>
      <w:r>
        <w:rPr>
          <w:rFonts w:ascii="Arial" w:cs="Arial" w:eastAsia="Arial" w:hAnsi="Arial"/>
          <w:sz w:val="20"/>
          <w:szCs w:val="20"/>
          <w:color w:val="auto"/>
        </w:rPr>
        <w:t xml:space="preserve">Section 9.4. </w:t>
      </w:r>
      <w:r>
        <w:rPr>
          <w:rFonts w:ascii="Arial" w:cs="Arial" w:eastAsia="Arial" w:hAnsi="Arial"/>
          <w:sz w:val="20"/>
          <w:szCs w:val="20"/>
          <w:u w:val="single" w:color="auto"/>
          <w:color w:val="auto"/>
        </w:rPr>
        <w:t>Notice of Default</w:t>
      </w:r>
      <w:r>
        <w:rPr>
          <w:rFonts w:ascii="Arial" w:cs="Arial" w:eastAsia="Arial" w:hAnsi="Arial"/>
          <w:sz w:val="20"/>
          <w:szCs w:val="20"/>
          <w:color w:val="auto"/>
        </w:rPr>
        <w:t>. The Administrative Agent shall give notice to the Borrower under Section 9.1 hereof promptly upon being requested to do so by any Lender and shall thereupon notify all the Lenders thereof.</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10. CHANGE IN CIRCUMSTANCES.</w:t>
      </w:r>
    </w:p>
    <w:p>
      <w:pPr>
        <w:spacing w:after="0" w:line="203" w:lineRule="exact"/>
        <w:rPr>
          <w:sz w:val="20"/>
          <w:szCs w:val="20"/>
          <w:color w:val="auto"/>
        </w:rPr>
      </w:pPr>
    </w:p>
    <w:p>
      <w:pPr>
        <w:ind w:left="200" w:right="219" w:firstLine="594"/>
        <w:spacing w:after="0" w:line="27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Change of Law</w:t>
      </w:r>
      <w:r>
        <w:rPr>
          <w:rFonts w:ascii="Arial" w:cs="Arial" w:eastAsia="Arial" w:hAnsi="Arial"/>
          <w:sz w:val="18"/>
          <w:szCs w:val="18"/>
          <w:color w:val="auto"/>
        </w:rPr>
        <w:t xml:space="preserve">. Notwithstanding any other provisions of this Agreement or any other Loan Document, if at any time any Change in Law makes it unlawful for any Lender to make or continue to maintain any Eurodollar Loans or to perform its obligations as contemplated hereby related to Eurodollar Loans, such Lender shall promptly give written notice thereof to the Borrower and such Lender’s obligations to make or maintain Eurodollar Loans under this Agreement shall be suspended until it is no longer unlawful for such Lender to make or maintain Eurodollar Loans. The Borrower shall promptly prepay the outstanding principal amount of any such affected Eurodollar Loans, together with all interest accrued thereon and all other amounts then due and payable to such Lender under this Agreement or, subject to all of the terms and conditions of this Agreement, convert such affected Eurodollar Loans into Base Rate Loans;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subject to all of the terms and conditions of this Agreement (unless the affected Eurodollar Loans are converted into Base Rate Loans), the Borrower may then elect to borrow the principal amount of the affected Eurodollar Loans from such Lender by means of Base Rate Loans from such Lender, which Base Rate Loans shall not be made ratably by the Lenders but only from such affected Lender.</w:t>
      </w:r>
    </w:p>
    <w:p>
      <w:pPr>
        <w:spacing w:after="0" w:line="161" w:lineRule="exact"/>
        <w:rPr>
          <w:sz w:val="20"/>
          <w:szCs w:val="20"/>
          <w:color w:val="auto"/>
        </w:rPr>
      </w:pPr>
    </w:p>
    <w:p>
      <w:pPr>
        <w:ind w:left="200" w:right="339" w:firstLine="594"/>
        <w:spacing w:after="0" w:line="29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Unavailability of Deposits or Inability to Ascertain, or Inadequacy of, LIBOR</w:t>
      </w:r>
      <w:r>
        <w:rPr>
          <w:rFonts w:ascii="Arial" w:cs="Arial" w:eastAsia="Arial" w:hAnsi="Arial"/>
          <w:sz w:val="19"/>
          <w:szCs w:val="19"/>
          <w:i w:val="1"/>
          <w:iCs w:val="1"/>
          <w:color w:val="auto"/>
        </w:rPr>
        <w:t>.</w:t>
      </w:r>
      <w:r>
        <w:rPr>
          <w:rFonts w:ascii="Arial" w:cs="Arial" w:eastAsia="Arial" w:hAnsi="Arial"/>
          <w:sz w:val="19"/>
          <w:szCs w:val="19"/>
          <w:color w:val="auto"/>
        </w:rPr>
        <w:t xml:space="preserve"> If on or prior to the first day of any Interest Period for any Borrowing of Eurodollar Loans:</w:t>
      </w:r>
    </w:p>
    <w:p>
      <w:pPr>
        <w:spacing w:after="0" w:line="122" w:lineRule="exact"/>
        <w:rPr>
          <w:sz w:val="20"/>
          <w:szCs w:val="20"/>
          <w:color w:val="auto"/>
        </w:rPr>
      </w:pPr>
    </w:p>
    <w:p>
      <w:pPr>
        <w:jc w:val="both"/>
        <w:ind w:left="200" w:right="219" w:firstLine="1190"/>
        <w:spacing w:after="0" w:line="239" w:lineRule="auto"/>
        <w:tabs>
          <w:tab w:leader="none" w:pos="1982"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Administrative Agent determines that deposits in U.S. Dollars (in the applicable amounts) are not being offered to it in the interbank eurodollar market for such Interest Period, or that by reason of circumstances affecting the interbank eurodollar market adequate and reasonable means do not exist for ascertaining the applicable LIBOR, or</w:t>
      </w:r>
    </w:p>
    <w:p>
      <w:pPr>
        <w:spacing w:after="0" w:line="173" w:lineRule="exact"/>
        <w:rPr>
          <w:rFonts w:ascii="Arial" w:cs="Arial" w:eastAsia="Arial" w:hAnsi="Arial"/>
          <w:sz w:val="20"/>
          <w:szCs w:val="20"/>
          <w:color w:val="auto"/>
        </w:rPr>
      </w:pPr>
    </w:p>
    <w:p>
      <w:pPr>
        <w:ind w:left="200" w:right="219" w:firstLine="1190"/>
        <w:spacing w:after="0" w:line="253" w:lineRule="auto"/>
        <w:tabs>
          <w:tab w:leader="none" w:pos="1982"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Required Lenders advise the Administrative Agent that (i) LIBOR as determined by the Administrative Agent will not adequately and fairly reflect the cost to such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113" w:name="page114"/>
    <w:bookmarkEnd w:id="113"/>
    <w:p>
      <w:pPr>
        <w:jc w:val="both"/>
        <w:ind w:left="200" w:right="219"/>
        <w:spacing w:after="0" w:line="253" w:lineRule="auto"/>
        <w:rPr>
          <w:sz w:val="20"/>
          <w:szCs w:val="20"/>
          <w:color w:val="auto"/>
        </w:rPr>
      </w:pPr>
      <w:r>
        <w:rPr>
          <w:rFonts w:ascii="Arial" w:cs="Arial" w:eastAsia="Arial" w:hAnsi="Arial"/>
          <w:sz w:val="20"/>
          <w:szCs w:val="20"/>
          <w:color w:val="auto"/>
        </w:rPr>
        <w:t>Lenders of funding their Eurodollar Loans for such Interest Period or (ii) that the making or funding of Eurodollar Loans become impracticable,</w:t>
      </w:r>
    </w:p>
    <w:p>
      <w:pPr>
        <w:spacing w:after="0" w:line="159"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8"/>
          <w:szCs w:val="18"/>
          <w:color w:val="auto"/>
        </w:rPr>
        <w:t>then the Administrative Agent shall forthwith give notice thereof to the Borrower and the Lenders, whereupon until the Administrative Agent notifies the Borrower that the circumstances giving rise to such suspension no longer exist, the obligations of the Lenders to make Eurodollar Loans shall be suspended.</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Increased Cost and Reduced Return</w:t>
      </w:r>
      <w:r>
        <w:rPr>
          <w:rFonts w:ascii="Arial" w:cs="Arial" w:eastAsia="Arial" w:hAnsi="Arial"/>
          <w:sz w:val="20"/>
          <w:szCs w:val="20"/>
          <w:color w:val="auto"/>
        </w:rPr>
        <w:t>.</w:t>
      </w:r>
    </w:p>
    <w:p>
      <w:pPr>
        <w:spacing w:after="0" w:line="191" w:lineRule="exact"/>
        <w:rPr>
          <w:sz w:val="20"/>
          <w:szCs w:val="20"/>
          <w:color w:val="auto"/>
        </w:rPr>
      </w:pPr>
    </w:p>
    <w:p>
      <w:pPr>
        <w:ind w:left="1980" w:hanging="590"/>
        <w:spacing w:after="0"/>
        <w:tabs>
          <w:tab w:leader="none" w:pos="19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190" w:lineRule="exact"/>
        <w:rPr>
          <w:rFonts w:ascii="Arial" w:cs="Arial" w:eastAsia="Arial" w:hAnsi="Arial"/>
          <w:sz w:val="20"/>
          <w:szCs w:val="20"/>
          <w:color w:val="auto"/>
        </w:rPr>
      </w:pPr>
    </w:p>
    <w:p>
      <w:pPr>
        <w:jc w:val="both"/>
        <w:ind w:left="800" w:right="219" w:firstLine="1184"/>
        <w:spacing w:after="0" w:line="268" w:lineRule="auto"/>
        <w:tabs>
          <w:tab w:leader="none" w:pos="2582"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subject any Lender (or its Lending Office) to any Tax (other than (A) Indemnified Taxes, (B) Taxes described in clauses (b) through (d) of the definition of Excluded Taxes, and (C) Connection Income Taxes) with respect to its Eurodollar Loans, its Notes or any other amounts due under this Agreement or any other Loan Document in respect of its Eurodollar Loans, (except for changes in the basis or rate of (A) Indemnified Taxes, (B) Taxes described in clauses (b) through (d) of the definition of Excluded Taxes and (C) Connection Income Taxes); or</w:t>
      </w:r>
    </w:p>
    <w:p>
      <w:pPr>
        <w:spacing w:after="0" w:line="147" w:lineRule="exact"/>
        <w:rPr>
          <w:rFonts w:ascii="Arial" w:cs="Arial" w:eastAsia="Arial" w:hAnsi="Arial"/>
          <w:sz w:val="18"/>
          <w:szCs w:val="18"/>
          <w:color w:val="auto"/>
        </w:rPr>
      </w:pPr>
    </w:p>
    <w:p>
      <w:pPr>
        <w:jc w:val="both"/>
        <w:ind w:left="800" w:right="219" w:firstLine="1184"/>
        <w:spacing w:after="0" w:line="250" w:lineRule="auto"/>
        <w:tabs>
          <w:tab w:leader="none" w:pos="2582" w:val="left"/>
        </w:tabs>
        <w:numPr>
          <w:ilvl w:val="1"/>
          <w:numId w:val="97"/>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(including, without limitation, any such requirement imposed by the Board of Governors of the Federal Reserve System, but excluding with respect to any Eurodollar Loans any such requirement included in an applicable Eurodollar Reserve Percentage) against assets of, deposits with or for the account of, or credit extended by, and Lender (or its Lending Office)or on the interbank market any other condition affecting its Eurodollar Loans, it Notes or its obligations to make Eurodollar Loans;</w:t>
      </w:r>
    </w:p>
    <w:p>
      <w:pPr>
        <w:spacing w:after="0" w:line="164"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0"/>
          <w:szCs w:val="20"/>
          <w:color w:val="auto"/>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spacing w:after="0" w:line="172" w:lineRule="exact"/>
        <w:rPr>
          <w:sz w:val="20"/>
          <w:szCs w:val="20"/>
          <w:color w:val="auto"/>
        </w:rPr>
      </w:pPr>
    </w:p>
    <w:p>
      <w:pPr>
        <w:jc w:val="both"/>
        <w:ind w:left="200" w:right="219" w:firstLine="1190"/>
        <w:spacing w:after="0" w:line="263" w:lineRule="auto"/>
        <w:tabs>
          <w:tab w:leader="none" w:pos="19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4" w:name="page115"/>
    <w:bookmarkEnd w:id="114"/>
    <w:p>
      <w:pPr>
        <w:jc w:val="both"/>
        <w:ind w:left="200" w:right="219" w:firstLine="1190"/>
        <w:spacing w:after="0" w:line="239" w:lineRule="auto"/>
        <w:tabs>
          <w:tab w:leader="none" w:pos="1982"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w:t>
      </w:r>
    </w:p>
    <w:p>
      <w:pPr>
        <w:spacing w:after="0" w:line="173" w:lineRule="exact"/>
        <w:rPr>
          <w:rFonts w:ascii="Arial" w:cs="Arial" w:eastAsia="Arial" w:hAnsi="Arial"/>
          <w:sz w:val="20"/>
          <w:szCs w:val="20"/>
          <w:color w:val="auto"/>
        </w:rPr>
      </w:pPr>
    </w:p>
    <w:p>
      <w:pPr>
        <w:jc w:val="both"/>
        <w:ind w:left="200" w:right="219" w:firstLine="1190"/>
        <w:spacing w:after="0" w:line="249" w:lineRule="auto"/>
        <w:tabs>
          <w:tab w:leader="none" w:pos="198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sz w:val="20"/>
          <w:szCs w:val="20"/>
          <w:color w:val="auto"/>
        </w:rPr>
      </w:pPr>
    </w:p>
    <w:p>
      <w:pPr>
        <w:ind w:left="200" w:right="219" w:firstLine="594"/>
        <w:spacing w:after="0" w:line="26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Lending Offices</w:t>
      </w:r>
      <w:r>
        <w:rPr>
          <w:rFonts w:ascii="Arial" w:cs="Arial" w:eastAsia="Arial" w:hAnsi="Arial"/>
          <w:sz w:val="19"/>
          <w:szCs w:val="19"/>
          <w:color w:val="auto"/>
        </w:rPr>
        <w:t xml:space="preserve">. Each Lender may, at its option, elect to make its Loans hereunder at the branch, office or affiliate specified on the appropriate signature page hereof (each a </w:t>
      </w:r>
      <w:r>
        <w:rPr>
          <w:rFonts w:ascii="Arial" w:cs="Arial" w:eastAsia="Arial" w:hAnsi="Arial"/>
          <w:sz w:val="19"/>
          <w:szCs w:val="19"/>
          <w:i w:val="1"/>
          <w:iCs w:val="1"/>
          <w:color w:val="auto"/>
        </w:rPr>
        <w:t>“Lending Office”</w:t>
      </w:r>
      <w:r>
        <w:rPr>
          <w:rFonts w:ascii="Arial" w:cs="Arial" w:eastAsia="Arial" w:hAnsi="Arial"/>
          <w:sz w:val="19"/>
          <w:szCs w:val="19"/>
          <w:color w:val="auto"/>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Eurodollar Loans to reduce any liability of the Borrower to such Lender under Section 10.3 hereof or to avoid the unavailability of Eurodollar Loans under Section 10.2 hereof, so long as such designation is not otherwise disadvantageous to the Lender.</w:t>
      </w:r>
    </w:p>
    <w:p>
      <w:pPr>
        <w:spacing w:after="0" w:line="164" w:lineRule="exact"/>
        <w:rPr>
          <w:sz w:val="20"/>
          <w:szCs w:val="20"/>
          <w:color w:val="auto"/>
        </w:rPr>
      </w:pPr>
    </w:p>
    <w:p>
      <w:pPr>
        <w:ind w:left="200" w:right="279" w:firstLine="594"/>
        <w:spacing w:after="0" w:line="264"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Discretion of Lender as to Manner of Funding</w:t>
      </w:r>
      <w:r>
        <w:rPr>
          <w:rFonts w:ascii="Arial" w:cs="Arial" w:eastAsia="Arial" w:hAnsi="Arial"/>
          <w:sz w:val="19"/>
          <w:szCs w:val="19"/>
          <w:i w:val="1"/>
          <w:iCs w:val="1"/>
          <w:color w:val="auto"/>
        </w:rPr>
        <w:t>.</w:t>
      </w:r>
      <w:r>
        <w:rPr>
          <w:rFonts w:ascii="Arial" w:cs="Arial" w:eastAsia="Arial" w:hAnsi="Arial"/>
          <w:sz w:val="19"/>
          <w:szCs w:val="19"/>
          <w:color w:val="auto"/>
        </w:rPr>
        <w:t xml:space="preserve">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Eurodollar Loans shall be made as if each Lender had actually funded and maintained each Eurodollar Loan through the purchase of deposits in the interbank eurodollar market having a maturity corresponding to such Loan’s Interest Period, and bearing an interest rate equal to LIBOR for such Interest Period.</w:t>
      </w:r>
    </w:p>
    <w:p>
      <w:pPr>
        <w:spacing w:after="0" w:line="162" w:lineRule="exact"/>
        <w:rPr>
          <w:sz w:val="20"/>
          <w:szCs w:val="20"/>
          <w:color w:val="auto"/>
        </w:rPr>
      </w:pPr>
    </w:p>
    <w:p>
      <w:pPr>
        <w:ind w:left="200" w:right="419" w:firstLine="594"/>
        <w:spacing w:after="0" w:line="266"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 Notwithstanding anything to the contrary herein or in any other Loan Document:</w:t>
      </w:r>
    </w:p>
    <w:p>
      <w:pPr>
        <w:spacing w:after="0" w:line="146" w:lineRule="exact"/>
        <w:rPr>
          <w:sz w:val="20"/>
          <w:szCs w:val="20"/>
          <w:color w:val="auto"/>
        </w:rPr>
      </w:pPr>
    </w:p>
    <w:p>
      <w:pPr>
        <w:jc w:val="both"/>
        <w:ind w:left="200" w:right="219" w:firstLine="1190"/>
        <w:spacing w:after="0" w:line="235" w:lineRule="auto"/>
        <w:tabs>
          <w:tab w:leader="none" w:pos="1982" w:val="left"/>
        </w:tabs>
        <w:numPr>
          <w:ilvl w:val="0"/>
          <w:numId w:val="100"/>
        </w:numPr>
        <w:rPr>
          <w:rFonts w:ascii="Arial" w:cs="Arial" w:eastAsia="Arial" w:hAnsi="Arial"/>
          <w:sz w:val="20"/>
          <w:szCs w:val="20"/>
          <w:color w:val="auto"/>
        </w:rPr>
      </w:pPr>
      <w:r>
        <w:rPr>
          <w:rFonts w:ascii="Arial" w:cs="Arial" w:eastAsia="Arial" w:hAnsi="Arial"/>
          <w:sz w:val="20"/>
          <w:szCs w:val="20"/>
          <w:i w:val="1"/>
          <w:iCs w:val="1"/>
          <w:color w:val="auto"/>
        </w:rPr>
        <w:t>Replacing USD LIBOR</w:t>
      </w:r>
      <w:r>
        <w:rPr>
          <w:rFonts w:ascii="Arial" w:cs="Arial" w:eastAsia="Arial" w:hAnsi="Arial"/>
          <w:sz w:val="20"/>
          <w:szCs w:val="20"/>
          <w:color w:val="auto"/>
        </w:rPr>
        <w:t>. On March 5, 2021, the Financial Conduct Authority</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FCA</w:t>
      </w:r>
      <w:r>
        <w:rPr>
          <w:rFonts w:ascii="Arial" w:cs="Arial" w:eastAsia="Arial" w:hAnsi="Arial"/>
          <w:sz w:val="20"/>
          <w:szCs w:val="20"/>
          <w:color w:val="auto"/>
        </w:rPr>
        <w:t>”), the regulatory supervisor of USD LIBOR’s administrator (“</w:t>
      </w:r>
      <w:r>
        <w:rPr>
          <w:rFonts w:ascii="Arial" w:cs="Arial" w:eastAsia="Arial" w:hAnsi="Arial"/>
          <w:sz w:val="20"/>
          <w:szCs w:val="20"/>
          <w:i w:val="1"/>
          <w:iCs w:val="1"/>
          <w:color w:val="auto"/>
        </w:rPr>
        <w:t>IBA</w:t>
      </w:r>
      <w:r>
        <w:rPr>
          <w:rFonts w:ascii="Arial" w:cs="Arial" w:eastAsia="Arial" w:hAnsi="Arial"/>
          <w:sz w:val="20"/>
          <w:szCs w:val="20"/>
          <w:color w:val="auto"/>
        </w:rPr>
        <w:t>”), announced in a public statement the future cessation or loss of representativeness of overnight/Spot Next, 1-month, 3-month, 6-month and 12-month USD LIBOR tenor settings. On the earliest of (i) July 1, 2023, (ii) the date that all Available Tenors of USD LIBOR have either permanently or indefinitely ceased to be provided by IBA or have been announced by the FCA pursuant to public statement or publication of information to be no longer representative and (iii) the Early Opt-in Effective Date, if the then-current Benchmark is USD LIBOR, the Benchmark Replacement will replace such Benchmark for all purposes hereunder and under any Loan Document in respect of any setting of such Benchmark on such day and all subsequent settings without any amendment to, or further action by or consent of any other party to, this Agreement or any other Loan Document. If the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5" w:name="page116"/>
    <w:bookmarkEnd w:id="115"/>
    <w:p>
      <w:pPr>
        <w:ind w:left="200"/>
        <w:spacing w:after="0"/>
        <w:rPr>
          <w:sz w:val="20"/>
          <w:szCs w:val="20"/>
          <w:color w:val="auto"/>
        </w:rPr>
      </w:pPr>
      <w:r>
        <w:rPr>
          <w:rFonts w:ascii="Arial" w:cs="Arial" w:eastAsia="Arial" w:hAnsi="Arial"/>
          <w:sz w:val="18"/>
          <w:szCs w:val="18"/>
          <w:color w:val="auto"/>
        </w:rPr>
        <w:t>Benchmark Replacement is Daily Simple SOFR, all interest payments will be payable on a monthly basis.</w:t>
      </w:r>
    </w:p>
    <w:p>
      <w:pPr>
        <w:spacing w:after="0" w:line="214" w:lineRule="exact"/>
        <w:rPr>
          <w:sz w:val="20"/>
          <w:szCs w:val="20"/>
          <w:color w:val="auto"/>
        </w:rPr>
      </w:pPr>
    </w:p>
    <w:p>
      <w:pPr>
        <w:jc w:val="both"/>
        <w:ind w:left="200" w:right="219" w:firstLine="1190"/>
        <w:spacing w:after="0" w:line="260" w:lineRule="auto"/>
        <w:tabs>
          <w:tab w:leader="none" w:pos="1982"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Replacing Future Benchmarks</w:t>
      </w:r>
      <w:r>
        <w:rPr>
          <w:rFonts w:ascii="Arial" w:cs="Arial" w:eastAsia="Arial" w:hAnsi="Arial"/>
          <w:sz w:val="18"/>
          <w:szCs w:val="18"/>
          <w:color w:val="auto"/>
        </w:rPr>
        <w:t>. If any Benchmark Transition Event occurs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(other than as described above with respect to USD LIBOR), the then-current Benchmark will be replaced with the Benchmark Replacement for all purposes hereunder and under any Loan Document in respect of any Benchmark setting on the later of (i) as of 5:00 p.m. (New York City time) on the fifth (5th) Business Day after the date notice of such Benchmark Replacement is provided to the Lenders and the Borrower or (ii) such other date as may be determined by the Administrative Agent, in each case, without any further action or consent of any other party to this Agreement or any other Loan Document, so long as the Administrative Agent has not received, by such time (or, in the case of clause (ii) above, such time as may be specified by the Administrative Agent as a deadline to receive objections, but in any case, no less than five (5) Business Days after the date such notice is provided to the Lenders and the Borrower), written notice of objection to such Benchmark Replacement from Lenders comprising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event that the then-current Benchmark is not a SOFR-based rate, then the Benchmark Replacement shall be determined in accordance with clause (1) of the definition of “Benchmark Replacement” unless the Administrative Agent has determined that neither of such alternative rates is available.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61" w:lineRule="exact"/>
        <w:rPr>
          <w:rFonts w:ascii="Arial" w:cs="Arial" w:eastAsia="Arial" w:hAnsi="Arial"/>
          <w:sz w:val="18"/>
          <w:szCs w:val="18"/>
          <w:color w:val="auto"/>
        </w:rPr>
      </w:pPr>
    </w:p>
    <w:p>
      <w:pPr>
        <w:jc w:val="both"/>
        <w:ind w:left="200" w:right="219" w:firstLine="1190"/>
        <w:spacing w:after="0" w:line="236" w:lineRule="auto"/>
        <w:tabs>
          <w:tab w:leader="none" w:pos="1982" w:val="left"/>
        </w:tabs>
        <w:numPr>
          <w:ilvl w:val="0"/>
          <w:numId w:val="101"/>
        </w:numPr>
        <w:rPr>
          <w:rFonts w:ascii="Arial" w:cs="Arial" w:eastAsia="Arial" w:hAnsi="Arial"/>
          <w:sz w:val="20"/>
          <w:szCs w:val="20"/>
          <w:color w:val="auto"/>
        </w:rPr>
      </w:pPr>
      <w:r>
        <w:rPr>
          <w:rFonts w:ascii="Arial" w:cs="Arial" w:eastAsia="Arial" w:hAnsi="Arial"/>
          <w:sz w:val="20"/>
          <w:szCs w:val="20"/>
          <w:i w:val="1"/>
          <w:iCs w:val="1"/>
          <w:color w:val="auto"/>
        </w:rPr>
        <w:t>Benchmark Replacement Conforming Changes</w:t>
      </w:r>
      <w:r>
        <w:rPr>
          <w:rFonts w:ascii="Arial" w:cs="Arial" w:eastAsia="Arial" w:hAnsi="Arial"/>
          <w:sz w:val="20"/>
          <w:szCs w:val="20"/>
          <w:color w:val="auto"/>
        </w:rPr>
        <w:t>. In connection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implementation and administration of a Benchmark Replacement (whether in connection with the replacement of USD LIBOR or any future Benchmark),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4" w:lineRule="exact"/>
        <w:rPr>
          <w:rFonts w:ascii="Arial" w:cs="Arial" w:eastAsia="Arial" w:hAnsi="Arial"/>
          <w:sz w:val="20"/>
          <w:szCs w:val="20"/>
          <w:color w:val="auto"/>
        </w:rPr>
      </w:pPr>
    </w:p>
    <w:p>
      <w:pPr>
        <w:jc w:val="both"/>
        <w:ind w:left="200" w:right="219" w:firstLine="1190"/>
        <w:spacing w:after="0" w:line="253" w:lineRule="auto"/>
        <w:tabs>
          <w:tab w:leader="none" w:pos="1982"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Notices; Standards for Decisions and Determinations</w:t>
      </w:r>
      <w:r>
        <w:rPr>
          <w:rFonts w:ascii="Arial" w:cs="Arial" w:eastAsia="Arial" w:hAnsi="Arial"/>
          <w:sz w:val="19"/>
          <w:szCs w:val="19"/>
          <w:color w:val="auto"/>
        </w:rPr>
        <w:t>. The Administrative Agent</w:t>
      </w:r>
      <w:r>
        <w:rPr>
          <w:rFonts w:ascii="Arial" w:cs="Arial" w:eastAsia="Arial" w:hAnsi="Arial"/>
          <w:sz w:val="19"/>
          <w:szCs w:val="19"/>
          <w:i w:val="1"/>
          <w:iCs w:val="1"/>
          <w:color w:val="auto"/>
        </w:rPr>
        <w:t xml:space="preserve"> </w:t>
      </w:r>
      <w:r>
        <w:rPr>
          <w:rFonts w:ascii="Arial" w:cs="Arial" w:eastAsia="Arial" w:hAnsi="Arial"/>
          <w:sz w:val="19"/>
          <w:szCs w:val="19"/>
          <w:color w:val="auto"/>
        </w:rPr>
        <w:t>will promptly notify the Borrower and the Lenders of (i) the implementation of any Benchmark</w:t>
      </w:r>
    </w:p>
    <w:p>
      <w:pPr>
        <w:spacing w:after="0" w:line="1"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0"/>
          <w:szCs w:val="20"/>
          <w:color w:val="auto"/>
        </w:rPr>
        <w:t>Replacement and (ii) the effectiveness of any Benchmark Replacement Conforming Changes. Any determination, decision or election that may be made by the Administrative Agent pursuant to this Section including, without limitation, any determination with respect to a tenor, rate or adjustment, or implementation of any Benchmark Replacement Conforming Changes, the timing of implementation of any Benchmark Replacement or of the occurrence or non-occurrence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6" w:name="page117"/>
    <w:bookmarkEnd w:id="116"/>
    <w:p>
      <w:pPr>
        <w:jc w:val="both"/>
        <w:ind w:left="200" w:right="219"/>
        <w:spacing w:after="0" w:line="270" w:lineRule="auto"/>
        <w:rPr>
          <w:sz w:val="20"/>
          <w:szCs w:val="20"/>
          <w:color w:val="auto"/>
        </w:rPr>
      </w:pPr>
      <w:r>
        <w:rPr>
          <w:rFonts w:ascii="Arial" w:cs="Arial" w:eastAsia="Arial" w:hAnsi="Arial"/>
          <w:sz w:val="18"/>
          <w:szCs w:val="18"/>
          <w:color w:val="auto"/>
        </w:rPr>
        <w:t>of an event, circumstance or date and any decision to take or refrain from taking any action, will be conclusive and binding on all parties hereto absent manifest error and may be made in its sole discretion and without consent from any other party to this Agreement or any other Loan Document, except, in each case, as expressly required pursuant to this Section, and shall not be a basis of any claim of liability of any kind or nature by any party hereto, all such claims being hereby waived individually by each party hereto.</w:t>
      </w:r>
    </w:p>
    <w:p>
      <w:pPr>
        <w:spacing w:after="0" w:line="148" w:lineRule="exact"/>
        <w:rPr>
          <w:sz w:val="20"/>
          <w:szCs w:val="20"/>
          <w:color w:val="auto"/>
        </w:rPr>
      </w:pPr>
    </w:p>
    <w:p>
      <w:pPr>
        <w:jc w:val="both"/>
        <w:ind w:left="200" w:right="219" w:firstLine="1190"/>
        <w:spacing w:after="0" w:line="250" w:lineRule="auto"/>
        <w:tabs>
          <w:tab w:leader="none" w:pos="1982"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Unavailability of Tenor of Benchmark</w:t>
      </w:r>
      <w:r>
        <w:rPr>
          <w:rFonts w:ascii="Arial" w:cs="Arial" w:eastAsia="Arial" w:hAnsi="Arial"/>
          <w:sz w:val="19"/>
          <w:szCs w:val="19"/>
          <w:color w:val="auto"/>
        </w:rPr>
        <w:t>. At any time (including in connection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implementation of a Benchmark Replacement), (i) if the then-current Benchmark is a term rate (including Term SOFR or USD LIBOR or any alternate rate selected in an Early Opt-in Election), then the Administrative Agent may remove any tenor of such Benchmark that is unavailable or non-representative for such Benchmark (including any Benchmark Replacement) settings and (ii) if such tenor becomes available or representative, the Administrative Agent may reinstate any previously removed tenor for such Benchmark (including any Benchmark Replacement) settings.</w:t>
      </w:r>
    </w:p>
    <w:p>
      <w:pPr>
        <w:spacing w:after="0" w:line="164" w:lineRule="exact"/>
        <w:rPr>
          <w:rFonts w:ascii="Arial" w:cs="Arial" w:eastAsia="Arial" w:hAnsi="Arial"/>
          <w:sz w:val="19"/>
          <w:szCs w:val="19"/>
          <w:color w:val="auto"/>
        </w:rPr>
      </w:pPr>
    </w:p>
    <w:p>
      <w:pPr>
        <w:ind w:left="1980" w:hanging="590"/>
        <w:spacing w:after="0"/>
        <w:tabs>
          <w:tab w:leader="none" w:pos="1980" w:val="left"/>
        </w:tabs>
        <w:numPr>
          <w:ilvl w:val="0"/>
          <w:numId w:val="102"/>
        </w:numPr>
        <w:rPr>
          <w:rFonts w:ascii="Arial" w:cs="Arial" w:eastAsia="Arial" w:hAnsi="Arial"/>
          <w:sz w:val="20"/>
          <w:szCs w:val="20"/>
          <w:color w:val="auto"/>
        </w:rPr>
      </w:pPr>
      <w:r>
        <w:rPr>
          <w:rFonts w:ascii="Arial" w:cs="Arial" w:eastAsia="Arial" w:hAnsi="Arial"/>
          <w:sz w:val="20"/>
          <w:szCs w:val="20"/>
          <w:i w:val="1"/>
          <w:iCs w:val="1"/>
          <w:color w:val="auto"/>
        </w:rPr>
        <w:t>Certain Defined Terms</w:t>
      </w:r>
      <w:r>
        <w:rPr>
          <w:rFonts w:ascii="Arial" w:cs="Arial" w:eastAsia="Arial" w:hAnsi="Arial"/>
          <w:sz w:val="20"/>
          <w:szCs w:val="20"/>
          <w:color w:val="auto"/>
        </w:rPr>
        <w:t>. As used in this Section:</w:t>
      </w:r>
    </w:p>
    <w:p>
      <w:pPr>
        <w:spacing w:after="0" w:line="191" w:lineRule="exact"/>
        <w:rPr>
          <w:sz w:val="20"/>
          <w:szCs w:val="20"/>
          <w:color w:val="auto"/>
        </w:rPr>
      </w:pPr>
    </w:p>
    <w:p>
      <w:pPr>
        <w:jc w:val="both"/>
        <w:ind w:left="800" w:right="219" w:firstLine="594"/>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Available Tenor</w:t>
      </w:r>
      <w:r>
        <w:rPr>
          <w:rFonts w:ascii="Arial" w:cs="Arial" w:eastAsia="Arial" w:hAnsi="Arial"/>
          <w:sz w:val="20"/>
          <w:szCs w:val="20"/>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72" w:lineRule="exact"/>
        <w:rPr>
          <w:sz w:val="20"/>
          <w:szCs w:val="20"/>
          <w:color w:val="auto"/>
        </w:rPr>
      </w:pPr>
    </w:p>
    <w:p>
      <w:pPr>
        <w:jc w:val="both"/>
        <w:ind w:left="800" w:right="219" w:firstLine="594"/>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Benchmark</w:t>
      </w:r>
      <w:r>
        <w:rPr>
          <w:rFonts w:ascii="Arial" w:cs="Arial" w:eastAsia="Arial" w:hAnsi="Arial"/>
          <w:sz w:val="20"/>
          <w:szCs w:val="20"/>
          <w:color w:val="auto"/>
        </w:rPr>
        <w:t xml:space="preserve">” means, initially, USD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replacement for the Benchmark has occurred pursuant to this Section,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Benchmark Replacement</w:t>
      </w:r>
      <w:r>
        <w:rPr>
          <w:rFonts w:ascii="Arial" w:cs="Arial" w:eastAsia="Arial" w:hAnsi="Arial"/>
          <w:sz w:val="20"/>
          <w:szCs w:val="20"/>
          <w:color w:val="auto"/>
        </w:rPr>
        <w:t>” means, for any Available Tenor:</w:t>
      </w:r>
    </w:p>
    <w:p>
      <w:pPr>
        <w:spacing w:after="0" w:line="191" w:lineRule="exact"/>
        <w:rPr>
          <w:sz w:val="20"/>
          <w:szCs w:val="20"/>
          <w:color w:val="auto"/>
        </w:rPr>
      </w:pPr>
    </w:p>
    <w:p>
      <w:pPr>
        <w:ind w:left="1400" w:right="319" w:hanging="10"/>
        <w:spacing w:after="0" w:line="253" w:lineRule="auto"/>
        <w:tabs>
          <w:tab w:leader="none" w:pos="199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purposes of clause (a) of this Section, the first alternative set forth below that can be determined by the Administrative Agent:</w:t>
      </w:r>
    </w:p>
    <w:p>
      <w:pPr>
        <w:spacing w:after="0" w:line="158" w:lineRule="exact"/>
        <w:rPr>
          <w:rFonts w:ascii="Arial" w:cs="Arial" w:eastAsia="Arial" w:hAnsi="Arial"/>
          <w:sz w:val="20"/>
          <w:szCs w:val="20"/>
          <w:color w:val="auto"/>
        </w:rPr>
      </w:pPr>
    </w:p>
    <w:p>
      <w:pPr>
        <w:jc w:val="both"/>
        <w:ind w:left="1400" w:right="219" w:firstLine="584"/>
        <w:spacing w:after="0" w:line="263" w:lineRule="auto"/>
        <w:tabs>
          <w:tab w:leader="none" w:pos="261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sum of: (i) Term SOFR and (ii) 0.11448% (11.448 basis points) for an Available Tenor of one-month’s duration, 0.26161% (26.161 basis points) for an Available Tenor of three-months’ duration, and 0.42826% (42.826 basis points) for an Available Tenor of six-months’ duration;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Borrower has provided a notification to the Administrative Agent in writing on or prior to the date on which the Benchmark Replacement will become effective that the Borrower has a Hedging Agreement in place with respect to any of the Loans as of the date of such notice (which such notification the Administrative Agent shall be entitled to rely upon and shall have no duty or obligation to ascertain the correctness or completeness of), then the Administrative Agent will not determine the Benchmark Replacement pursuant to this clause (1)(a) for such Benchmark Transition Event or Early Opt-in Election, as applicable; or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7" w:name="page118"/>
    <w:bookmarkEnd w:id="117"/>
    <w:p>
      <w:pPr>
        <w:ind w:left="1400" w:right="219" w:firstLine="584"/>
        <w:spacing w:after="0" w:line="253" w:lineRule="auto"/>
        <w:tabs>
          <w:tab w:leader="none" w:pos="262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sum of: (i) Daily Simple SOFR and (ii) the spread adjustment for an Available Tenor of one-month’s duration (0.11448% (11.448 basis points));</w:t>
      </w:r>
    </w:p>
    <w:p>
      <w:pPr>
        <w:spacing w:after="0" w:line="159" w:lineRule="exact"/>
        <w:rPr>
          <w:sz w:val="20"/>
          <w:szCs w:val="20"/>
          <w:color w:val="auto"/>
        </w:rPr>
      </w:pPr>
    </w:p>
    <w:p>
      <w:pPr>
        <w:jc w:val="both"/>
        <w:ind w:left="1400" w:right="219"/>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 Early Opt-in Election has been made, the Benchmark Replacement will be the benchmark selected in connection with such Early Opt-in Election; and</w:t>
      </w:r>
    </w:p>
    <w:p>
      <w:pPr>
        <w:spacing w:after="0" w:line="168" w:lineRule="exact"/>
        <w:rPr>
          <w:sz w:val="20"/>
          <w:szCs w:val="20"/>
          <w:color w:val="auto"/>
        </w:rPr>
      </w:pPr>
    </w:p>
    <w:p>
      <w:pPr>
        <w:jc w:val="both"/>
        <w:ind w:left="1400" w:right="219" w:hanging="10"/>
        <w:spacing w:after="0" w:line="236" w:lineRule="auto"/>
        <w:tabs>
          <w:tab w:leader="none" w:pos="199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10.6(b)</w:t>
      </w:r>
      <w:r>
        <w:rPr>
          <w:rFonts w:ascii="Arial" w:cs="Arial" w:eastAsia="Arial" w:hAnsi="Arial"/>
          <w:sz w:val="20"/>
          <w:szCs w:val="20"/>
          <w:color w:val="auto"/>
        </w:rPr>
        <w:t>, the sum of: (a) the alternate benchmark rate and (b) an adjustment (which may be a positive or negative value, or zero), in each case, that has been selected pursuant to this clause (2)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74" w:lineRule="exact"/>
        <w:rPr>
          <w:sz w:val="20"/>
          <w:szCs w:val="20"/>
          <w:color w:val="auto"/>
        </w:rPr>
      </w:pPr>
    </w:p>
    <w:p>
      <w:pPr>
        <w:jc w:val="both"/>
        <w:ind w:left="1400" w:right="219"/>
        <w:spacing w:after="0" w:line="26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Benchmark Replacement as determined pursuant to clause (1) or (2) above would be less than the Floor, the Benchmark Replacement will be deemed to be the Floor for all purposes of this Agreement and the other Loan Documents.</w:t>
      </w:r>
    </w:p>
    <w:p>
      <w:pPr>
        <w:spacing w:after="0" w:line="151" w:lineRule="exact"/>
        <w:rPr>
          <w:sz w:val="20"/>
          <w:szCs w:val="20"/>
          <w:color w:val="auto"/>
        </w:rPr>
      </w:pPr>
    </w:p>
    <w:p>
      <w:pPr>
        <w:jc w:val="both"/>
        <w:ind w:left="800" w:right="219" w:firstLine="66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53" w:lineRule="exact"/>
        <w:rPr>
          <w:sz w:val="20"/>
          <w:szCs w:val="20"/>
          <w:color w:val="auto"/>
        </w:rPr>
      </w:pPr>
    </w:p>
    <w:p>
      <w:pPr>
        <w:jc w:val="both"/>
        <w:ind w:left="800" w:right="219" w:firstLine="656"/>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Benchmark Transition Event</w:t>
      </w:r>
      <w:r>
        <w:rPr>
          <w:rFonts w:ascii="Arial" w:cs="Arial" w:eastAsia="Arial" w:hAnsi="Arial"/>
          <w:sz w:val="19"/>
          <w:szCs w:val="19"/>
          <w:color w:val="auto"/>
        </w:rPr>
        <w:t>” means, with respect to any then-current Benchmark (other than USD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8" w:name="page119"/>
    <w:bookmarkEnd w:id="118"/>
    <w:p>
      <w:pPr>
        <w:jc w:val="both"/>
        <w:ind w:left="800" w:right="219"/>
        <w:spacing w:after="0" w:line="283" w:lineRule="auto"/>
        <w:rPr>
          <w:sz w:val="20"/>
          <w:szCs w:val="20"/>
          <w:color w:val="auto"/>
        </w:rPr>
      </w:pPr>
      <w:r>
        <w:rPr>
          <w:rFonts w:ascii="Arial" w:cs="Arial" w:eastAsia="Arial" w:hAnsi="Arial"/>
          <w:sz w:val="18"/>
          <w:szCs w:val="18"/>
          <w:color w:val="auto"/>
        </w:rPr>
        <w:t>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34" w:lineRule="exact"/>
        <w:rPr>
          <w:sz w:val="20"/>
          <w:szCs w:val="20"/>
          <w:color w:val="auto"/>
        </w:rPr>
      </w:pPr>
    </w:p>
    <w:p>
      <w:pPr>
        <w:jc w:val="both"/>
        <w:ind w:left="800" w:right="219" w:firstLine="64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Daily Simple SOFR</w:t>
      </w:r>
      <w:r>
        <w:rPr>
          <w:rFonts w:ascii="Arial" w:cs="Arial" w:eastAsia="Arial" w:hAnsi="Arial"/>
          <w:sz w:val="18"/>
          <w:szCs w:val="18"/>
          <w:color w:val="auto"/>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48" w:lineRule="exact"/>
        <w:rPr>
          <w:sz w:val="20"/>
          <w:szCs w:val="20"/>
          <w:color w:val="auto"/>
        </w:rPr>
      </w:pPr>
    </w:p>
    <w:p>
      <w:pPr>
        <w:jc w:val="both"/>
        <w:ind w:left="800" w:right="219" w:firstLine="656"/>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Early Opt-in Effective Date</w:t>
      </w:r>
      <w:r>
        <w:rPr>
          <w:rFonts w:ascii="Arial" w:cs="Arial" w:eastAsia="Arial" w:hAnsi="Arial"/>
          <w:sz w:val="20"/>
          <w:szCs w:val="20"/>
          <w:color w:val="auto"/>
        </w:rPr>
        <w:t>” means, with respect to any Early Opt-in Election, the sixth (6</w:t>
      </w:r>
      <w:r>
        <w:rPr>
          <w:rFonts w:ascii="Arial" w:cs="Arial" w:eastAsia="Arial" w:hAnsi="Arial"/>
          <w:sz w:val="14"/>
          <w:szCs w:val="14"/>
          <w:color w:val="auto"/>
        </w:rPr>
        <w:t>th</w:t>
      </w:r>
      <w:r>
        <w:rPr>
          <w:rFonts w:ascii="Arial" w:cs="Arial" w:eastAsia="Arial" w:hAnsi="Arial"/>
          <w:sz w:val="20"/>
          <w:szCs w:val="20"/>
          <w:color w:val="auto"/>
        </w:rPr>
        <w:t>)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72"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Early Opt-in Election</w:t>
      </w:r>
      <w:r>
        <w:rPr>
          <w:rFonts w:ascii="Arial" w:cs="Arial" w:eastAsia="Arial" w:hAnsi="Arial"/>
          <w:sz w:val="20"/>
          <w:szCs w:val="20"/>
          <w:color w:val="auto"/>
        </w:rPr>
        <w:t>” means the occurrence of:</w:t>
      </w:r>
    </w:p>
    <w:p>
      <w:pPr>
        <w:spacing w:after="0" w:line="191" w:lineRule="exact"/>
        <w:rPr>
          <w:sz w:val="20"/>
          <w:szCs w:val="20"/>
          <w:color w:val="auto"/>
        </w:rPr>
      </w:pPr>
    </w:p>
    <w:p>
      <w:pPr>
        <w:jc w:val="both"/>
        <w:ind w:left="1400" w:right="219" w:hanging="10"/>
        <w:spacing w:after="0" w:line="236" w:lineRule="auto"/>
        <w:tabs>
          <w:tab w:leader="none" w:pos="199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notification by the Administrative Agent to each of the other parties hereto that at least five currently outstanding U.S. dollar-denominated syndicated credit facilities at such time incorporate or adopt (as a result of amendment or as originally executed) either a SOFR-based rate (including SOFR or Term SOFR or any other rate based upon SOFR) as a benchmark rate or an alternate benchmark interest rate to replace USD LIBOR (and such syndicated credit facilities are identified in such notice and are publicly available for review), and</w:t>
      </w:r>
    </w:p>
    <w:p>
      <w:pPr>
        <w:spacing w:after="0" w:line="174" w:lineRule="exact"/>
        <w:rPr>
          <w:rFonts w:ascii="Arial" w:cs="Arial" w:eastAsia="Arial" w:hAnsi="Arial"/>
          <w:sz w:val="20"/>
          <w:szCs w:val="20"/>
          <w:color w:val="auto"/>
        </w:rPr>
      </w:pPr>
    </w:p>
    <w:p>
      <w:pPr>
        <w:jc w:val="both"/>
        <w:ind w:left="1400" w:right="219" w:hanging="10"/>
        <w:spacing w:after="0" w:line="243" w:lineRule="auto"/>
        <w:tabs>
          <w:tab w:leader="none" w:pos="199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trigger a fallback from USD LIBOR and the provision by the Administrative Agent of written notice of such election to the Lenders.</w:t>
      </w:r>
    </w:p>
    <w:p>
      <w:pPr>
        <w:spacing w:after="0" w:line="168" w:lineRule="exact"/>
        <w:rPr>
          <w:sz w:val="20"/>
          <w:szCs w:val="20"/>
          <w:color w:val="auto"/>
        </w:rPr>
      </w:pPr>
    </w:p>
    <w:p>
      <w:pPr>
        <w:jc w:val="both"/>
        <w:ind w:left="800" w:right="219" w:firstLine="656"/>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USD LIBOR. As of the Closing Date, the Floor is 0%; provided, that the Floor will not apply if the applicable Loan is subject to a Hedging Agreement consisting of an interest rate swap and Borrower has provided notice thereof to the Administrative Agent in writing on or prior to such date.</w:t>
      </w:r>
    </w:p>
    <w:p>
      <w:pPr>
        <w:spacing w:after="0" w:line="172" w:lineRule="exact"/>
        <w:rPr>
          <w:sz w:val="20"/>
          <w:szCs w:val="20"/>
          <w:color w:val="auto"/>
        </w:rPr>
      </w:pPr>
    </w:p>
    <w:p>
      <w:pPr>
        <w:jc w:val="both"/>
        <w:ind w:left="800" w:right="219" w:firstLine="594"/>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3" w:lineRule="exact"/>
        <w:rPr>
          <w:sz w:val="20"/>
          <w:szCs w:val="20"/>
          <w:color w:val="auto"/>
        </w:rPr>
      </w:pPr>
    </w:p>
    <w:p>
      <w:pPr>
        <w:jc w:val="both"/>
        <w:ind w:left="800" w:right="219" w:firstLine="66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SOFR</w:t>
      </w:r>
      <w:r>
        <w:rPr>
          <w:rFonts w:ascii="Arial" w:cs="Arial" w:eastAsia="Arial" w:hAnsi="Arial"/>
          <w:sz w:val="20"/>
          <w:szCs w:val="20"/>
          <w:color w:val="auto"/>
        </w:rPr>
        <w:t>” means, for any Business Day, a rate per annum equal to the secured overnight financing rate for such Business Day published by the Federal Reserve Bank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19" w:name="page120"/>
    <w:bookmarkEnd w:id="119"/>
    <w:p>
      <w:pPr>
        <w:jc w:val="both"/>
        <w:ind w:left="800" w:right="219"/>
        <w:spacing w:after="0" w:line="275" w:lineRule="auto"/>
        <w:rPr>
          <w:sz w:val="20"/>
          <w:szCs w:val="20"/>
          <w:color w:val="auto"/>
        </w:rPr>
      </w:pPr>
      <w:r>
        <w:rPr>
          <w:rFonts w:ascii="Arial" w:cs="Arial" w:eastAsia="Arial" w:hAnsi="Arial"/>
          <w:sz w:val="18"/>
          <w:szCs w:val="18"/>
          <w:color w:val="auto"/>
        </w:rPr>
        <w:t>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on the immediately succeeding Business Day.</w:t>
      </w:r>
    </w:p>
    <w:p>
      <w:pPr>
        <w:spacing w:after="0" w:line="140" w:lineRule="exact"/>
        <w:rPr>
          <w:sz w:val="20"/>
          <w:szCs w:val="20"/>
          <w:color w:val="auto"/>
        </w:rPr>
      </w:pPr>
    </w:p>
    <w:p>
      <w:pPr>
        <w:jc w:val="both"/>
        <w:ind w:left="800" w:right="219" w:firstLine="644"/>
        <w:spacing w:after="0" w:line="30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w:t>
      </w:r>
      <w:r>
        <w:rPr>
          <w:rFonts w:ascii="Arial" w:cs="Arial" w:eastAsia="Arial" w:hAnsi="Arial"/>
          <w:sz w:val="18"/>
          <w:szCs w:val="18"/>
          <w:color w:val="auto"/>
        </w:rPr>
        <w:t>” means, for the applicable corresponding tenor, the forward-looking term rate based on SOFR that has been selected or recommended by the Relevant Governmental Body.</w:t>
      </w:r>
    </w:p>
    <w:p>
      <w:pPr>
        <w:spacing w:after="0" w:line="112" w:lineRule="exact"/>
        <w:rPr>
          <w:sz w:val="20"/>
          <w:szCs w:val="20"/>
          <w:color w:val="auto"/>
        </w:rPr>
      </w:pPr>
    </w:p>
    <w:p>
      <w:pPr>
        <w:jc w:val="both"/>
        <w:ind w:left="800" w:right="219" w:firstLine="64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USD LIBOR</w:t>
      </w:r>
      <w:r>
        <w:rPr>
          <w:rFonts w:ascii="Arial" w:cs="Arial" w:eastAsia="Arial" w:hAnsi="Arial"/>
          <w:sz w:val="20"/>
          <w:szCs w:val="20"/>
          <w:color w:val="auto"/>
        </w:rPr>
        <w:t>” means the London interbank offered rate for U.S. dollars, including, without limitation, LIBOR.</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11. THE ADMINISTRATIVE AGENT.</w:t>
      </w:r>
    </w:p>
    <w:p>
      <w:pPr>
        <w:spacing w:after="0" w:line="203" w:lineRule="exact"/>
        <w:rPr>
          <w:sz w:val="20"/>
          <w:szCs w:val="20"/>
          <w:color w:val="auto"/>
        </w:rPr>
      </w:pPr>
    </w:p>
    <w:p>
      <w:pPr>
        <w:ind w:left="200" w:right="379" w:firstLine="594"/>
        <w:spacing w:after="0" w:line="29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Lenders hereby irrevocably 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2" w:lineRule="exact"/>
        <w:rPr>
          <w:sz w:val="20"/>
          <w:szCs w:val="20"/>
          <w:color w:val="auto"/>
        </w:rPr>
      </w:pPr>
    </w:p>
    <w:p>
      <w:pPr>
        <w:ind w:left="200" w:right="299" w:firstLine="594"/>
        <w:spacing w:after="0" w:line="26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Rights as a Lender</w:t>
      </w:r>
      <w:r>
        <w:rPr>
          <w:rFonts w:ascii="Arial" w:cs="Arial" w:eastAsia="Arial" w:hAnsi="Arial"/>
          <w:sz w:val="19"/>
          <w:szCs w:val="19"/>
          <w:i w:val="1"/>
          <w:iCs w:val="1"/>
          <w:color w:val="auto"/>
        </w:rPr>
        <w:t>.</w:t>
      </w:r>
      <w:r>
        <w:rPr>
          <w:rFonts w:ascii="Arial" w:cs="Arial" w:eastAsia="Arial" w:hAnsi="Arial"/>
          <w:sz w:val="19"/>
          <w:szCs w:val="19"/>
          <w:color w:val="auto"/>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68"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18"/>
          <w:szCs w:val="18"/>
          <w:u w:val="single" w:color="auto"/>
          <w:color w:val="auto"/>
        </w:rPr>
        <w:t>Action by Administrative Agent; Exculpatory Provisions</w:t>
      </w:r>
      <w:r>
        <w:rPr>
          <w:rFonts w:ascii="Arial" w:cs="Arial" w:eastAsia="Arial" w:hAnsi="Arial"/>
          <w:sz w:val="18"/>
          <w:szCs w:val="18"/>
          <w:color w:val="auto"/>
        </w:rPr>
        <w:t>.</w:t>
      </w:r>
    </w:p>
    <w:p>
      <w:pPr>
        <w:spacing w:after="0" w:line="191" w:lineRule="exact"/>
        <w:rPr>
          <w:sz w:val="20"/>
          <w:szCs w:val="20"/>
          <w:color w:val="auto"/>
        </w:rPr>
      </w:pPr>
    </w:p>
    <w:p>
      <w:pPr>
        <w:jc w:val="both"/>
        <w:ind w:left="200" w:right="219" w:firstLine="1190"/>
        <w:spacing w:after="0" w:line="283" w:lineRule="auto"/>
        <w:tabs>
          <w:tab w:leader="none" w:pos="198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0" w:name="page121"/>
    <w:bookmarkEnd w:id="120"/>
    <w:p>
      <w:pPr>
        <w:ind w:left="800" w:right="219" w:firstLine="1184"/>
        <w:spacing w:after="0" w:line="253" w:lineRule="auto"/>
        <w:tabs>
          <w:tab w:leader="none" w:pos="258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has occurred and is continuing;</w:t>
      </w:r>
    </w:p>
    <w:p>
      <w:pPr>
        <w:spacing w:after="0" w:line="158" w:lineRule="exact"/>
        <w:rPr>
          <w:rFonts w:ascii="Arial" w:cs="Arial" w:eastAsia="Arial" w:hAnsi="Arial"/>
          <w:sz w:val="20"/>
          <w:szCs w:val="20"/>
          <w:color w:val="auto"/>
        </w:rPr>
      </w:pPr>
    </w:p>
    <w:p>
      <w:pPr>
        <w:jc w:val="both"/>
        <w:ind w:left="800" w:right="219" w:firstLine="1184"/>
        <w:spacing w:after="0" w:line="247" w:lineRule="auto"/>
        <w:tabs>
          <w:tab w:leader="none" w:pos="258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spacing w:after="0" w:line="166" w:lineRule="exact"/>
        <w:rPr>
          <w:rFonts w:ascii="Arial" w:cs="Arial" w:eastAsia="Arial" w:hAnsi="Arial"/>
          <w:sz w:val="19"/>
          <w:szCs w:val="19"/>
          <w:color w:val="auto"/>
        </w:rPr>
      </w:pPr>
    </w:p>
    <w:p>
      <w:pPr>
        <w:jc w:val="both"/>
        <w:ind w:left="800" w:right="219" w:firstLine="1184"/>
        <w:spacing w:after="0" w:line="238" w:lineRule="auto"/>
        <w:tabs>
          <w:tab w:leader="none" w:pos="258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spacing w:after="0" w:line="171" w:lineRule="exact"/>
        <w:rPr>
          <w:rFonts w:ascii="Arial" w:cs="Arial" w:eastAsia="Arial" w:hAnsi="Arial"/>
          <w:sz w:val="20"/>
          <w:szCs w:val="20"/>
          <w:color w:val="auto"/>
        </w:rPr>
      </w:pPr>
    </w:p>
    <w:p>
      <w:pPr>
        <w:jc w:val="both"/>
        <w:ind w:left="200" w:right="219" w:firstLine="1190"/>
        <w:spacing w:after="0" w:line="263" w:lineRule="auto"/>
        <w:tabs>
          <w:tab w:leader="none" w:pos="198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spacing w:after="0" w:line="157" w:lineRule="exact"/>
        <w:rPr>
          <w:rFonts w:ascii="Arial" w:cs="Arial" w:eastAsia="Arial" w:hAnsi="Arial"/>
          <w:sz w:val="18"/>
          <w:szCs w:val="18"/>
          <w:color w:val="auto"/>
        </w:rPr>
      </w:pPr>
    </w:p>
    <w:p>
      <w:pPr>
        <w:jc w:val="both"/>
        <w:ind w:left="200" w:right="219" w:firstLine="1190"/>
        <w:spacing w:after="0" w:line="249" w:lineRule="auto"/>
        <w:tabs>
          <w:tab w:leader="none" w:pos="198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1" w:name="page122"/>
    <w:bookmarkEnd w:id="121"/>
    <w:p>
      <w:pPr>
        <w:ind w:left="200" w:right="219"/>
        <w:spacing w:after="0" w:line="253" w:lineRule="auto"/>
        <w:rPr>
          <w:sz w:val="20"/>
          <w:szCs w:val="20"/>
          <w:color w:val="auto"/>
        </w:rPr>
      </w:pPr>
      <w:r>
        <w:rPr>
          <w:rFonts w:ascii="Arial" w:cs="Arial" w:eastAsia="Arial" w:hAnsi="Arial"/>
          <w:sz w:val="20"/>
          <w:szCs w:val="20"/>
          <w:color w:val="auto"/>
        </w:rPr>
        <w:t>elsewhere herein, other than to confirm receipt of items expressly required to be delivered to the Administrative Agent.</w:t>
      </w:r>
    </w:p>
    <w:p>
      <w:pPr>
        <w:spacing w:after="0" w:line="171" w:lineRule="exact"/>
        <w:rPr>
          <w:sz w:val="20"/>
          <w:szCs w:val="20"/>
          <w:color w:val="auto"/>
        </w:rPr>
      </w:pPr>
    </w:p>
    <w:p>
      <w:pPr>
        <w:ind w:left="200" w:right="219" w:firstLine="594"/>
        <w:spacing w:after="0" w:line="261"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left="200" w:right="239" w:firstLine="594"/>
        <w:spacing w:after="0" w:line="261"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1"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11.6.</w:t>
      </w:r>
      <w:r>
        <w:rPr>
          <w:sz w:val="20"/>
          <w:szCs w:val="20"/>
          <w:color w:val="auto"/>
        </w:rPr>
        <w:tab/>
      </w:r>
      <w:r>
        <w:rPr>
          <w:rFonts w:ascii="Arial" w:cs="Arial" w:eastAsia="Arial" w:hAnsi="Arial"/>
          <w:sz w:val="18"/>
          <w:szCs w:val="18"/>
          <w:u w:val="single" w:color="auto"/>
          <w:color w:val="auto"/>
        </w:rPr>
        <w:t>Resignation of Administrative Agent; Removal of Administrative Agent</w:t>
      </w:r>
      <w:r>
        <w:rPr>
          <w:rFonts w:ascii="Arial" w:cs="Arial" w:eastAsia="Arial" w:hAnsi="Arial"/>
          <w:sz w:val="18"/>
          <w:szCs w:val="18"/>
          <w:color w:val="auto"/>
        </w:rPr>
        <w:t>.</w:t>
      </w:r>
    </w:p>
    <w:p>
      <w:pPr>
        <w:spacing w:after="0" w:line="191" w:lineRule="exact"/>
        <w:rPr>
          <w:sz w:val="20"/>
          <w:szCs w:val="20"/>
          <w:color w:val="auto"/>
        </w:rPr>
      </w:pPr>
    </w:p>
    <w:p>
      <w:pPr>
        <w:ind w:left="200" w:right="219" w:firstLine="1190"/>
        <w:spacing w:after="0" w:line="263" w:lineRule="auto"/>
        <w:tabs>
          <w:tab w:leader="none" w:pos="198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Arial" w:cs="Arial" w:eastAsia="Arial" w:hAnsi="Arial"/>
          <w:sz w:val="18"/>
          <w:szCs w:val="18"/>
          <w:i w:val="1"/>
          <w:iCs w:val="1"/>
          <w:color w:val="auto"/>
        </w:rPr>
        <w:t>“Resignation Effective Date”</w:t>
      </w:r>
      <w:r>
        <w:rPr>
          <w:rFonts w:ascii="Arial" w:cs="Arial" w:eastAsia="Arial" w:hAnsi="Arial"/>
          <w:sz w:val="18"/>
          <w:szCs w:val="18"/>
          <w:color w:val="auto"/>
        </w:rPr>
        <w:t>), then the retiring Administrative Agent may (but shall not be obligated to),</w:t>
      </w:r>
      <w:r>
        <w:rPr>
          <w:rFonts w:ascii="Arial" w:cs="Arial" w:eastAsia="Arial" w:hAnsi="Arial"/>
          <w:sz w:val="18"/>
          <w:szCs w:val="18"/>
          <w:i w:val="1"/>
          <w:iCs w:val="1"/>
          <w:color w:val="auto"/>
        </w:rPr>
        <w:t xml:space="preserve"> </w:t>
      </w:r>
      <w:r>
        <w:rPr>
          <w:rFonts w:ascii="Arial" w:cs="Arial" w:eastAsia="Arial" w:hAnsi="Arial"/>
          <w:sz w:val="18"/>
          <w:szCs w:val="18"/>
          <w:color w:val="auto"/>
        </w:rPr>
        <w:t>on behalf of the Lenders, appoint a successor Administrative Agent meeting the qualifications set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2" w:name="page123"/>
    <w:bookmarkEnd w:id="122"/>
    <w:p>
      <w:pPr>
        <w:ind w:left="200" w:right="219"/>
        <w:spacing w:after="0" w:line="253" w:lineRule="auto"/>
        <w:rPr>
          <w:sz w:val="20"/>
          <w:szCs w:val="20"/>
          <w:color w:val="auto"/>
        </w:rPr>
      </w:pPr>
      <w:r>
        <w:rPr>
          <w:rFonts w:ascii="Arial" w:cs="Arial" w:eastAsia="Arial" w:hAnsi="Arial"/>
          <w:sz w:val="20"/>
          <w:szCs w:val="20"/>
          <w:color w:val="auto"/>
        </w:rPr>
        <w:t>forth above. Whether or not a successor has been appointed, such resignation or removal shall become effective in accordance with such notice on the Resignation Effective Date.</w:t>
      </w:r>
    </w:p>
    <w:p>
      <w:pPr>
        <w:spacing w:after="0" w:line="159" w:lineRule="exact"/>
        <w:rPr>
          <w:sz w:val="20"/>
          <w:szCs w:val="20"/>
          <w:color w:val="auto"/>
        </w:rPr>
      </w:pPr>
    </w:p>
    <w:p>
      <w:pPr>
        <w:jc w:val="both"/>
        <w:ind w:left="200" w:right="219" w:firstLine="1190"/>
        <w:spacing w:after="0" w:line="267" w:lineRule="auto"/>
        <w:tabs>
          <w:tab w:leader="none" w:pos="198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With effect from the Resignation Effective Date, (i) the retiring Administrative Agent shall be discharged from its duties and obligations hereunder and under the other Loan Documents, and</w:t>
      </w:r>
    </w:p>
    <w:p>
      <w:pPr>
        <w:spacing w:after="0" w:line="1" w:lineRule="exact"/>
        <w:rPr>
          <w:rFonts w:ascii="Arial" w:cs="Arial" w:eastAsia="Arial" w:hAnsi="Arial"/>
          <w:sz w:val="18"/>
          <w:szCs w:val="18"/>
          <w:color w:val="auto"/>
        </w:rPr>
      </w:pPr>
    </w:p>
    <w:p>
      <w:pPr>
        <w:jc w:val="both"/>
        <w:ind w:left="200" w:right="219" w:firstLine="2"/>
        <w:spacing w:after="0" w:line="245" w:lineRule="auto"/>
        <w:tabs>
          <w:tab w:leader="none" w:pos="49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0" w:lineRule="exact"/>
        <w:rPr>
          <w:sz w:val="20"/>
          <w:szCs w:val="20"/>
          <w:color w:val="auto"/>
        </w:rPr>
      </w:pPr>
    </w:p>
    <w:p>
      <w:pPr>
        <w:ind w:left="200" w:right="279" w:firstLine="594"/>
        <w:spacing w:after="0" w:line="248" w:lineRule="auto"/>
        <w:rPr>
          <w:sz w:val="20"/>
          <w:szCs w:val="20"/>
          <w:color w:val="auto"/>
        </w:rPr>
      </w:pPr>
      <w:r>
        <w:rPr>
          <w:rFonts w:ascii="Arial" w:cs="Arial" w:eastAsia="Arial" w:hAnsi="Arial"/>
          <w:sz w:val="20"/>
          <w:szCs w:val="20"/>
          <w:color w:val="auto"/>
        </w:rPr>
        <w:t xml:space="preserve">Section 11.7. </w:t>
      </w:r>
      <w:r>
        <w:rPr>
          <w:rFonts w:ascii="Arial" w:cs="Arial" w:eastAsia="Arial" w:hAnsi="Arial"/>
          <w:sz w:val="20"/>
          <w:szCs w:val="20"/>
          <w:u w:val="single" w:color="auto"/>
          <w:color w:val="auto"/>
        </w:rPr>
        <w:t>Non-Reliance on Administrative Agent and Other Lenders</w:t>
      </w:r>
      <w:r>
        <w:rPr>
          <w:rFonts w:ascii="Arial" w:cs="Arial" w:eastAsia="Arial" w:hAnsi="Arial"/>
          <w:sz w:val="20"/>
          <w:szCs w:val="20"/>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3"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8"/>
          <w:szCs w:val="18"/>
          <w:color w:val="auto"/>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Arial" w:cs="Arial" w:eastAsia="Arial" w:hAnsi="Arial"/>
          <w:sz w:val="18"/>
          <w:szCs w:val="18"/>
          <w:i w:val="1"/>
          <w:iCs w:val="1"/>
          <w:color w:val="auto"/>
        </w:rPr>
        <w:t>“Reports”</w:t>
      </w:r>
      <w:r>
        <w:rPr>
          <w:rFonts w:ascii="Arial" w:cs="Arial" w:eastAsia="Arial" w:hAnsi="Arial"/>
          <w:sz w:val="18"/>
          <w:szCs w:val="18"/>
          <w:color w:val="auto"/>
        </w:rPr>
        <w:t>). Each Lender hereby agrees that (a) it has requested a copy of each Report prepared by or on behalf of the Administrative Agent;</w:t>
      </w:r>
    </w:p>
    <w:p>
      <w:pPr>
        <w:spacing w:after="0" w:line="3" w:lineRule="exact"/>
        <w:rPr>
          <w:sz w:val="20"/>
          <w:szCs w:val="20"/>
          <w:color w:val="auto"/>
        </w:rPr>
      </w:pPr>
    </w:p>
    <w:p>
      <w:pPr>
        <w:jc w:val="both"/>
        <w:ind w:left="200" w:right="219" w:firstLine="2"/>
        <w:spacing w:after="0" w:line="246" w:lineRule="auto"/>
        <w:tabs>
          <w:tab w:leader="none" w:pos="53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3" w:name="page124"/>
    <w:bookmarkEnd w:id="123"/>
    <w:p>
      <w:pPr>
        <w:jc w:val="both"/>
        <w:ind w:left="200" w:right="219"/>
        <w:spacing w:after="0" w:line="290" w:lineRule="auto"/>
        <w:rPr>
          <w:sz w:val="20"/>
          <w:szCs w:val="20"/>
          <w:color w:val="auto"/>
        </w:rPr>
      </w:pPr>
      <w:r>
        <w:rPr>
          <w:rFonts w:ascii="Arial" w:cs="Arial" w:eastAsia="Arial" w:hAnsi="Arial"/>
          <w:sz w:val="17"/>
          <w:szCs w:val="17"/>
          <w:color w:val="auto"/>
        </w:rPr>
        <w:t>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spacing w:after="0" w:line="143" w:lineRule="exact"/>
        <w:rPr>
          <w:sz w:val="20"/>
          <w:szCs w:val="20"/>
          <w:color w:val="auto"/>
        </w:rPr>
      </w:pPr>
    </w:p>
    <w:p>
      <w:pPr>
        <w:ind w:left="800"/>
        <w:spacing w:after="0"/>
        <w:tabs>
          <w:tab w:leader="none" w:pos="1960" w:val="left"/>
        </w:tabs>
        <w:rPr>
          <w:sz w:val="20"/>
          <w:szCs w:val="20"/>
          <w:color w:val="auto"/>
        </w:rPr>
      </w:pPr>
      <w:r>
        <w:rPr>
          <w:rFonts w:ascii="Arial" w:cs="Arial" w:eastAsia="Arial" w:hAnsi="Arial"/>
          <w:sz w:val="20"/>
          <w:szCs w:val="20"/>
          <w:color w:val="auto"/>
        </w:rPr>
        <w:t>Section 11.8.</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3" w:lineRule="exact"/>
        <w:rPr>
          <w:sz w:val="20"/>
          <w:szCs w:val="20"/>
          <w:color w:val="auto"/>
        </w:rPr>
      </w:pPr>
    </w:p>
    <w:p>
      <w:pPr>
        <w:jc w:val="both"/>
        <w:ind w:left="200" w:right="219" w:firstLine="594"/>
        <w:spacing w:after="0" w:line="274"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Hedging Liability and Funds Transfer and Deposit Account Liability</w:t>
      </w:r>
      <w:r>
        <w:rPr>
          <w:rFonts w:ascii="Arial" w:cs="Arial" w:eastAsia="Arial" w:hAnsi="Arial"/>
          <w:sz w:val="18"/>
          <w:szCs w:val="18"/>
          <w:color w:val="auto"/>
        </w:rPr>
        <w:t>. By virtue of a Lender’s execution of this Agreement or an assignment agreement pursuant to Section 12.10, as the case may be, any Affiliate of such Lender (including any Qualifying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Qualifying Counterparty, even if such Qualifying Counterparty or any Person affiliated with such Qualifying Counterparty shall cease to be a Lender hereunder, such that any such Qualifying Counterparty shall continue to be entitled to all of the rights and benefits otherwise afforded to such Qualifying Counterparty hereunder (including without limitation the Guaranties provided under Section 13).</w:t>
      </w:r>
    </w:p>
    <w:p>
      <w:pPr>
        <w:spacing w:after="0" w:line="164" w:lineRule="exact"/>
        <w:rPr>
          <w:sz w:val="20"/>
          <w:szCs w:val="20"/>
          <w:color w:val="auto"/>
        </w:rPr>
      </w:pPr>
    </w:p>
    <w:p>
      <w:pPr>
        <w:ind w:left="200" w:right="239" w:firstLine="594"/>
        <w:spacing w:after="0" w:line="250"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u w:val="single" w:color="auto"/>
          <w:color w:val="auto"/>
        </w:rPr>
        <w:t>Designation of Additional Agents</w:t>
      </w:r>
      <w:r>
        <w:rPr>
          <w:rFonts w:ascii="Arial" w:cs="Arial" w:eastAsia="Arial" w:hAnsi="Arial"/>
          <w:sz w:val="20"/>
          <w:szCs w:val="20"/>
          <w:color w:val="auto"/>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4" w:name="page125"/>
    <w:bookmarkEnd w:id="124"/>
    <w:p>
      <w:pPr>
        <w:ind w:left="200" w:right="219"/>
        <w:spacing w:after="0" w:line="266" w:lineRule="auto"/>
        <w:rPr>
          <w:sz w:val="20"/>
          <w:szCs w:val="20"/>
          <w:color w:val="auto"/>
        </w:rPr>
      </w:pPr>
      <w:r>
        <w:rPr>
          <w:rFonts w:ascii="Arial" w:cs="Arial" w:eastAsia="Arial" w:hAnsi="Arial"/>
          <w:sz w:val="20"/>
          <w:szCs w:val="20"/>
          <w:color w:val="auto"/>
        </w:rPr>
        <w:t>but such designation shall have no substantive effect, and such Lenders and their Affiliates shall have no additional powers, duties or responsibilities as a result thereof.</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11.11. </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03" w:lineRule="exact"/>
        <w:rPr>
          <w:sz w:val="20"/>
          <w:szCs w:val="20"/>
          <w:color w:val="auto"/>
        </w:rPr>
      </w:pPr>
    </w:p>
    <w:p>
      <w:pPr>
        <w:ind w:left="200" w:right="299" w:firstLine="594"/>
        <w:spacing w:after="0" w:line="265"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Authorization to Release Guaranties</w:t>
      </w:r>
      <w:r>
        <w:rPr>
          <w:rFonts w:ascii="Arial" w:cs="Arial" w:eastAsia="Arial" w:hAnsi="Arial"/>
          <w:sz w:val="19"/>
          <w:szCs w:val="19"/>
          <w:i w:val="1"/>
          <w:iCs w:val="1"/>
          <w:color w:val="auto"/>
        </w:rPr>
        <w:t>.</w:t>
      </w:r>
      <w:r>
        <w:rPr>
          <w:rFonts w:ascii="Arial" w:cs="Arial" w:eastAsia="Arial" w:hAnsi="Arial"/>
          <w:sz w:val="19"/>
          <w:szCs w:val="19"/>
          <w:color w:val="auto"/>
        </w:rPr>
        <w:t xml:space="preserve"> 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spacing w:after="0" w:line="161" w:lineRule="exact"/>
        <w:rPr>
          <w:sz w:val="20"/>
          <w:szCs w:val="20"/>
          <w:color w:val="auto"/>
        </w:rPr>
      </w:pPr>
    </w:p>
    <w:p>
      <w:pPr>
        <w:ind w:left="200" w:right="259" w:firstLine="594"/>
        <w:spacing w:after="0" w:line="249" w:lineRule="auto"/>
        <w:rPr>
          <w:sz w:val="20"/>
          <w:szCs w:val="20"/>
          <w:color w:val="auto"/>
        </w:rPr>
      </w:pPr>
      <w:r>
        <w:rPr>
          <w:rFonts w:ascii="Arial" w:cs="Arial" w:eastAsia="Arial" w:hAnsi="Arial"/>
          <w:sz w:val="20"/>
          <w:szCs w:val="20"/>
          <w:color w:val="auto"/>
        </w:rPr>
        <w:t xml:space="preserve">Section 11.13. </w:t>
      </w:r>
      <w:r>
        <w:rPr>
          <w:rFonts w:ascii="Arial" w:cs="Arial" w:eastAsia="Arial" w:hAnsi="Arial"/>
          <w:sz w:val="20"/>
          <w:szCs w:val="20"/>
          <w:u w:val="single" w:color="auto"/>
          <w:color w:val="auto"/>
        </w:rPr>
        <w:t>Authorization of Administrative Agent to File Proofs of Claim</w:t>
      </w:r>
      <w:r>
        <w:rPr>
          <w:rFonts w:ascii="Arial" w:cs="Arial" w:eastAsia="Arial" w:hAnsi="Arial"/>
          <w:sz w:val="20"/>
          <w:szCs w:val="20"/>
          <w:i w:val="1"/>
          <w:iCs w:val="1"/>
          <w:color w:val="auto"/>
        </w:rPr>
        <w:t>.</w:t>
      </w:r>
      <w:r>
        <w:rPr>
          <w:rFonts w:ascii="Arial" w:cs="Arial" w:eastAsia="Arial" w:hAnsi="Arial"/>
          <w:sz w:val="20"/>
          <w:szCs w:val="20"/>
          <w:color w:val="auto"/>
        </w:rPr>
        <w:t xml:space="preserve"> In case of the pendency of any proceeding under any Debtor Relief Law or any other judicial proceeding relative to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65" w:lineRule="exact"/>
        <w:rPr>
          <w:sz w:val="20"/>
          <w:szCs w:val="20"/>
          <w:color w:val="auto"/>
        </w:rPr>
      </w:pPr>
    </w:p>
    <w:p>
      <w:pPr>
        <w:jc w:val="both"/>
        <w:ind w:left="200" w:right="219" w:firstLine="1190"/>
        <w:spacing w:after="0" w:line="266" w:lineRule="auto"/>
        <w:tabs>
          <w:tab w:leader="none" w:pos="19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1.1, 10.3, 1.11, and 12.15) allowed in such judicial proceeding; and</w:t>
      </w:r>
    </w:p>
    <w:p>
      <w:pPr>
        <w:spacing w:after="0" w:line="151" w:lineRule="exact"/>
        <w:rPr>
          <w:rFonts w:ascii="Arial" w:cs="Arial" w:eastAsia="Arial" w:hAnsi="Arial"/>
          <w:sz w:val="18"/>
          <w:szCs w:val="18"/>
          <w:color w:val="auto"/>
        </w:rPr>
      </w:pPr>
    </w:p>
    <w:p>
      <w:pPr>
        <w:ind w:left="200" w:right="219" w:firstLine="1190"/>
        <w:spacing w:after="0" w:line="253" w:lineRule="auto"/>
        <w:tabs>
          <w:tab w:leader="none" w:pos="198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12. MISCELLANEOUS.</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12.1.  </w:t>
      </w: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1" w:right="1440" w:bottom="1440" w:gutter="0" w:footer="0" w:header="0"/>
        </w:sectPr>
      </w:pPr>
    </w:p>
    <w:bookmarkStart w:id="125" w:name="page126"/>
    <w:bookmarkEnd w:id="125"/>
    <w:p>
      <w:pPr>
        <w:jc w:val="both"/>
        <w:ind w:left="200" w:right="219" w:firstLine="1190"/>
        <w:spacing w:after="0" w:line="262" w:lineRule="auto"/>
        <w:tabs>
          <w:tab w:leader="none" w:pos="198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Payments Free of Withholding</w:t>
      </w:r>
      <w:r>
        <w:rPr>
          <w:rFonts w:ascii="Arial" w:cs="Arial" w:eastAsia="Arial" w:hAnsi="Arial"/>
          <w:sz w:val="18"/>
          <w:szCs w:val="18"/>
          <w:color w:val="auto"/>
        </w:rPr>
        <w:t>.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w:t>
      </w:r>
    </w:p>
    <w:p>
      <w:pPr>
        <w:spacing w:after="0" w:line="159" w:lineRule="exact"/>
        <w:rPr>
          <w:rFonts w:ascii="Arial" w:cs="Arial" w:eastAsia="Arial" w:hAnsi="Arial"/>
          <w:sz w:val="18"/>
          <w:szCs w:val="18"/>
          <w:color w:val="auto"/>
        </w:rPr>
      </w:pPr>
    </w:p>
    <w:p>
      <w:pPr>
        <w:jc w:val="both"/>
        <w:ind w:left="200" w:right="219" w:firstLine="1190"/>
        <w:spacing w:after="0" w:line="259" w:lineRule="auto"/>
        <w:tabs>
          <w:tab w:leader="none" w:pos="1982"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U.S. Withholding Tax Exemptions</w:t>
      </w:r>
      <w:r>
        <w:rPr>
          <w:rFonts w:ascii="Arial" w:cs="Arial" w:eastAsia="Arial" w:hAnsi="Arial"/>
          <w:sz w:val="18"/>
          <w:szCs w:val="18"/>
          <w:color w:val="auto"/>
        </w:rPr>
        <w:t>. Each Lender that is not a United States person (as such term is defined in Section 7701(a)(30) of the Code) shall submit to the Borrower and the Administrative Agent on or before the date,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ten (10)-percent shareholder (within the meaning of Section 871(h)(3)</w:t>
      </w:r>
    </w:p>
    <w:p>
      <w:pPr>
        <w:spacing w:after="0" w:line="8" w:lineRule="exact"/>
        <w:rPr>
          <w:rFonts w:ascii="Arial" w:cs="Arial" w:eastAsia="Arial" w:hAnsi="Arial"/>
          <w:sz w:val="18"/>
          <w:szCs w:val="18"/>
          <w:color w:val="auto"/>
        </w:rPr>
      </w:pPr>
    </w:p>
    <w:p>
      <w:pPr>
        <w:jc w:val="both"/>
        <w:ind w:left="200" w:right="219" w:firstLine="2"/>
        <w:spacing w:after="0" w:line="261" w:lineRule="auto"/>
        <w:tabs>
          <w:tab w:leader="none" w:pos="5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the Code) of the Borrower and is not a controlled foreign corporation related to the Borrower (within the meaning of Section 864(d)(4) of the Code). 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term is defined in Section 7701(a)(30) of the Code) shall submit to the Borrower and the Administrative Agent a certificate to the effect that it is such a United States person.</w:t>
      </w:r>
    </w:p>
    <w:p>
      <w:pPr>
        <w:spacing w:after="0" w:line="156" w:lineRule="exact"/>
        <w:rPr>
          <w:rFonts w:ascii="Arial" w:cs="Arial" w:eastAsia="Arial" w:hAnsi="Arial"/>
          <w:sz w:val="18"/>
          <w:szCs w:val="18"/>
          <w:color w:val="auto"/>
        </w:rPr>
      </w:pPr>
    </w:p>
    <w:p>
      <w:pPr>
        <w:jc w:val="both"/>
        <w:ind w:left="200" w:right="219" w:firstLine="1190"/>
        <w:spacing w:after="0" w:line="250" w:lineRule="auto"/>
        <w:tabs>
          <w:tab w:leader="none" w:pos="1982"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Inability of Lender to Submit Forms</w:t>
      </w:r>
      <w:r>
        <w:rPr>
          <w:rFonts w:ascii="Arial" w:cs="Arial" w:eastAsia="Arial" w:hAnsi="Arial"/>
          <w:sz w:val="19"/>
          <w:szCs w:val="19"/>
          <w:color w:val="auto"/>
        </w:rPr>
        <w:t>. If any Lender determines, as a result of any 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6" w:name="page127"/>
    <w:bookmarkEnd w:id="126"/>
    <w:p>
      <w:pPr>
        <w:ind w:left="200" w:right="219"/>
        <w:spacing w:after="0" w:line="253" w:lineRule="auto"/>
        <w:rPr>
          <w:sz w:val="20"/>
          <w:szCs w:val="20"/>
          <w:color w:val="auto"/>
        </w:rPr>
      </w:pPr>
      <w:r>
        <w:rPr>
          <w:rFonts w:ascii="Arial" w:cs="Arial" w:eastAsia="Arial" w:hAnsi="Arial"/>
          <w:sz w:val="20"/>
          <w:szCs w:val="20"/>
          <w:color w:val="auto"/>
        </w:rPr>
        <w:t>that extent not be obligated to provide any such form or certificate and will be entitled to withdraw or cancel any affected form or certificate, as applicable.</w:t>
      </w:r>
    </w:p>
    <w:p>
      <w:pPr>
        <w:spacing w:after="0" w:line="159" w:lineRule="exact"/>
        <w:rPr>
          <w:sz w:val="20"/>
          <w:szCs w:val="20"/>
          <w:color w:val="auto"/>
        </w:rPr>
      </w:pPr>
    </w:p>
    <w:p>
      <w:pPr>
        <w:jc w:val="both"/>
        <w:ind w:left="200" w:right="219" w:firstLine="1190"/>
        <w:spacing w:after="0" w:line="247" w:lineRule="auto"/>
        <w:tabs>
          <w:tab w:leader="none" w:pos="1982"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Compliance with FATCA</w:t>
      </w:r>
      <w:r>
        <w:rPr>
          <w:rFonts w:ascii="Arial" w:cs="Arial" w:eastAsia="Arial" w:hAnsi="Arial"/>
          <w:sz w:val="19"/>
          <w:szCs w:val="19"/>
          <w:i w:val="1"/>
          <w:iCs w:val="1"/>
          <w:color w:val="auto"/>
        </w:rPr>
        <w:t>.</w:t>
      </w:r>
      <w:r>
        <w:rPr>
          <w:rFonts w:ascii="Arial" w:cs="Arial" w:eastAsia="Arial" w:hAnsi="Arial"/>
          <w:sz w:val="19"/>
          <w:szCs w:val="19"/>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Arial" w:cs="Arial" w:eastAsia="Arial" w:hAnsi="Arial"/>
          <w:sz w:val="19"/>
          <w:szCs w:val="19"/>
          <w:i w:val="1"/>
          <w:iCs w:val="1"/>
          <w:color w:val="auto"/>
        </w:rPr>
        <w:t>“FATCA”</w:t>
      </w:r>
      <w:r>
        <w:rPr>
          <w:rFonts w:ascii="Arial" w:cs="Arial" w:eastAsia="Arial" w:hAnsi="Arial"/>
          <w:sz w:val="19"/>
          <w:szCs w:val="19"/>
          <w:color w:val="auto"/>
        </w:rPr>
        <w:t xml:space="preserve"> shall include any amendments made to FATCA after the date of this Agreement.</w:t>
      </w:r>
    </w:p>
    <w:p>
      <w:pPr>
        <w:spacing w:after="0" w:line="172" w:lineRule="exact"/>
        <w:rPr>
          <w:rFonts w:ascii="Arial" w:cs="Arial" w:eastAsia="Arial" w:hAnsi="Arial"/>
          <w:sz w:val="19"/>
          <w:szCs w:val="19"/>
          <w:color w:val="auto"/>
        </w:rPr>
      </w:pPr>
    </w:p>
    <w:p>
      <w:pPr>
        <w:jc w:val="both"/>
        <w:ind w:left="200" w:right="219" w:firstLine="1190"/>
        <w:spacing w:after="0" w:line="262" w:lineRule="auto"/>
        <w:tabs>
          <w:tab w:leader="none" w:pos="198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xml:space="preserve">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spacing w:after="0" w:line="153" w:lineRule="exact"/>
        <w:rPr>
          <w:rFonts w:ascii="Arial" w:cs="Arial" w:eastAsia="Arial" w:hAnsi="Arial"/>
          <w:sz w:val="18"/>
          <w:szCs w:val="18"/>
          <w:color w:val="auto"/>
        </w:rPr>
      </w:pPr>
    </w:p>
    <w:p>
      <w:pPr>
        <w:jc w:val="both"/>
        <w:ind w:left="200" w:right="219" w:firstLine="1190"/>
        <w:spacing w:after="0" w:line="262" w:lineRule="auto"/>
        <w:tabs>
          <w:tab w:leader="none" w:pos="198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Lender determines, in its sole 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7" w:name="page128"/>
    <w:bookmarkEnd w:id="127"/>
    <w:p>
      <w:pPr>
        <w:ind w:left="200" w:right="219"/>
        <w:spacing w:after="0" w:line="279" w:lineRule="auto"/>
        <w:rPr>
          <w:sz w:val="20"/>
          <w:szCs w:val="20"/>
          <w:color w:val="auto"/>
        </w:rPr>
      </w:pPr>
      <w:r>
        <w:rPr>
          <w:rFonts w:ascii="Arial" w:cs="Arial" w:eastAsia="Arial" w:hAnsi="Arial"/>
          <w:sz w:val="19"/>
          <w:szCs w:val="19"/>
          <w:color w:val="auto"/>
        </w:rPr>
        <w:t>confidential information or require any Lender to do anything that would prejudice its ability to benefit from any other refunds, credits, reliefs, remissions or repayments to which it may be entitled.</w:t>
      </w:r>
    </w:p>
    <w:p>
      <w:pPr>
        <w:spacing w:after="0" w:line="136" w:lineRule="exact"/>
        <w:rPr>
          <w:sz w:val="20"/>
          <w:szCs w:val="20"/>
          <w:color w:val="auto"/>
        </w:rPr>
      </w:pPr>
    </w:p>
    <w:p>
      <w:pPr>
        <w:jc w:val="both"/>
        <w:ind w:left="200" w:right="219" w:firstLine="1190"/>
        <w:spacing w:after="0" w:line="253" w:lineRule="auto"/>
        <w:tabs>
          <w:tab w:leader="none" w:pos="1982"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i w:val="1"/>
          <w:iCs w:val="1"/>
          <w:color w:val="auto"/>
        </w:rPr>
        <w:t>.</w:t>
      </w:r>
      <w:r>
        <w:rPr>
          <w:rFonts w:ascii="Arial" w:cs="Arial" w:eastAsia="Arial" w:hAnsi="Arial"/>
          <w:sz w:val="19"/>
          <w:szCs w:val="19"/>
          <w:color w:val="auto"/>
        </w:rPr>
        <w:t xml:space="preserve"> As soon as practicable after any payment of Taxes by the 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sz w:val="20"/>
          <w:szCs w:val="20"/>
          <w:color w:val="auto"/>
        </w:rPr>
      </w:pPr>
    </w:p>
    <w:p>
      <w:pPr>
        <w:ind w:left="200" w:right="239" w:firstLine="594"/>
        <w:spacing w:after="0" w:line="281"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No Waiver, Cumulative Remedies</w:t>
      </w:r>
      <w:r>
        <w:rPr>
          <w:rFonts w:ascii="Arial" w:cs="Arial" w:eastAsia="Arial" w:hAnsi="Arial"/>
          <w:sz w:val="18"/>
          <w:szCs w:val="18"/>
          <w:i w:val="1"/>
          <w:iCs w:val="1"/>
          <w:color w:val="auto"/>
        </w:rPr>
        <w:t>.</w:t>
      </w:r>
      <w:r>
        <w:rPr>
          <w:rFonts w:ascii="Arial" w:cs="Arial" w:eastAsia="Arial" w:hAnsi="Arial"/>
          <w:sz w:val="18"/>
          <w:szCs w:val="18"/>
          <w:color w:val="auto"/>
        </w:rPr>
        <w:t xml:space="preserve">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spacing w:after="0" w:line="148" w:lineRule="exact"/>
        <w:rPr>
          <w:sz w:val="20"/>
          <w:szCs w:val="20"/>
          <w:color w:val="auto"/>
        </w:rPr>
      </w:pPr>
    </w:p>
    <w:p>
      <w:pPr>
        <w:ind w:left="200" w:right="279" w:firstLine="594"/>
        <w:spacing w:after="0" w:line="265"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u w:val="single" w:color="auto"/>
          <w:color w:val="auto"/>
        </w:rPr>
        <w:t>Non-Business Days</w:t>
      </w:r>
      <w:r>
        <w:rPr>
          <w:rFonts w:ascii="Arial" w:cs="Arial" w:eastAsia="Arial" w:hAnsi="Arial"/>
          <w:sz w:val="19"/>
          <w:szCs w:val="19"/>
          <w:i w:val="1"/>
          <w:iCs w:val="1"/>
          <w:color w:val="auto"/>
        </w:rPr>
        <w:t>.</w:t>
      </w:r>
      <w:r>
        <w:rPr>
          <w:rFonts w:ascii="Arial" w:cs="Arial" w:eastAsia="Arial" w:hAnsi="Arial"/>
          <w:sz w:val="19"/>
          <w:szCs w:val="19"/>
          <w:color w:val="auto"/>
        </w:rPr>
        <w:t xml:space="preserve">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161" w:lineRule="exact"/>
        <w:rPr>
          <w:sz w:val="20"/>
          <w:szCs w:val="20"/>
          <w:color w:val="auto"/>
        </w:rPr>
      </w:pPr>
    </w:p>
    <w:p>
      <w:pPr>
        <w:ind w:left="200" w:right="299" w:firstLine="594"/>
        <w:spacing w:after="0" w:line="269"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Documentary Taxes</w:t>
      </w:r>
      <w:r>
        <w:rPr>
          <w:rFonts w:ascii="Arial" w:cs="Arial" w:eastAsia="Arial" w:hAnsi="Arial"/>
          <w:sz w:val="19"/>
          <w:szCs w:val="19"/>
          <w:i w:val="1"/>
          <w:iCs w:val="1"/>
          <w:color w:val="auto"/>
        </w:rPr>
        <w:t>.</w:t>
      </w:r>
      <w:r>
        <w:rPr>
          <w:rFonts w:ascii="Arial" w:cs="Arial" w:eastAsia="Arial" w:hAnsi="Arial"/>
          <w:sz w:val="19"/>
          <w:szCs w:val="19"/>
          <w:color w:val="auto"/>
        </w:rPr>
        <w:t xml:space="preserve"> 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59" w:lineRule="exact"/>
        <w:rPr>
          <w:sz w:val="20"/>
          <w:szCs w:val="20"/>
          <w:color w:val="auto"/>
        </w:rPr>
      </w:pPr>
    </w:p>
    <w:p>
      <w:pPr>
        <w:ind w:left="200" w:right="239" w:firstLine="594"/>
        <w:spacing w:after="0" w:line="28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Survival of Representations</w:t>
      </w:r>
      <w:r>
        <w:rPr>
          <w:rFonts w:ascii="Arial" w:cs="Arial" w:eastAsia="Arial" w:hAnsi="Arial"/>
          <w:sz w:val="18"/>
          <w:szCs w:val="18"/>
          <w:i w:val="1"/>
          <w:iCs w:val="1"/>
          <w:color w:val="auto"/>
        </w:rPr>
        <w:t>.</w:t>
      </w:r>
      <w:r>
        <w:rPr>
          <w:rFonts w:ascii="Arial" w:cs="Arial" w:eastAsia="Arial" w:hAnsi="Arial"/>
          <w:sz w:val="18"/>
          <w:szCs w:val="18"/>
          <w:color w:val="auto"/>
        </w:rPr>
        <w:t xml:space="preserve"> 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142" w:lineRule="exact"/>
        <w:rPr>
          <w:sz w:val="20"/>
          <w:szCs w:val="20"/>
          <w:color w:val="auto"/>
        </w:rPr>
      </w:pPr>
    </w:p>
    <w:p>
      <w:pPr>
        <w:ind w:left="200" w:right="359" w:firstLine="594"/>
        <w:spacing w:after="0" w:line="250" w:lineRule="auto"/>
        <w:rPr>
          <w:sz w:val="20"/>
          <w:szCs w:val="20"/>
          <w:color w:val="auto"/>
        </w:rPr>
      </w:pPr>
      <w:r>
        <w:rPr>
          <w:rFonts w:ascii="Arial" w:cs="Arial" w:eastAsia="Arial" w:hAnsi="Arial"/>
          <w:sz w:val="20"/>
          <w:szCs w:val="20"/>
          <w:color w:val="auto"/>
        </w:rPr>
        <w:t xml:space="preserve">Section 12.6. </w:t>
      </w:r>
      <w:r>
        <w:rPr>
          <w:rFonts w:ascii="Arial" w:cs="Arial" w:eastAsia="Arial" w:hAnsi="Arial"/>
          <w:sz w:val="20"/>
          <w:szCs w:val="20"/>
          <w:u w:val="single" w:color="auto"/>
          <w:color w:val="auto"/>
        </w:rPr>
        <w:t>Survival of Indemnities</w:t>
      </w:r>
      <w:r>
        <w:rPr>
          <w:rFonts w:ascii="Arial" w:cs="Arial" w:eastAsia="Arial" w:hAnsi="Arial"/>
          <w:sz w:val="20"/>
          <w:szCs w:val="20"/>
          <w:i w:val="1"/>
          <w:iCs w:val="1"/>
          <w:color w:val="auto"/>
        </w:rPr>
        <w:t>.</w:t>
      </w:r>
      <w:r>
        <w:rPr>
          <w:rFonts w:ascii="Arial" w:cs="Arial" w:eastAsia="Arial" w:hAnsi="Arial"/>
          <w:sz w:val="20"/>
          <w:szCs w:val="20"/>
          <w:color w:val="auto"/>
        </w:rPr>
        <w:t xml:space="preserve"> All indemnities and other provisions relative to 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28" w:name="page129"/>
    <w:bookmarkEnd w:id="128"/>
    <w:p>
      <w:pPr>
        <w:ind w:left="200" w:right="239" w:firstLine="594"/>
        <w:spacing w:after="0" w:line="262" w:lineRule="auto"/>
        <w:rPr>
          <w:sz w:val="20"/>
          <w:szCs w:val="20"/>
          <w:color w:val="auto"/>
        </w:rPr>
      </w:pPr>
      <w:r>
        <w:rPr>
          <w:rFonts w:ascii="Arial" w:cs="Arial" w:eastAsia="Arial" w:hAnsi="Arial"/>
          <w:sz w:val="19"/>
          <w:szCs w:val="19"/>
          <w:color w:val="auto"/>
        </w:rPr>
        <w:t xml:space="preserve">Section 12.7. </w:t>
      </w:r>
      <w:r>
        <w:rPr>
          <w:rFonts w:ascii="Arial" w:cs="Arial" w:eastAsia="Arial" w:hAnsi="Arial"/>
          <w:sz w:val="19"/>
          <w:szCs w:val="19"/>
          <w:u w:val="single" w:color="auto"/>
          <w:color w:val="auto"/>
        </w:rPr>
        <w:t>Sharing of Set-Off</w:t>
      </w:r>
      <w:r>
        <w:rPr>
          <w:rFonts w:ascii="Arial" w:cs="Arial" w:eastAsia="Arial" w:hAnsi="Arial"/>
          <w:sz w:val="19"/>
          <w:szCs w:val="19"/>
          <w:i w:val="1"/>
          <w:iCs w:val="1"/>
          <w:color w:val="auto"/>
        </w:rPr>
        <w:t>.</w:t>
      </w:r>
      <w:r>
        <w:rPr>
          <w:rFonts w:ascii="Arial" w:cs="Arial" w:eastAsia="Arial" w:hAnsi="Arial"/>
          <w:sz w:val="19"/>
          <w:szCs w:val="19"/>
          <w:color w:val="auto"/>
        </w:rPr>
        <w:t xml:space="preserve"> Each Lender agrees with each other Lender a party hereto that if such Lender shall receive and retain any payment, whether by set-off or application of deposit balances or otherwise, on any of the Loans in excess of its ratable share of payments on all such Obligations then outstanding to the Lenders, then such Lender shall purchase for cash at face value, but without recourse, ratably from each of the other Lenders such amount of the Loans held by each such other Lenders (or interest therein) as shall be necessary to cause such Lender to share such excess payment ratably with all the other Lenders;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w:t>
      </w:r>
    </w:p>
    <w:p>
      <w:pPr>
        <w:spacing w:after="0" w:line="164" w:lineRule="exact"/>
        <w:rPr>
          <w:sz w:val="20"/>
          <w:szCs w:val="20"/>
          <w:color w:val="auto"/>
        </w:rPr>
      </w:pPr>
    </w:p>
    <w:p>
      <w:pPr>
        <w:ind w:left="200" w:right="299" w:firstLine="594"/>
        <w:spacing w:after="0" w:line="278"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sectPr>
          <w:pgSz w:w="11900" w:h="16838" w:orient="portrait"/>
          <w:cols w:equalWidth="0" w:num="1">
            <w:col w:w="9019"/>
          </w:cols>
          <w:pgMar w:left="1440" w:top="850" w:right="1440" w:bottom="1440" w:gutter="0" w:footer="0" w:header="0"/>
        </w:sectPr>
      </w:pPr>
    </w:p>
    <w:p>
      <w:pPr>
        <w:spacing w:after="0" w:line="37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to the Borrower:</w:t>
      </w:r>
    </w:p>
    <w:p>
      <w:pPr>
        <w:spacing w:after="0" w:line="216" w:lineRule="exact"/>
        <w:rPr>
          <w:sz w:val="20"/>
          <w:szCs w:val="20"/>
          <w:color w:val="auto"/>
        </w:rPr>
      </w:pPr>
    </w:p>
    <w:p>
      <w:pPr>
        <w:ind w:left="980" w:right="240"/>
        <w:spacing w:after="0" w:line="238" w:lineRule="auto"/>
        <w:rPr>
          <w:sz w:val="20"/>
          <w:szCs w:val="20"/>
          <w:color w:val="auto"/>
        </w:rPr>
      </w:pPr>
      <w:r>
        <w:rPr>
          <w:rFonts w:ascii="Arial" w:cs="Arial" w:eastAsia="Arial" w:hAnsi="Arial"/>
          <w:sz w:val="20"/>
          <w:szCs w:val="20"/>
          <w:color w:val="auto"/>
        </w:rPr>
        <w:t>Alpine Income Property OP, LP 1140 Williamson Boulevard Suite 140</w:t>
      </w:r>
    </w:p>
    <w:p>
      <w:pPr>
        <w:ind w:left="980"/>
        <w:spacing w:after="0" w:line="244" w:lineRule="auto"/>
        <w:rPr>
          <w:sz w:val="20"/>
          <w:szCs w:val="20"/>
          <w:color w:val="auto"/>
        </w:rPr>
      </w:pPr>
      <w:r>
        <w:rPr>
          <w:rFonts w:ascii="Arial" w:cs="Arial" w:eastAsia="Arial" w:hAnsi="Arial"/>
          <w:sz w:val="19"/>
          <w:szCs w:val="19"/>
          <w:color w:val="auto"/>
        </w:rPr>
        <w:t>Daytona Beach, Florida 32114 Attention: Matthew Partridge Telephone: 386-944-5643 Email: mpartridge@alpinereit.com</w:t>
      </w:r>
    </w:p>
    <w:p>
      <w:pPr>
        <w:spacing w:after="0" w:line="3"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386-274-1223</w:t>
      </w:r>
    </w:p>
    <w:p>
      <w:pPr>
        <w:spacing w:after="0" w:line="212" w:lineRule="exact"/>
        <w:rPr>
          <w:sz w:val="20"/>
          <w:szCs w:val="20"/>
          <w:color w:val="auto"/>
        </w:rPr>
      </w:pPr>
    </w:p>
    <w:p>
      <w:pPr>
        <w:ind w:left="980" w:right="240"/>
        <w:spacing w:after="0" w:line="238" w:lineRule="auto"/>
        <w:rPr>
          <w:sz w:val="20"/>
          <w:szCs w:val="20"/>
          <w:color w:val="auto"/>
        </w:rPr>
      </w:pPr>
      <w:r>
        <w:rPr>
          <w:rFonts w:ascii="Arial" w:cs="Arial" w:eastAsia="Arial" w:hAnsi="Arial"/>
          <w:sz w:val="20"/>
          <w:szCs w:val="20"/>
          <w:color w:val="auto"/>
        </w:rPr>
        <w:t>Alpine Income Property OP, LP 1140 Williamson Boulevard Suite 140</w:t>
      </w:r>
    </w:p>
    <w:p>
      <w:pPr>
        <w:ind w:left="980" w:right="160"/>
        <w:spacing w:after="0" w:line="258" w:lineRule="auto"/>
        <w:rPr>
          <w:sz w:val="20"/>
          <w:szCs w:val="20"/>
          <w:color w:val="auto"/>
        </w:rPr>
      </w:pPr>
      <w:r>
        <w:rPr>
          <w:rFonts w:ascii="Arial" w:cs="Arial" w:eastAsia="Arial" w:hAnsi="Arial"/>
          <w:sz w:val="18"/>
          <w:szCs w:val="18"/>
          <w:color w:val="auto"/>
        </w:rPr>
        <w:t>Daytona Beach, Florida 32114 Attention: Lisa Vorkoun Telephone: 386-944-5641 Email: lvorkoun@alpinereit.com</w:t>
      </w:r>
    </w:p>
    <w:p>
      <w:pPr>
        <w:spacing w:after="0" w:line="1"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20"/>
          <w:szCs w:val="20"/>
          <w:color w:val="auto"/>
        </w:rPr>
        <w:t>386-274-1223</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With copy to:</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Vinson &amp; Elkins LLP</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to the Administrative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KeyBank National Association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4910 Tiedeman Rd., 3rd Floor</w:t>
      </w:r>
    </w:p>
    <w:p>
      <w:pPr>
        <w:spacing w:after="0" w:line="232" w:lineRule="auto"/>
        <w:rPr>
          <w:sz w:val="20"/>
          <w:szCs w:val="20"/>
          <w:color w:val="auto"/>
        </w:rPr>
      </w:pPr>
      <w:r>
        <w:rPr>
          <w:rFonts w:ascii="Arial" w:cs="Arial" w:eastAsia="Arial" w:hAnsi="Arial"/>
          <w:sz w:val="20"/>
          <w:szCs w:val="20"/>
          <w:color w:val="auto"/>
        </w:rPr>
        <w:t>Mail Code OH-01-51-0311</w:t>
      </w:r>
    </w:p>
    <w:p>
      <w:pPr>
        <w:spacing w:after="0" w:line="232" w:lineRule="auto"/>
        <w:rPr>
          <w:sz w:val="20"/>
          <w:szCs w:val="20"/>
          <w:color w:val="auto"/>
        </w:rPr>
      </w:pPr>
      <w:r>
        <w:rPr>
          <w:rFonts w:ascii="Arial" w:cs="Arial" w:eastAsia="Arial" w:hAnsi="Arial"/>
          <w:sz w:val="20"/>
          <w:szCs w:val="20"/>
          <w:color w:val="auto"/>
        </w:rPr>
        <w:t>Brooklyn, Ohio 44144</w:t>
      </w:r>
    </w:p>
    <w:p>
      <w:pPr>
        <w:spacing w:after="0" w:line="1" w:lineRule="exact"/>
        <w:rPr>
          <w:sz w:val="20"/>
          <w:szCs w:val="20"/>
          <w:color w:val="auto"/>
        </w:rPr>
      </w:pPr>
    </w:p>
    <w:p>
      <w:pPr>
        <w:ind w:right="1459"/>
        <w:spacing w:after="0" w:line="236" w:lineRule="auto"/>
        <w:rPr>
          <w:sz w:val="20"/>
          <w:szCs w:val="20"/>
          <w:color w:val="auto"/>
        </w:rPr>
      </w:pPr>
      <w:r>
        <w:rPr>
          <w:rFonts w:ascii="Arial" w:cs="Arial" w:eastAsia="Arial" w:hAnsi="Arial"/>
          <w:sz w:val="20"/>
          <w:szCs w:val="20"/>
          <w:color w:val="auto"/>
        </w:rPr>
        <w:t>Attn: Real Estate Capital Servicing Reference: Alpine Income Property OP, LP &amp; Loan No. 10228590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KeyBank National Association</w:t>
      </w:r>
    </w:p>
    <w:p>
      <w:pPr>
        <w:spacing w:after="0" w:line="9" w:lineRule="exact"/>
        <w:rPr>
          <w:sz w:val="20"/>
          <w:szCs w:val="20"/>
          <w:color w:val="auto"/>
        </w:rPr>
      </w:pPr>
    </w:p>
    <w:p>
      <w:pPr>
        <w:ind w:right="1599"/>
        <w:spacing w:after="0" w:line="232" w:lineRule="auto"/>
        <w:rPr>
          <w:sz w:val="20"/>
          <w:szCs w:val="20"/>
          <w:color w:val="auto"/>
        </w:rPr>
      </w:pPr>
      <w:r>
        <w:rPr>
          <w:rFonts w:ascii="Arial" w:cs="Arial" w:eastAsia="Arial" w:hAnsi="Arial"/>
          <w:sz w:val="20"/>
          <w:szCs w:val="20"/>
          <w:color w:val="auto"/>
        </w:rPr>
        <w:t>1200 Abernathy Road NE, Suite 1550 Atlanta, GA 30328 Attention: Tom Schmitt</w:t>
      </w:r>
    </w:p>
    <w:p>
      <w:pPr>
        <w:spacing w:after="0" w:line="233" w:lineRule="auto"/>
        <w:rPr>
          <w:sz w:val="20"/>
          <w:szCs w:val="20"/>
          <w:color w:val="auto"/>
        </w:rPr>
      </w:pPr>
      <w:r>
        <w:rPr>
          <w:rFonts w:ascii="Arial" w:cs="Arial" w:eastAsia="Arial" w:hAnsi="Arial"/>
          <w:sz w:val="20"/>
          <w:szCs w:val="20"/>
          <w:color w:val="auto"/>
        </w:rPr>
        <w:t>Telephone:  770-510-2109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tom_schmitt@keybank.com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Riemer &amp; Braunstein LP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100 Cambridge Street</w:t>
      </w:r>
    </w:p>
    <w:p>
      <w:pPr>
        <w:spacing w:after="0" w:line="232" w:lineRule="auto"/>
        <w:rPr>
          <w:sz w:val="20"/>
          <w:szCs w:val="20"/>
          <w:color w:val="auto"/>
        </w:rPr>
      </w:pPr>
      <w:r>
        <w:rPr>
          <w:rFonts w:ascii="Arial" w:cs="Arial" w:eastAsia="Arial" w:hAnsi="Arial"/>
          <w:sz w:val="20"/>
          <w:szCs w:val="20"/>
          <w:color w:val="auto"/>
        </w:rPr>
        <w:t>Boston, MA 02114</w:t>
      </w:r>
    </w:p>
    <w:p>
      <w:pPr>
        <w:spacing w:after="0" w:line="232" w:lineRule="auto"/>
        <w:rPr>
          <w:sz w:val="20"/>
          <w:szCs w:val="20"/>
          <w:color w:val="auto"/>
        </w:rPr>
      </w:pPr>
      <w:r>
        <w:rPr>
          <w:rFonts w:ascii="Arial" w:cs="Arial" w:eastAsia="Arial" w:hAnsi="Arial"/>
          <w:sz w:val="20"/>
          <w:szCs w:val="20"/>
          <w:color w:val="auto"/>
        </w:rPr>
        <w:t>Attention: Saúl De La Guardia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Email: sdelaguardia@riemerlaw.com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Telephone: 617-880-3533</w:t>
      </w:r>
    </w:p>
    <w:p>
      <w:pPr>
        <w:spacing w:after="0" w:line="200" w:lineRule="exact"/>
        <w:rPr>
          <w:sz w:val="20"/>
          <w:szCs w:val="20"/>
          <w:color w:val="auto"/>
        </w:rPr>
      </w:pPr>
    </w:p>
    <w:p>
      <w:pPr>
        <w:sectPr>
          <w:pgSz w:w="11900" w:h="16838" w:orient="portrait"/>
          <w:cols w:equalWidth="0" w:num="2">
            <w:col w:w="3760" w:space="660"/>
            <w:col w:w="4599"/>
          </w:cols>
          <w:pgMar w:left="1440" w:top="8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338455</wp:posOffset>
            </wp:positionV>
            <wp:extent cx="5461635" cy="2349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type w:val="continuous"/>
        </w:sectPr>
      </w:pPr>
    </w:p>
    <w:bookmarkStart w:id="129" w:name="page130"/>
    <w:bookmarkEnd w:id="129"/>
    <w:p>
      <w:pPr>
        <w:ind w:left="980"/>
        <w:spacing w:after="0"/>
        <w:rPr>
          <w:sz w:val="20"/>
          <w:szCs w:val="20"/>
          <w:color w:val="auto"/>
        </w:rPr>
      </w:pPr>
      <w:r>
        <w:rPr>
          <w:rFonts w:ascii="Arial" w:cs="Arial" w:eastAsia="Arial" w:hAnsi="Arial"/>
          <w:sz w:val="20"/>
          <w:szCs w:val="20"/>
          <w:color w:val="auto"/>
        </w:rPr>
        <w:t>1001 Fannin Street, Suite 2500</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Houston, TX 77002</w:t>
      </w:r>
    </w:p>
    <w:p>
      <w:pPr>
        <w:ind w:left="980"/>
        <w:spacing w:after="0" w:line="232" w:lineRule="auto"/>
        <w:rPr>
          <w:sz w:val="20"/>
          <w:szCs w:val="20"/>
          <w:color w:val="auto"/>
        </w:rPr>
      </w:pPr>
      <w:r>
        <w:rPr>
          <w:rFonts w:ascii="Arial" w:cs="Arial" w:eastAsia="Arial" w:hAnsi="Arial"/>
          <w:sz w:val="20"/>
          <w:szCs w:val="20"/>
          <w:color w:val="auto"/>
        </w:rPr>
        <w:t>Attention: Noelle C. Alix</w:t>
      </w:r>
    </w:p>
    <w:p>
      <w:pPr>
        <w:ind w:left="980"/>
        <w:spacing w:after="0" w:line="232" w:lineRule="auto"/>
        <w:rPr>
          <w:sz w:val="20"/>
          <w:szCs w:val="20"/>
          <w:color w:val="auto"/>
        </w:rPr>
      </w:pPr>
      <w:r>
        <w:rPr>
          <w:rFonts w:ascii="Arial" w:cs="Arial" w:eastAsia="Arial" w:hAnsi="Arial"/>
          <w:sz w:val="20"/>
          <w:szCs w:val="20"/>
          <w:color w:val="auto"/>
        </w:rPr>
        <w:t>Telephone: 713-758-1124</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Email: nalix@velaw.com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200" w:right="219"/>
        <w:spacing w:after="0" w:line="268" w:lineRule="auto"/>
        <w:rPr>
          <w:sz w:val="20"/>
          <w:szCs w:val="20"/>
          <w:color w:val="auto"/>
        </w:rPr>
      </w:pPr>
      <w:r>
        <w:rPr>
          <w:rFonts w:ascii="Arial" w:cs="Arial" w:eastAsia="Arial" w:hAnsi="Arial"/>
          <w:sz w:val="18"/>
          <w:szCs w:val="18"/>
          <w:color w:val="auto"/>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given pursuant to Section 1 hereof shall be effective only upon receipt.</w:t>
      </w:r>
    </w:p>
    <w:p>
      <w:pPr>
        <w:spacing w:after="0" w:line="160" w:lineRule="exact"/>
        <w:rPr>
          <w:sz w:val="20"/>
          <w:szCs w:val="20"/>
          <w:color w:val="auto"/>
        </w:rPr>
      </w:pPr>
    </w:p>
    <w:p>
      <w:pPr>
        <w:ind w:left="200" w:right="299" w:firstLine="594"/>
        <w:spacing w:after="0" w:line="277"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spacing w:after="0" w:line="157" w:lineRule="exact"/>
        <w:rPr>
          <w:sz w:val="20"/>
          <w:szCs w:val="20"/>
          <w:color w:val="auto"/>
        </w:rPr>
      </w:pPr>
    </w:p>
    <w:p>
      <w:pPr>
        <w:ind w:left="200" w:right="239" w:firstLine="594"/>
        <w:spacing w:after="0" w:line="249" w:lineRule="auto"/>
        <w:rPr>
          <w:sz w:val="20"/>
          <w:szCs w:val="20"/>
          <w:color w:val="auto"/>
        </w:rPr>
      </w:pPr>
      <w:r>
        <w:rPr>
          <w:rFonts w:ascii="Arial" w:cs="Arial" w:eastAsia="Arial" w:hAnsi="Arial"/>
          <w:sz w:val="20"/>
          <w:szCs w:val="20"/>
          <w:color w:val="auto"/>
        </w:rPr>
        <w:t xml:space="preserve">Section 12.10.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be binding upon the 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spacing w:after="0" w:line="177" w:lineRule="exact"/>
        <w:rPr>
          <w:sz w:val="20"/>
          <w:szCs w:val="20"/>
          <w:color w:val="auto"/>
        </w:rPr>
      </w:pPr>
    </w:p>
    <w:p>
      <w:pPr>
        <w:ind w:left="200" w:right="219" w:firstLine="594"/>
        <w:spacing w:after="0" w:line="278"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Participants</w:t>
      </w:r>
      <w:r>
        <w:rPr>
          <w:rFonts w:ascii="Arial" w:cs="Arial" w:eastAsia="Arial" w:hAnsi="Arial"/>
          <w:sz w:val="18"/>
          <w:szCs w:val="18"/>
          <w:color w:val="auto"/>
        </w:rPr>
        <w:t>. Each Lender shall have the right at its own cost to grant 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0" w:name="page131"/>
    <w:bookmarkEnd w:id="130"/>
    <w:p>
      <w:pPr>
        <w:jc w:val="both"/>
        <w:ind w:left="200" w:right="219"/>
        <w:spacing w:after="0" w:line="262" w:lineRule="auto"/>
        <w:rPr>
          <w:sz w:val="20"/>
          <w:szCs w:val="20"/>
          <w:color w:val="auto"/>
        </w:rPr>
      </w:pPr>
      <w:r>
        <w:rPr>
          <w:rFonts w:ascii="Arial" w:cs="Arial" w:eastAsia="Arial" w:hAnsi="Arial"/>
          <w:sz w:val="19"/>
          <w:szCs w:val="19"/>
          <w:color w:val="auto"/>
        </w:rPr>
        <w:t xml:space="preserve">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12.12. </w:t>
      </w:r>
      <w:r>
        <w:rPr>
          <w:rFonts w:ascii="Arial" w:cs="Arial" w:eastAsia="Arial" w:hAnsi="Arial"/>
          <w:sz w:val="20"/>
          <w:szCs w:val="20"/>
          <w:u w:val="single" w:color="auto"/>
          <w:color w:val="auto"/>
        </w:rPr>
        <w:t>Assignments</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39" w:lineRule="auto"/>
        <w:tabs>
          <w:tab w:leader="none" w:pos="198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Any Lender may at any time assign to one or more Eligible Assignees all or a portion of such Lender’s rights and obligations under this Agreement (including all or a portion of its Commitment and the Loans at the time owing to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assignment shall be subject to the following conditions:</w:t>
      </w:r>
    </w:p>
    <w:p>
      <w:pPr>
        <w:spacing w:after="0" w:line="173" w:lineRule="exact"/>
        <w:rPr>
          <w:rFonts w:ascii="Arial" w:cs="Arial" w:eastAsia="Arial" w:hAnsi="Arial"/>
          <w:sz w:val="20"/>
          <w:szCs w:val="20"/>
          <w:color w:val="auto"/>
        </w:rPr>
      </w:pPr>
    </w:p>
    <w:p>
      <w:pPr>
        <w:jc w:val="both"/>
        <w:ind w:left="800" w:right="219" w:firstLine="1184"/>
        <w:spacing w:after="0" w:line="263" w:lineRule="auto"/>
        <w:tabs>
          <w:tab w:leader="none" w:pos="2582"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(A) In the case of an assignment of the entire remaining amount of the assigning Lender’s Commitment and the Loans at the time owing 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spacing w:after="0" w:line="153" w:lineRule="exact"/>
        <w:rPr>
          <w:rFonts w:ascii="Arial" w:cs="Arial" w:eastAsia="Arial" w:hAnsi="Arial"/>
          <w:sz w:val="18"/>
          <w:szCs w:val="18"/>
          <w:color w:val="auto"/>
        </w:rPr>
      </w:pPr>
    </w:p>
    <w:p>
      <w:pPr>
        <w:jc w:val="both"/>
        <w:ind w:left="800" w:right="219" w:firstLine="1184"/>
        <w:spacing w:after="0" w:line="262" w:lineRule="auto"/>
        <w:tabs>
          <w:tab w:leader="none" w:pos="2582"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Each partial assignment shall be made as an assignment of a proportionate part of all the assigning Lender’s rights and obligations under this Agreement with respect to the Term Loan, Incremental Term Loan or the Commitment.</w:t>
      </w:r>
    </w:p>
    <w:p>
      <w:pPr>
        <w:spacing w:after="0" w:line="150" w:lineRule="exact"/>
        <w:rPr>
          <w:rFonts w:ascii="Arial" w:cs="Arial" w:eastAsia="Arial" w:hAnsi="Arial"/>
          <w:sz w:val="19"/>
          <w:szCs w:val="19"/>
          <w:color w:val="auto"/>
        </w:rPr>
      </w:pPr>
    </w:p>
    <w:p>
      <w:pPr>
        <w:ind w:left="800" w:right="219" w:firstLine="1184"/>
        <w:spacing w:after="0" w:line="253" w:lineRule="auto"/>
        <w:tabs>
          <w:tab w:leader="none" w:pos="2582" w:val="left"/>
        </w:tabs>
        <w:numPr>
          <w:ilvl w:val="1"/>
          <w:numId w:val="119"/>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Section 12.12(a)(i)(B) and, in addition:</w:t>
      </w:r>
    </w:p>
    <w:p>
      <w:pPr>
        <w:spacing w:after="0" w:line="158" w:lineRule="exact"/>
        <w:rPr>
          <w:rFonts w:ascii="Arial" w:cs="Arial" w:eastAsia="Arial" w:hAnsi="Arial"/>
          <w:sz w:val="20"/>
          <w:szCs w:val="20"/>
          <w:color w:val="auto"/>
        </w:rPr>
      </w:pPr>
    </w:p>
    <w:p>
      <w:pPr>
        <w:jc w:val="both"/>
        <w:ind w:left="1400" w:right="219" w:firstLine="1178"/>
        <w:spacing w:after="0" w:line="238" w:lineRule="auto"/>
        <w:tabs>
          <w:tab w:leader="none" w:pos="3182" w:val="left"/>
        </w:tabs>
        <w:numPr>
          <w:ilvl w:val="2"/>
          <w:numId w:val="119"/>
        </w:numPr>
        <w:rPr>
          <w:rFonts w:ascii="Arial" w:cs="Arial" w:eastAsia="Arial" w:hAnsi="Arial"/>
          <w:sz w:val="20"/>
          <w:szCs w:val="20"/>
          <w:color w:val="auto"/>
        </w:rPr>
      </w:pPr>
      <w:r>
        <w:rPr>
          <w:rFonts w:ascii="Arial" w:cs="Arial" w:eastAsia="Arial" w:hAnsi="Arial"/>
          <w:sz w:val="20"/>
          <w:szCs w:val="20"/>
          <w:color w:val="auto"/>
        </w:rPr>
        <w:t>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31" w:name="page132"/>
    <w:bookmarkEnd w:id="131"/>
    <w:p>
      <w:pPr>
        <w:jc w:val="both"/>
        <w:ind w:left="1400" w:right="219" w:firstLine="1178"/>
        <w:spacing w:after="0" w:line="238" w:lineRule="auto"/>
        <w:tabs>
          <w:tab w:leader="none" w:pos="3182" w:val="left"/>
        </w:tabs>
        <w:numPr>
          <w:ilvl w:val="1"/>
          <w:numId w:val="120"/>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and to be given or denied within five (5) Business Days of written request therefor) shall be required if such assignment is to a Person that is not a Lender with a Commitment, an Affiliate of such Lender or an Approved Fund with respect to such Lender.</w:t>
      </w:r>
    </w:p>
    <w:p>
      <w:pPr>
        <w:spacing w:after="0" w:line="171" w:lineRule="exact"/>
        <w:rPr>
          <w:rFonts w:ascii="Arial" w:cs="Arial" w:eastAsia="Arial" w:hAnsi="Arial"/>
          <w:sz w:val="20"/>
          <w:szCs w:val="20"/>
          <w:color w:val="auto"/>
        </w:rPr>
      </w:pPr>
    </w:p>
    <w:p>
      <w:pPr>
        <w:jc w:val="both"/>
        <w:ind w:left="800" w:right="219" w:firstLine="1184"/>
        <w:spacing w:after="0" w:line="239" w:lineRule="auto"/>
        <w:tabs>
          <w:tab w:leader="none" w:pos="258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The parties to each assignment shall execute and deliver to the Administrative Agent an Assignment and Acceptance, together with a processing and recordation fee of $3,500, and the assignee, if it is not a Lender, shall deliver to the Administrative Agent an Administrative Questionnaire.</w:t>
      </w:r>
    </w:p>
    <w:p>
      <w:pPr>
        <w:spacing w:after="0" w:line="173" w:lineRule="exact"/>
        <w:rPr>
          <w:rFonts w:ascii="Arial" w:cs="Arial" w:eastAsia="Arial" w:hAnsi="Arial"/>
          <w:sz w:val="20"/>
          <w:szCs w:val="20"/>
          <w:color w:val="auto"/>
        </w:rPr>
      </w:pPr>
    </w:p>
    <w:p>
      <w:pPr>
        <w:jc w:val="both"/>
        <w:ind w:left="800" w:right="219" w:firstLine="1184"/>
        <w:spacing w:after="0" w:line="243" w:lineRule="auto"/>
        <w:tabs>
          <w:tab w:leader="none" w:pos="258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No Assignment to Borrower, Guarantors, Affiliates or Subsidiaries</w:t>
      </w:r>
      <w:r>
        <w:rPr>
          <w:rFonts w:ascii="Arial" w:cs="Arial" w:eastAsia="Arial" w:hAnsi="Arial"/>
          <w:sz w:val="20"/>
          <w:szCs w:val="20"/>
          <w:color w:val="auto"/>
        </w:rPr>
        <w:t>. No such assignment shall be made to the Borrower, any Guarantor or any Affiliate or Subsidiary of the Borrower or any Guarantor.</w:t>
      </w:r>
    </w:p>
    <w:p>
      <w:pPr>
        <w:spacing w:after="0" w:line="167" w:lineRule="exact"/>
        <w:rPr>
          <w:rFonts w:ascii="Arial" w:cs="Arial" w:eastAsia="Arial" w:hAnsi="Arial"/>
          <w:sz w:val="20"/>
          <w:szCs w:val="20"/>
          <w:color w:val="auto"/>
        </w:rPr>
      </w:pPr>
    </w:p>
    <w:p>
      <w:pPr>
        <w:jc w:val="both"/>
        <w:ind w:left="800" w:right="219" w:firstLine="1184"/>
        <w:spacing w:after="0" w:line="243" w:lineRule="auto"/>
        <w:tabs>
          <w:tab w:leader="none" w:pos="2582"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xml:space="preserve"> No such assignment shall be made to a natural person (or holding company, investment vehicle or trust for, or owned and operated for the primary benefit of a natural person).</w:t>
      </w:r>
    </w:p>
    <w:p>
      <w:pPr>
        <w:spacing w:after="0" w:line="167" w:lineRule="exact"/>
        <w:rPr>
          <w:rFonts w:ascii="Arial" w:cs="Arial" w:eastAsia="Arial" w:hAnsi="Arial"/>
          <w:sz w:val="20"/>
          <w:szCs w:val="20"/>
          <w:color w:val="auto"/>
        </w:rPr>
      </w:pPr>
    </w:p>
    <w:p>
      <w:pPr>
        <w:ind w:left="2580" w:hanging="596"/>
        <w:spacing w:after="0"/>
        <w:tabs>
          <w:tab w:leader="none" w:pos="25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Assignment to Defaulting Lender</w:t>
      </w:r>
      <w:r>
        <w:rPr>
          <w:rFonts w:ascii="Arial" w:cs="Arial" w:eastAsia="Arial" w:hAnsi="Arial"/>
          <w:sz w:val="18"/>
          <w:szCs w:val="18"/>
          <w:i w:val="1"/>
          <w:iCs w:val="1"/>
          <w:color w:val="auto"/>
        </w:rPr>
        <w:t>.</w:t>
      </w:r>
      <w:r>
        <w:rPr>
          <w:rFonts w:ascii="Arial" w:cs="Arial" w:eastAsia="Arial" w:hAnsi="Arial"/>
          <w:sz w:val="18"/>
          <w:szCs w:val="18"/>
          <w:color w:val="auto"/>
        </w:rPr>
        <w:t xml:space="preserve"> No such assignment shall be made to a</w:t>
      </w:r>
    </w:p>
    <w:p>
      <w:pPr>
        <w:spacing w:after="0" w:line="3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color w:val="auto"/>
        </w:rPr>
        <w:t>Defaulting Lender.</w:t>
      </w:r>
    </w:p>
    <w:p>
      <w:pPr>
        <w:spacing w:after="0" w:line="175"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18"/>
          <w:szCs w:val="18"/>
          <w:color w:val="auto"/>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spacing w:after="0" w:line="160" w:lineRule="exact"/>
        <w:rPr>
          <w:sz w:val="20"/>
          <w:szCs w:val="20"/>
          <w:color w:val="auto"/>
        </w:rPr>
      </w:pPr>
    </w:p>
    <w:p>
      <w:pPr>
        <w:jc w:val="both"/>
        <w:ind w:left="200" w:right="219" w:firstLine="1190"/>
        <w:spacing w:after="0" w:line="248" w:lineRule="auto"/>
        <w:tabs>
          <w:tab w:leader="none" w:pos="1982"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9"/>
          <w:szCs w:val="19"/>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2" w:name="page133"/>
    <w:bookmarkEnd w:id="132"/>
    <w:p>
      <w:pPr>
        <w:jc w:val="both"/>
        <w:ind w:left="200" w:right="219"/>
        <w:spacing w:after="0" w:line="263" w:lineRule="auto"/>
        <w:rPr>
          <w:sz w:val="20"/>
          <w:szCs w:val="20"/>
          <w:color w:val="auto"/>
        </w:rPr>
      </w:pPr>
      <w:r>
        <w:rPr>
          <w:rFonts w:ascii="Arial" w:cs="Arial" w:eastAsia="Arial" w:hAnsi="Arial"/>
          <w:sz w:val="18"/>
          <w:szCs w:val="18"/>
          <w:color w:val="auto"/>
        </w:rPr>
        <w:t xml:space="preserve">and address of each participant and the principal amounts (and stated interest) of each participant's interest in the Loans made and Commitments or other obligations under this Agreement (the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w:t>
      </w:r>
      <w:r>
        <w:rPr>
          <w:rFonts w:ascii="Arial" w:cs="Arial" w:eastAsia="Arial" w:hAnsi="Arial"/>
          <w:sz w:val="18"/>
          <w:szCs w:val="18"/>
          <w:color w:val="auto"/>
        </w:rPr>
        <w:t>); provided that no Lender shall have any obligation to disclose all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Register to any Person (including the identity of any participant or any information relating to a participant's interest in any Loans made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which person whose name is recorded in the Participant Register as the owner of such participation for all purposes of this Agreement notwithstanding any notice to the contrary.</w:t>
      </w:r>
    </w:p>
    <w:p>
      <w:pPr>
        <w:spacing w:after="0" w:line="158" w:lineRule="exact"/>
        <w:rPr>
          <w:sz w:val="20"/>
          <w:szCs w:val="20"/>
          <w:color w:val="auto"/>
        </w:rPr>
      </w:pPr>
    </w:p>
    <w:p>
      <w:pPr>
        <w:jc w:val="both"/>
        <w:ind w:left="200" w:right="219" w:firstLine="1190"/>
        <w:spacing w:after="0" w:line="265" w:lineRule="auto"/>
        <w:tabs>
          <w:tab w:leader="none" w:pos="198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grant of a security interest shall release a Lender from any of its obligations hereunder or substitute any such pledgee or secured party for such Lender as a party hereto; </w:t>
      </w:r>
      <w:r>
        <w:rPr>
          <w:rFonts w:ascii="Arial" w:cs="Arial" w:eastAsia="Arial" w:hAnsi="Arial"/>
          <w:sz w:val="18"/>
          <w:szCs w:val="18"/>
          <w:i w:val="1"/>
          <w:iCs w:val="1"/>
          <w:color w:val="auto"/>
        </w:rPr>
        <w:t xml:space="preserve">provided further, however, </w:t>
      </w:r>
      <w:r>
        <w:rPr>
          <w:rFonts w:ascii="Arial" w:cs="Arial" w:eastAsia="Arial" w:hAnsi="Arial"/>
          <w:sz w:val="18"/>
          <w:szCs w:val="18"/>
          <w:color w:val="auto"/>
        </w:rPr>
        <w:t>the right of any such pledgee or grantee (other than any Federal Reserve Bank)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transfer all or any portion of the rights pledged or granted to it, whether by means of foreclosure or otherwise, shall be at all times subject to the terms of this Agreement.</w:t>
      </w:r>
    </w:p>
    <w:p>
      <w:pPr>
        <w:spacing w:after="0" w:line="164" w:lineRule="exact"/>
        <w:rPr>
          <w:sz w:val="20"/>
          <w:szCs w:val="20"/>
          <w:color w:val="auto"/>
        </w:rPr>
      </w:pPr>
    </w:p>
    <w:p>
      <w:pPr>
        <w:ind w:left="200" w:right="259" w:firstLine="594"/>
        <w:spacing w:after="0" w:line="250" w:lineRule="auto"/>
        <w:rPr>
          <w:sz w:val="20"/>
          <w:szCs w:val="20"/>
          <w:color w:val="auto"/>
        </w:rPr>
      </w:pPr>
      <w:r>
        <w:rPr>
          <w:rFonts w:ascii="Arial" w:cs="Arial" w:eastAsia="Arial" w:hAnsi="Arial"/>
          <w:sz w:val="20"/>
          <w:szCs w:val="20"/>
          <w:color w:val="auto"/>
        </w:rPr>
        <w:t xml:space="preserve">Section 12.13. </w:t>
      </w:r>
      <w:r>
        <w:rPr>
          <w:rFonts w:ascii="Arial" w:cs="Arial" w:eastAsia="Arial" w:hAnsi="Arial"/>
          <w:sz w:val="20"/>
          <w:szCs w:val="20"/>
          <w:u w:val="single" w:color="auto"/>
          <w:color w:val="auto"/>
        </w:rPr>
        <w:t>Amendments</w:t>
      </w:r>
      <w:r>
        <w:rPr>
          <w:rFonts w:ascii="Arial" w:cs="Arial" w:eastAsia="Arial" w:hAnsi="Arial"/>
          <w:sz w:val="20"/>
          <w:szCs w:val="20"/>
          <w:color w:val="auto"/>
        </w:rPr>
        <w:t>. 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are affected thereby, the Administrative Agent; provided that:</w:t>
      </w:r>
    </w:p>
    <w:p>
      <w:pPr>
        <w:spacing w:after="0" w:line="164" w:lineRule="exact"/>
        <w:rPr>
          <w:sz w:val="20"/>
          <w:szCs w:val="20"/>
          <w:color w:val="auto"/>
        </w:rPr>
      </w:pPr>
    </w:p>
    <w:p>
      <w:pPr>
        <w:jc w:val="both"/>
        <w:ind w:left="800" w:right="219" w:firstLine="1184"/>
        <w:spacing w:after="0" w:line="251" w:lineRule="auto"/>
        <w:tabs>
          <w:tab w:leader="none" w:pos="2582"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 amendment or waiver pursuant to this Section 12.13 shall (A) increase any Commitment of any Lender without the consent of such Lender or (B) reduce the amount of or postpone the date for any payment (including any mandatory prepayment) of any principal of or interest on any Loan or of any fee payable hereunder (including by way of a waiver of a Default or Event of Default under Section 9.1(a)) without the consent of the Lender to which such payment is owing or which has committed to make such Loan hereunder;</w:t>
      </w:r>
    </w:p>
    <w:p>
      <w:pPr>
        <w:spacing w:after="0" w:line="163" w:lineRule="exact"/>
        <w:rPr>
          <w:rFonts w:ascii="Arial" w:cs="Arial" w:eastAsia="Arial" w:hAnsi="Arial"/>
          <w:sz w:val="19"/>
          <w:szCs w:val="19"/>
          <w:color w:val="auto"/>
        </w:rPr>
      </w:pPr>
    </w:p>
    <w:p>
      <w:pPr>
        <w:jc w:val="both"/>
        <w:ind w:left="800" w:right="219" w:firstLine="1184"/>
        <w:spacing w:after="0" w:line="265" w:lineRule="auto"/>
        <w:tabs>
          <w:tab w:leader="none" w:pos="258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amendment or waiver pursuant to this Section 12.13 shall, unless signed by each Lender, extend the Maturity Date, change the definitions of Required Lenders, Borrowing Base, Borrowing Base NOI, Borrowing Base Requirements, Borrowing Base Value or Adjusted Borrowing Base,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of this Agreement or release any Guarantor (except as expressly contemplated in this Agreement);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3" w:name="page134"/>
    <w:bookmarkEnd w:id="133"/>
    <w:p>
      <w:pPr>
        <w:ind w:left="800" w:right="219" w:firstLine="1184"/>
        <w:spacing w:after="0" w:line="253" w:lineRule="auto"/>
        <w:tabs>
          <w:tab w:leader="none" w:pos="2582"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 amendment to Section 13 hereof shall be made without the consent of the Guarantors affected thereby.</w:t>
      </w:r>
    </w:p>
    <w:p>
      <w:pPr>
        <w:spacing w:after="0" w:line="171" w:lineRule="exact"/>
        <w:rPr>
          <w:sz w:val="20"/>
          <w:szCs w:val="20"/>
          <w:color w:val="auto"/>
        </w:rPr>
      </w:pPr>
    </w:p>
    <w:p>
      <w:pPr>
        <w:ind w:left="200" w:right="439" w:firstLine="594"/>
        <w:spacing w:after="0" w:line="266" w:lineRule="auto"/>
        <w:rPr>
          <w:sz w:val="20"/>
          <w:szCs w:val="20"/>
          <w:color w:val="auto"/>
        </w:rPr>
      </w:pPr>
      <w:r>
        <w:rPr>
          <w:rFonts w:ascii="Arial" w:cs="Arial" w:eastAsia="Arial" w:hAnsi="Arial"/>
          <w:sz w:val="20"/>
          <w:szCs w:val="20"/>
          <w:color w:val="auto"/>
        </w:rPr>
        <w:t xml:space="preserve">Section 12.14. </w:t>
      </w:r>
      <w:r>
        <w:rPr>
          <w:rFonts w:ascii="Arial" w:cs="Arial" w:eastAsia="Arial" w:hAnsi="Arial"/>
          <w:sz w:val="20"/>
          <w:szCs w:val="20"/>
          <w:u w:val="single" w:color="auto"/>
          <w:color w:val="auto"/>
        </w:rPr>
        <w:t>Headings</w:t>
      </w:r>
      <w:r>
        <w:rPr>
          <w:rFonts w:ascii="Arial" w:cs="Arial" w:eastAsia="Arial" w:hAnsi="Arial"/>
          <w:sz w:val="20"/>
          <w:szCs w:val="20"/>
          <w:i w:val="1"/>
          <w:iCs w:val="1"/>
          <w:color w:val="auto"/>
        </w:rPr>
        <w:t>.</w:t>
      </w:r>
      <w:r>
        <w:rPr>
          <w:rFonts w:ascii="Arial" w:cs="Arial" w:eastAsia="Arial" w:hAnsi="Arial"/>
          <w:sz w:val="20"/>
          <w:szCs w:val="20"/>
          <w:color w:val="auto"/>
        </w:rPr>
        <w:t xml:space="preserve"> Section headings used in this Agreement are for reference only and shall not affect the construction of this Agreement.</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12.15. </w:t>
      </w:r>
      <w:r>
        <w:rPr>
          <w:rFonts w:ascii="Arial" w:cs="Arial" w:eastAsia="Arial" w:hAnsi="Arial"/>
          <w:sz w:val="20"/>
          <w:szCs w:val="20"/>
          <w:u w:val="single" w:color="auto"/>
          <w:color w:val="auto"/>
        </w:rPr>
        <w:t>Costs and Expenses; Indemnification</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75" w:lineRule="auto"/>
        <w:tabs>
          <w:tab w:leader="none" w:pos="198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Borrower agrees to pay all reasonable costs and expenses of the Administrative Agent in connection with the preparation, negotiation, syndication, and administration of the Loan Documents, including, without limitation, the reasonable fees and disbursements of counsel to the Administrative Agent, in connection with the preparation and execution of the Loan Documents, and any amendment, waiver or consent related thereto, whether or not the transactions contemplated herein are consummated. The Borrower agrees to pay to the Administrative Agent 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Arial" w:cs="Arial" w:eastAsia="Arial" w:hAnsi="Arial"/>
          <w:sz w:val="17"/>
          <w:szCs w:val="17"/>
          <w:i w:val="1"/>
          <w:iCs w:val="1"/>
          <w:color w:val="auto"/>
        </w:rPr>
        <w:t>“Indemnitee”</w:t>
      </w:r>
      <w:r>
        <w:rPr>
          <w:rFonts w:ascii="Arial" w:cs="Arial" w:eastAsia="Arial" w:hAnsi="Arial"/>
          <w:sz w:val="17"/>
          <w:szCs w:val="17"/>
          <w:color w:val="auto"/>
        </w:rPr>
        <w:t>) against all losses, claims, damages, penalties, judgments, liabilities and expenses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spacing w:after="0" w:line="384" w:lineRule="exact"/>
        <w:rPr>
          <w:rFonts w:ascii="Arial" w:cs="Arial" w:eastAsia="Arial" w:hAnsi="Arial"/>
          <w:sz w:val="17"/>
          <w:szCs w:val="17"/>
          <w:color w:val="auto"/>
        </w:rPr>
      </w:pPr>
    </w:p>
    <w:p>
      <w:pPr>
        <w:jc w:val="both"/>
        <w:ind w:left="200" w:right="219" w:firstLine="1190"/>
        <w:spacing w:after="0" w:line="256" w:lineRule="auto"/>
        <w:tabs>
          <w:tab w:leader="none" w:pos="198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4" w:name="page135"/>
    <w:bookmarkEnd w:id="134"/>
    <w:p>
      <w:pPr>
        <w:jc w:val="both"/>
        <w:ind w:left="200" w:right="219"/>
        <w:spacing w:after="0" w:line="261" w:lineRule="auto"/>
        <w:rPr>
          <w:sz w:val="20"/>
          <w:szCs w:val="20"/>
          <w:color w:val="auto"/>
        </w:rPr>
      </w:pPr>
      <w:r>
        <w:rPr>
          <w:rFonts w:ascii="Arial" w:cs="Arial" w:eastAsia="Arial" w:hAnsi="Arial"/>
          <w:sz w:val="18"/>
          <w:szCs w:val="18"/>
          <w:color w:val="auto"/>
        </w:rPr>
        <w:t>following: (i) any presence, release, threatened release or disposal of any hazardous or toxic substance or petroleum by the Borrower or any Subsidiary or otherwise occurring on or with respect to its Property (whether owned or leased), (ii) the operation or violation of any environmental law, whether federal, state, or local, and any regulations promulgated thereunder, by the Borrower or any Subsidiary or otherwise occurring on or with respect to its Property (whether owned or leased), (iii) any claim for personal injury or property damage in connection with the Borrower or any Subsidiary or otherwise occurring on or with respect to its Property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spacing w:after="0" w:line="176" w:lineRule="exact"/>
        <w:rPr>
          <w:sz w:val="20"/>
          <w:szCs w:val="20"/>
          <w:color w:val="auto"/>
        </w:rPr>
      </w:pPr>
    </w:p>
    <w:p>
      <w:pPr>
        <w:ind w:left="200" w:right="239" w:firstLine="594"/>
        <w:spacing w:after="0" w:line="276" w:lineRule="auto"/>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Set-off</w:t>
      </w:r>
      <w:r>
        <w:rPr>
          <w:rFonts w:ascii="Arial" w:cs="Arial" w:eastAsia="Arial" w:hAnsi="Arial"/>
          <w:sz w:val="18"/>
          <w:szCs w:val="18"/>
          <w:color w:val="auto"/>
        </w:rPr>
        <w:t>. In addition to any rights now or hereafter granted under the Loan Documents or applicable law and not by way of limitation of any such rights, during the continuance of any Event of Default, with the prior written consent of the Administrative Agent, each Lender,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spacing w:after="0" w:line="158" w:lineRule="exact"/>
        <w:rPr>
          <w:sz w:val="20"/>
          <w:szCs w:val="20"/>
          <w:color w:val="auto"/>
        </w:rPr>
      </w:pPr>
    </w:p>
    <w:p>
      <w:pPr>
        <w:jc w:val="both"/>
        <w:ind w:left="200" w:right="379" w:firstLine="594"/>
        <w:spacing w:after="0" w:line="256" w:lineRule="auto"/>
        <w:rPr>
          <w:sz w:val="20"/>
          <w:szCs w:val="20"/>
          <w:color w:val="auto"/>
        </w:rPr>
      </w:pPr>
      <w:r>
        <w:rPr>
          <w:rFonts w:ascii="Arial" w:cs="Arial" w:eastAsia="Arial" w:hAnsi="Arial"/>
          <w:sz w:val="20"/>
          <w:szCs w:val="20"/>
          <w:color w:val="auto"/>
        </w:rPr>
        <w:t xml:space="preserve">Section 12.17.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Loan Documents constitute the entire understanding of the parties thereto with respect to the subject matter thereof and any prior agreements, whether written or oral, with respect thereto are superseded hereby.</w:t>
      </w:r>
    </w:p>
    <w:p>
      <w:pPr>
        <w:spacing w:after="0" w:line="168" w:lineRule="exact"/>
        <w:rPr>
          <w:sz w:val="20"/>
          <w:szCs w:val="20"/>
          <w:color w:val="auto"/>
        </w:rPr>
      </w:pPr>
    </w:p>
    <w:p>
      <w:pPr>
        <w:jc w:val="both"/>
        <w:ind w:left="200" w:right="1019" w:firstLine="594"/>
        <w:spacing w:after="0" w:line="275"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(except as otherwise specified therein), and the rights and duties of the parties hereto, shall be construed and determined in accordance with the internal laws of the State of New York.</w:t>
      </w:r>
    </w:p>
    <w:p>
      <w:pPr>
        <w:spacing w:after="0" w:line="152" w:lineRule="exact"/>
        <w:rPr>
          <w:sz w:val="20"/>
          <w:szCs w:val="20"/>
          <w:color w:val="auto"/>
        </w:rPr>
      </w:pPr>
    </w:p>
    <w:p>
      <w:pPr>
        <w:jc w:val="both"/>
        <w:ind w:left="200" w:right="1099" w:firstLine="594"/>
        <w:spacing w:after="0" w:line="289" w:lineRule="auto"/>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Severability of Provisions</w:t>
      </w:r>
      <w:r>
        <w:rPr>
          <w:rFonts w:ascii="Arial" w:cs="Arial" w:eastAsia="Arial" w:hAnsi="Arial"/>
          <w:sz w:val="18"/>
          <w:szCs w:val="18"/>
          <w:i w:val="1"/>
          <w:iCs w:val="1"/>
          <w:color w:val="auto"/>
        </w:rPr>
        <w:t>.</w:t>
      </w:r>
      <w:r>
        <w:rPr>
          <w:rFonts w:ascii="Arial" w:cs="Arial" w:eastAsia="Arial" w:hAnsi="Arial"/>
          <w:sz w:val="18"/>
          <w:szCs w:val="18"/>
          <w:color w:val="auto"/>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5" w:name="page136"/>
    <w:bookmarkEnd w:id="135"/>
    <w:p>
      <w:pPr>
        <w:jc w:val="both"/>
        <w:ind w:left="200" w:right="219"/>
        <w:spacing w:after="0" w:line="267" w:lineRule="auto"/>
        <w:rPr>
          <w:sz w:val="20"/>
          <w:szCs w:val="20"/>
          <w:color w:val="auto"/>
        </w:rPr>
      </w:pPr>
      <w:r>
        <w:rPr>
          <w:rFonts w:ascii="Arial" w:cs="Arial" w:eastAsia="Arial" w:hAnsi="Arial"/>
          <w:sz w:val="19"/>
          <w:szCs w:val="19"/>
          <w:color w:val="auto"/>
        </w:rPr>
        <w:t>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spacing w:after="0" w:line="158" w:lineRule="exact"/>
        <w:rPr>
          <w:sz w:val="20"/>
          <w:szCs w:val="20"/>
          <w:color w:val="auto"/>
        </w:rPr>
      </w:pPr>
    </w:p>
    <w:p>
      <w:pPr>
        <w:ind w:left="200" w:right="259" w:firstLine="594"/>
        <w:spacing w:after="0" w:line="290" w:lineRule="auto"/>
        <w:rPr>
          <w:sz w:val="20"/>
          <w:szCs w:val="20"/>
          <w:color w:val="auto"/>
        </w:rPr>
      </w:pPr>
      <w:r>
        <w:rPr>
          <w:rFonts w:ascii="Arial" w:cs="Arial" w:eastAsia="Arial" w:hAnsi="Arial"/>
          <w:sz w:val="17"/>
          <w:szCs w:val="17"/>
          <w:color w:val="auto"/>
        </w:rPr>
        <w:t xml:space="preserve">Section 12.20. </w:t>
      </w:r>
      <w:r>
        <w:rPr>
          <w:rFonts w:ascii="Arial" w:cs="Arial" w:eastAsia="Arial" w:hAnsi="Arial"/>
          <w:sz w:val="17"/>
          <w:szCs w:val="17"/>
          <w:u w:val="single" w:color="auto"/>
          <w:color w:val="auto"/>
        </w:rPr>
        <w:t>Excess Interest</w:t>
      </w:r>
      <w:r>
        <w:rPr>
          <w:rFonts w:ascii="Arial" w:cs="Arial" w:eastAsia="Arial" w:hAnsi="Arial"/>
          <w:sz w:val="17"/>
          <w:szCs w:val="17"/>
          <w:color w:val="auto"/>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Arial" w:cs="Arial" w:eastAsia="Arial" w:hAnsi="Arial"/>
          <w:sz w:val="17"/>
          <w:szCs w:val="17"/>
          <w:i w:val="1"/>
          <w:iCs w:val="1"/>
          <w:color w:val="auto"/>
        </w:rPr>
        <w:t>“Excess Interest”</w:t>
      </w:r>
      <w:r>
        <w:rPr>
          <w:rFonts w:ascii="Arial" w:cs="Arial" w:eastAsia="Arial" w:hAnsi="Arial"/>
          <w:sz w:val="17"/>
          <w:szCs w:val="17"/>
          <w:color w:val="auto"/>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w:t>
      </w:r>
    </w:p>
    <w:p>
      <w:pPr>
        <w:spacing w:after="0" w:line="4" w:lineRule="exact"/>
        <w:rPr>
          <w:sz w:val="20"/>
          <w:szCs w:val="20"/>
          <w:color w:val="auto"/>
        </w:rPr>
      </w:pPr>
    </w:p>
    <w:p>
      <w:pPr>
        <w:ind w:left="200" w:right="299" w:firstLine="2"/>
        <w:spacing w:after="0" w:line="275" w:lineRule="auto"/>
        <w:tabs>
          <w:tab w:leader="none" w:pos="4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Arial" w:cs="Arial" w:eastAsia="Arial" w:hAnsi="Arial"/>
          <w:sz w:val="18"/>
          <w:szCs w:val="18"/>
          <w:i w:val="1"/>
          <w:iCs w:val="1"/>
          <w:color w:val="auto"/>
        </w:rPr>
        <w:t>“Maximum Rate”</w:t>
      </w:r>
      <w:r>
        <w:rPr>
          <w:rFonts w:ascii="Arial" w:cs="Arial" w:eastAsia="Arial" w:hAnsi="Arial"/>
          <w:sz w:val="18"/>
          <w:szCs w:val="18"/>
          <w:color w:val="auto"/>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spacing w:after="0" w:line="158" w:lineRule="exact"/>
        <w:rPr>
          <w:sz w:val="20"/>
          <w:szCs w:val="20"/>
          <w:color w:val="auto"/>
        </w:rPr>
      </w:pPr>
    </w:p>
    <w:p>
      <w:pPr>
        <w:jc w:val="both"/>
        <w:ind w:left="200" w:right="299" w:firstLine="594"/>
        <w:spacing w:after="0" w:line="294" w:lineRule="auto"/>
        <w:rPr>
          <w:sz w:val="20"/>
          <w:szCs w:val="20"/>
          <w:color w:val="auto"/>
        </w:rPr>
      </w:pPr>
      <w:r>
        <w:rPr>
          <w:rFonts w:ascii="Arial" w:cs="Arial" w:eastAsia="Arial" w:hAnsi="Arial"/>
          <w:sz w:val="17"/>
          <w:szCs w:val="17"/>
          <w:color w:val="auto"/>
        </w:rPr>
        <w:t xml:space="preserve">Section 12.21.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w:t>
      </w:r>
    </w:p>
    <w:p>
      <w:pPr>
        <w:spacing w:after="0" w:line="2" w:lineRule="exact"/>
        <w:rPr>
          <w:sz w:val="20"/>
          <w:szCs w:val="20"/>
          <w:color w:val="auto"/>
        </w:rPr>
      </w:pPr>
    </w:p>
    <w:p>
      <w:pPr>
        <w:ind w:left="200" w:right="999"/>
        <w:spacing w:after="0" w:line="250" w:lineRule="auto"/>
        <w:rPr>
          <w:sz w:val="20"/>
          <w:szCs w:val="20"/>
          <w:color w:val="auto"/>
        </w:rPr>
      </w:pPr>
      <w:r>
        <w:rPr>
          <w:rFonts w:ascii="Arial" w:cs="Arial" w:eastAsia="Arial" w:hAnsi="Arial"/>
          <w:sz w:val="20"/>
          <w:szCs w:val="20"/>
          <w:color w:val="auto"/>
        </w:rPr>
        <w:t>The provisions of this Agreement relating to Subsidiaries shall only apply during such times as the Borrower has one or more Subsidiaries.</w:t>
      </w:r>
    </w:p>
    <w:p>
      <w:pPr>
        <w:spacing w:after="0" w:line="174" w:lineRule="exact"/>
        <w:rPr>
          <w:sz w:val="20"/>
          <w:szCs w:val="20"/>
          <w:color w:val="auto"/>
        </w:rPr>
      </w:pPr>
    </w:p>
    <w:p>
      <w:pPr>
        <w:ind w:left="200" w:right="399" w:firstLine="594"/>
        <w:spacing w:after="0" w:line="297" w:lineRule="auto"/>
        <w:rPr>
          <w:sz w:val="20"/>
          <w:szCs w:val="20"/>
          <w:color w:val="auto"/>
        </w:rPr>
      </w:pPr>
      <w:r>
        <w:rPr>
          <w:rFonts w:ascii="Arial" w:cs="Arial" w:eastAsia="Arial" w:hAnsi="Arial"/>
          <w:sz w:val="18"/>
          <w:szCs w:val="18"/>
          <w:color w:val="auto"/>
        </w:rPr>
        <w:t xml:space="preserve">Section 12.22. </w:t>
      </w:r>
      <w:r>
        <w:rPr>
          <w:rFonts w:ascii="Arial" w:cs="Arial" w:eastAsia="Arial" w:hAnsi="Arial"/>
          <w:sz w:val="18"/>
          <w:szCs w:val="18"/>
          <w:u w:val="single" w:color="auto"/>
          <w:color w:val="auto"/>
        </w:rPr>
        <w:t>Lender’s Obligations Several</w:t>
      </w:r>
      <w:r>
        <w:rPr>
          <w:rFonts w:ascii="Arial" w:cs="Arial" w:eastAsia="Arial" w:hAnsi="Arial"/>
          <w:sz w:val="18"/>
          <w:szCs w:val="18"/>
          <w:color w:val="auto"/>
        </w:rPr>
        <w:t>. The obligations of the Lenders hereunder are several and not joint. Nothing contained in this Agreement and no action taken by the Lenders pursuant hereto shall be deemed to constitute the Lenders a partnership, association, joint venture or other entity.</w:t>
      </w:r>
    </w:p>
    <w:p>
      <w:pPr>
        <w:spacing w:after="0" w:line="135" w:lineRule="exact"/>
        <w:rPr>
          <w:sz w:val="20"/>
          <w:szCs w:val="20"/>
          <w:color w:val="auto"/>
        </w:rPr>
      </w:pPr>
    </w:p>
    <w:p>
      <w:pPr>
        <w:ind w:left="200" w:right="359" w:firstLine="594"/>
        <w:spacing w:after="0" w:line="266" w:lineRule="auto"/>
        <w:rPr>
          <w:sz w:val="20"/>
          <w:szCs w:val="20"/>
          <w:color w:val="auto"/>
        </w:rPr>
      </w:pPr>
      <w:r>
        <w:rPr>
          <w:rFonts w:ascii="Arial" w:cs="Arial" w:eastAsia="Arial" w:hAnsi="Arial"/>
          <w:sz w:val="20"/>
          <w:szCs w:val="20"/>
          <w:color w:val="auto"/>
        </w:rPr>
        <w:t xml:space="preserve">Section 12.23. </w:t>
      </w:r>
      <w:r>
        <w:rPr>
          <w:rFonts w:ascii="Arial" w:cs="Arial" w:eastAsia="Arial" w:hAnsi="Arial"/>
          <w:sz w:val="20"/>
          <w:szCs w:val="20"/>
          <w:u w:val="single" w:color="auto"/>
          <w:color w:val="auto"/>
        </w:rPr>
        <w:t>Submission to Jurisdiction; Waiver of Jury Trial</w:t>
      </w:r>
      <w:r>
        <w:rPr>
          <w:rFonts w:ascii="Arial" w:cs="Arial" w:eastAsia="Arial" w:hAnsi="Arial"/>
          <w:sz w:val="20"/>
          <w:szCs w:val="20"/>
          <w:color w:val="auto"/>
        </w:rPr>
        <w:t>. The Borrower and each Guarantor hereby submits to the nonexclusive jurisdiction of the United States District Court for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36" w:name="page137"/>
    <w:bookmarkEnd w:id="136"/>
    <w:p>
      <w:pPr>
        <w:jc w:val="both"/>
        <w:ind w:left="200" w:right="219"/>
        <w:spacing w:after="0" w:line="275" w:lineRule="auto"/>
        <w:rPr>
          <w:sz w:val="20"/>
          <w:szCs w:val="20"/>
          <w:color w:val="auto"/>
        </w:rPr>
      </w:pPr>
      <w:r>
        <w:rPr>
          <w:rFonts w:ascii="Arial" w:cs="Arial" w:eastAsia="Arial" w:hAnsi="Arial"/>
          <w:sz w:val="18"/>
          <w:szCs w:val="18"/>
          <w:color w:val="auto"/>
        </w:rPr>
        <w:t>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w:t>
      </w:r>
      <w:r>
        <w:rPr>
          <w:rFonts w:ascii="Arial" w:cs="Arial" w:eastAsia="Arial" w:hAnsi="Arial"/>
          <w:sz w:val="12"/>
          <w:szCs w:val="12"/>
          <w:color w:val="auto"/>
        </w:rPr>
        <w:t>HE</w:t>
      </w:r>
      <w:r>
        <w:rPr>
          <w:rFonts w:ascii="Arial" w:cs="Arial" w:eastAsia="Arial" w:hAnsi="Arial"/>
          <w:sz w:val="18"/>
          <w:szCs w:val="18"/>
          <w:color w:val="auto"/>
        </w:rPr>
        <w:t xml:space="preserve"> B</w:t>
      </w:r>
      <w:r>
        <w:rPr>
          <w:rFonts w:ascii="Arial" w:cs="Arial" w:eastAsia="Arial" w:hAnsi="Arial"/>
          <w:sz w:val="12"/>
          <w:szCs w:val="12"/>
          <w:color w:val="auto"/>
        </w:rPr>
        <w:t>ORROWER</w:t>
      </w:r>
      <w:r>
        <w:rPr>
          <w:rFonts w:ascii="Arial" w:cs="Arial" w:eastAsia="Arial" w:hAnsi="Arial"/>
          <w:sz w:val="18"/>
          <w:szCs w:val="18"/>
          <w:color w:val="auto"/>
        </w:rPr>
        <w:t xml:space="preserve">, </w:t>
      </w:r>
      <w:r>
        <w:rPr>
          <w:rFonts w:ascii="Arial" w:cs="Arial" w:eastAsia="Arial" w:hAnsi="Arial"/>
          <w:sz w:val="12"/>
          <w:szCs w:val="12"/>
          <w:color w:val="auto"/>
        </w:rPr>
        <w:t>EACH</w:t>
      </w:r>
      <w:r>
        <w:rPr>
          <w:rFonts w:ascii="Arial" w:cs="Arial" w:eastAsia="Arial" w:hAnsi="Arial"/>
          <w:sz w:val="18"/>
          <w:szCs w:val="18"/>
          <w:color w:val="auto"/>
        </w:rPr>
        <w:t xml:space="preserve"> G</w:t>
      </w:r>
      <w:r>
        <w:rPr>
          <w:rFonts w:ascii="Arial" w:cs="Arial" w:eastAsia="Arial" w:hAnsi="Arial"/>
          <w:sz w:val="12"/>
          <w:szCs w:val="12"/>
          <w:color w:val="auto"/>
        </w:rPr>
        <w:t>UARANTOR</w:t>
      </w:r>
      <w:r>
        <w:rPr>
          <w:rFonts w:ascii="Arial" w:cs="Arial" w:eastAsia="Arial" w:hAnsi="Arial"/>
          <w:sz w:val="18"/>
          <w:szCs w:val="18"/>
          <w:color w:val="auto"/>
        </w:rPr>
        <w:t xml:space="preserve">, </w:t>
      </w:r>
      <w:r>
        <w:rPr>
          <w:rFonts w:ascii="Arial" w:cs="Arial" w:eastAsia="Arial" w:hAnsi="Arial"/>
          <w:sz w:val="12"/>
          <w:szCs w:val="12"/>
          <w:color w:val="auto"/>
        </w:rPr>
        <w:t>THE</w:t>
      </w:r>
    </w:p>
    <w:p>
      <w:pPr>
        <w:spacing w:after="0" w:line="3"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DMINISTRATIVE</w:t>
      </w:r>
      <w:r>
        <w:rPr>
          <w:rFonts w:ascii="Arial" w:cs="Arial" w:eastAsia="Arial" w:hAnsi="Arial"/>
          <w:sz w:val="20"/>
          <w:szCs w:val="20"/>
          <w:color w:val="auto"/>
        </w:rPr>
        <w:t xml:space="preserve"> A</w:t>
      </w:r>
      <w:r>
        <w:rPr>
          <w:rFonts w:ascii="Arial" w:cs="Arial" w:eastAsia="Arial" w:hAnsi="Arial"/>
          <w:sz w:val="13"/>
          <w:szCs w:val="13"/>
          <w:color w:val="auto"/>
        </w:rPr>
        <w:t>GENT AND THE</w:t>
      </w:r>
      <w:r>
        <w:rPr>
          <w:rFonts w:ascii="Arial" w:cs="Arial" w:eastAsia="Arial" w:hAnsi="Arial"/>
          <w:sz w:val="20"/>
          <w:szCs w:val="20"/>
          <w:color w:val="auto"/>
        </w:rPr>
        <w:t xml:space="preserve"> L</w:t>
      </w:r>
      <w:r>
        <w:rPr>
          <w:rFonts w:ascii="Arial" w:cs="Arial" w:eastAsia="Arial" w:hAnsi="Arial"/>
          <w:sz w:val="13"/>
          <w:szCs w:val="13"/>
          <w:color w:val="auto"/>
        </w:rPr>
        <w:t>ENDERS HEREBY IRREVOCABLY WAIVE ANY AND ALL RIGHT TO TRIAL BY JURY IN ANY</w:t>
      </w:r>
      <w:r>
        <w:rPr>
          <w:rFonts w:ascii="Arial" w:cs="Arial" w:eastAsia="Arial" w:hAnsi="Arial"/>
          <w:sz w:val="20"/>
          <w:szCs w:val="20"/>
          <w:color w:val="auto"/>
        </w:rPr>
        <w:t xml:space="preserve"> </w:t>
      </w:r>
      <w:r>
        <w:rPr>
          <w:rFonts w:ascii="Arial" w:cs="Arial" w:eastAsia="Arial" w:hAnsi="Arial"/>
          <w:sz w:val="13"/>
          <w:szCs w:val="13"/>
          <w:color w:val="auto"/>
        </w:rPr>
        <w:t xml:space="preserve">LEGAL PROCEEDING ARISING OUT OF OR RELATING TO ANY </w:t>
      </w:r>
      <w:r>
        <w:rPr>
          <w:rFonts w:ascii="Arial" w:cs="Arial" w:eastAsia="Arial" w:hAnsi="Arial"/>
          <w:sz w:val="19"/>
          <w:szCs w:val="19"/>
          <w:color w:val="auto"/>
        </w:rPr>
        <w:t>L</w:t>
      </w:r>
      <w:r>
        <w:rPr>
          <w:rFonts w:ascii="Arial" w:cs="Arial" w:eastAsia="Arial" w:hAnsi="Arial"/>
          <w:sz w:val="13"/>
          <w:szCs w:val="13"/>
          <w:color w:val="auto"/>
        </w:rPr>
        <w:t xml:space="preserve">OAN </w:t>
      </w:r>
      <w:r>
        <w:rPr>
          <w:rFonts w:ascii="Arial" w:cs="Arial" w:eastAsia="Arial" w:hAnsi="Arial"/>
          <w:sz w:val="19"/>
          <w:szCs w:val="19"/>
          <w:color w:val="auto"/>
        </w:rPr>
        <w:t>D</w:t>
      </w:r>
      <w:r>
        <w:rPr>
          <w:rFonts w:ascii="Arial" w:cs="Arial" w:eastAsia="Arial" w:hAnsi="Arial"/>
          <w:sz w:val="13"/>
          <w:szCs w:val="13"/>
          <w:color w:val="auto"/>
        </w:rPr>
        <w:t>OCUMENT OR THE TRANSACTIONS CONTEMPLATED THEREBY</w:t>
      </w:r>
      <w:r>
        <w:rPr>
          <w:rFonts w:ascii="Arial" w:cs="Arial" w:eastAsia="Arial" w:hAnsi="Arial"/>
          <w:sz w:val="19"/>
          <w:szCs w:val="19"/>
          <w:color w:val="auto"/>
        </w:rPr>
        <w:t>.</w:t>
      </w:r>
    </w:p>
    <w:p>
      <w:pPr>
        <w:spacing w:after="0" w:line="397" w:lineRule="exact"/>
        <w:rPr>
          <w:sz w:val="20"/>
          <w:szCs w:val="20"/>
          <w:color w:val="auto"/>
        </w:rPr>
      </w:pPr>
    </w:p>
    <w:p>
      <w:pPr>
        <w:ind w:left="200" w:right="439" w:firstLine="594"/>
        <w:spacing w:after="0" w:line="250" w:lineRule="auto"/>
        <w:rPr>
          <w:sz w:val="20"/>
          <w:szCs w:val="20"/>
          <w:color w:val="auto"/>
        </w:rPr>
      </w:pPr>
      <w:r>
        <w:rPr>
          <w:rFonts w:ascii="Arial" w:cs="Arial" w:eastAsia="Arial" w:hAnsi="Arial"/>
          <w:sz w:val="20"/>
          <w:szCs w:val="20"/>
          <w:color w:val="auto"/>
        </w:rPr>
        <w:t xml:space="preserve">Section 12.24.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76" w:lineRule="exact"/>
        <w:rPr>
          <w:sz w:val="20"/>
          <w:szCs w:val="20"/>
          <w:color w:val="auto"/>
        </w:rPr>
      </w:pPr>
    </w:p>
    <w:p>
      <w:pPr>
        <w:ind w:left="200" w:right="219" w:firstLine="594"/>
        <w:spacing w:after="0" w:line="273" w:lineRule="auto"/>
        <w:rPr>
          <w:sz w:val="20"/>
          <w:szCs w:val="20"/>
          <w:color w:val="auto"/>
        </w:rPr>
      </w:pPr>
      <w:r>
        <w:rPr>
          <w:rFonts w:ascii="Arial" w:cs="Arial" w:eastAsia="Arial" w:hAnsi="Arial"/>
          <w:sz w:val="18"/>
          <w:szCs w:val="18"/>
          <w:color w:val="auto"/>
        </w:rPr>
        <w:t xml:space="preserve">Section 12.25.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Administrative Agent and the Lenders,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w:t>
      </w:r>
    </w:p>
    <w:p>
      <w:pPr>
        <w:spacing w:after="0" w:line="9" w:lineRule="exact"/>
        <w:rPr>
          <w:sz w:val="20"/>
          <w:szCs w:val="20"/>
          <w:color w:val="auto"/>
        </w:rPr>
      </w:pPr>
    </w:p>
    <w:p>
      <w:pPr>
        <w:ind w:left="200" w:right="259" w:firstLine="2"/>
        <w:spacing w:after="0" w:line="261" w:lineRule="auto"/>
        <w:tabs>
          <w:tab w:leader="none" w:pos="51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37" w:name="page138"/>
    <w:bookmarkEnd w:id="137"/>
    <w:p>
      <w:pPr>
        <w:jc w:val="both"/>
        <w:ind w:left="200" w:right="219"/>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Administrative Agent, any Lender may use such Information as permitted by 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above, but the Administrative Agent, any Lender shall not otherwise disclose such Information except as permitted by clauses (b) - (g), (i), (j) or (k) of this Section 12.25, (i) to rating agencies if requested or required by such agencies in connection with a rating relating to the Loans or the Commitments hereunder,</w:t>
      </w:r>
    </w:p>
    <w:p>
      <w:pPr>
        <w:jc w:val="both"/>
        <w:ind w:left="200" w:right="219" w:firstLine="2"/>
        <w:spacing w:after="0" w:line="274" w:lineRule="auto"/>
        <w:tabs>
          <w:tab w:leader="none" w:pos="4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only basic information about the pricing and structure of the transaction evidenced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may be disclosed pursuant to this subsection (j). For purposes of this Section 12.25,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Subsidiaries or from any other Person on behalf of the Borrower or any of the Subsidiaries. Each of the Administrative Agent, the Lenders specifically acknowledges that the common stock of Parent is traded on the New York Stock Exchange under the trading symbol “PINE.”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w:t>
      </w:r>
    </w:p>
    <w:p>
      <w:pPr>
        <w:spacing w:after="0" w:line="163" w:lineRule="exact"/>
        <w:rPr>
          <w:sz w:val="20"/>
          <w:szCs w:val="20"/>
          <w:color w:val="auto"/>
        </w:rPr>
      </w:pPr>
    </w:p>
    <w:p>
      <w:pPr>
        <w:ind w:left="200" w:right="279" w:firstLine="594"/>
        <w:spacing w:after="0" w:line="248" w:lineRule="auto"/>
        <w:rPr>
          <w:sz w:val="20"/>
          <w:szCs w:val="20"/>
          <w:color w:val="auto"/>
        </w:rPr>
      </w:pPr>
      <w:r>
        <w:rPr>
          <w:rFonts w:ascii="Arial" w:cs="Arial" w:eastAsia="Arial" w:hAnsi="Arial"/>
          <w:sz w:val="20"/>
          <w:szCs w:val="20"/>
          <w:color w:val="auto"/>
        </w:rPr>
        <w:t xml:space="preserve">Section 12.26. </w:t>
      </w:r>
      <w:r>
        <w:rPr>
          <w:rFonts w:ascii="Arial" w:cs="Arial" w:eastAsia="Arial" w:hAnsi="Arial"/>
          <w:sz w:val="20"/>
          <w:szCs w:val="20"/>
          <w:u w:val="single" w:color="auto"/>
          <w:color w:val="auto"/>
        </w:rPr>
        <w:t>Limitation of Recourse</w:t>
      </w:r>
      <w:r>
        <w:rPr>
          <w:rFonts w:ascii="Arial" w:cs="Arial" w:eastAsia="Arial" w:hAnsi="Arial"/>
          <w:sz w:val="20"/>
          <w:szCs w:val="20"/>
          <w:i w:val="1"/>
          <w:iCs w:val="1"/>
          <w:color w:val="auto"/>
        </w:rPr>
        <w:t>.</w:t>
      </w:r>
      <w:r>
        <w:rPr>
          <w:rFonts w:ascii="Arial" w:cs="Arial" w:eastAsia="Arial" w:hAnsi="Arial"/>
          <w:sz w:val="20"/>
          <w:szCs w:val="20"/>
          <w:color w:val="auto"/>
        </w:rPr>
        <w:t xml:space="preserve"> 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spacing w:after="0" w:line="176" w:lineRule="exact"/>
        <w:rPr>
          <w:sz w:val="20"/>
          <w:szCs w:val="20"/>
          <w:color w:val="auto"/>
        </w:rPr>
      </w:pPr>
    </w:p>
    <w:p>
      <w:pPr>
        <w:ind w:left="200" w:right="239" w:firstLine="594"/>
        <w:spacing w:after="0" w:line="250" w:lineRule="auto"/>
        <w:rPr>
          <w:sz w:val="20"/>
          <w:szCs w:val="20"/>
          <w:color w:val="auto"/>
        </w:rPr>
      </w:pPr>
      <w:r>
        <w:rPr>
          <w:rFonts w:ascii="Arial" w:cs="Arial" w:eastAsia="Arial" w:hAnsi="Arial"/>
          <w:sz w:val="20"/>
          <w:szCs w:val="20"/>
          <w:color w:val="auto"/>
        </w:rPr>
        <w:t xml:space="preserve">Section 12.27. </w:t>
      </w:r>
      <w:r>
        <w:rPr>
          <w:rFonts w:ascii="Arial" w:cs="Arial" w:eastAsia="Arial" w:hAnsi="Arial"/>
          <w:sz w:val="20"/>
          <w:szCs w:val="20"/>
          <w:u w:val="single" w:color="auto"/>
          <w:color w:val="auto"/>
        </w:rPr>
        <w:t>Other Taxes</w:t>
      </w:r>
      <w:r>
        <w:rPr>
          <w:rFonts w:ascii="Arial" w:cs="Arial" w:eastAsia="Arial" w:hAnsi="Arial"/>
          <w:sz w:val="20"/>
          <w:szCs w:val="20"/>
          <w:color w:val="auto"/>
        </w:rPr>
        <w:t>. 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176" w:lineRule="exact"/>
        <w:rPr>
          <w:sz w:val="20"/>
          <w:szCs w:val="20"/>
          <w:color w:val="auto"/>
        </w:rPr>
      </w:pPr>
    </w:p>
    <w:p>
      <w:pPr>
        <w:ind w:left="200" w:right="299" w:firstLine="594"/>
        <w:spacing w:after="0" w:line="249" w:lineRule="auto"/>
        <w:rPr>
          <w:sz w:val="20"/>
          <w:szCs w:val="20"/>
          <w:color w:val="auto"/>
        </w:rPr>
      </w:pPr>
      <w:r>
        <w:rPr>
          <w:rFonts w:ascii="Arial" w:cs="Arial" w:eastAsia="Arial" w:hAnsi="Arial"/>
          <w:sz w:val="20"/>
          <w:szCs w:val="20"/>
          <w:color w:val="auto"/>
        </w:rPr>
        <w:t xml:space="preserve">Section 12.28. </w:t>
      </w:r>
      <w:r>
        <w:rPr>
          <w:rFonts w:ascii="Arial" w:cs="Arial" w:eastAsia="Arial" w:hAnsi="Arial"/>
          <w:sz w:val="20"/>
          <w:szCs w:val="20"/>
          <w:u w:val="single" w:color="auto"/>
          <w:color w:val="auto"/>
        </w:rPr>
        <w:t>Acknowledgement and Consent to Bail-In of Affected Financial Institutions</w:t>
      </w:r>
      <w:r>
        <w:rPr>
          <w:rFonts w:ascii="Arial" w:cs="Arial" w:eastAsia="Arial" w:hAnsi="Arial"/>
          <w:sz w:val="20"/>
          <w:szCs w:val="20"/>
          <w:i w:val="1"/>
          <w:iCs w:val="1"/>
          <w:color w:val="auto"/>
        </w:rPr>
        <w:t>.</w:t>
      </w:r>
      <w:r>
        <w:rPr>
          <w:rFonts w:ascii="Arial" w:cs="Arial" w:eastAsia="Arial" w:hAnsi="Arial"/>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38" w:name="page139"/>
    <w:bookmarkEnd w:id="138"/>
    <w:p>
      <w:pPr>
        <w:jc w:val="both"/>
        <w:ind w:left="200" w:right="219" w:firstLine="1190"/>
        <w:spacing w:after="0" w:line="243" w:lineRule="auto"/>
        <w:tabs>
          <w:tab w:leader="none" w:pos="198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7" w:lineRule="exact"/>
        <w:rPr>
          <w:rFonts w:ascii="Arial" w:cs="Arial" w:eastAsia="Arial" w:hAnsi="Arial"/>
          <w:sz w:val="20"/>
          <w:szCs w:val="20"/>
          <w:color w:val="auto"/>
        </w:rPr>
      </w:pPr>
    </w:p>
    <w:p>
      <w:pPr>
        <w:ind w:left="1980" w:hanging="590"/>
        <w:spacing w:after="0"/>
        <w:tabs>
          <w:tab w:leader="none" w:pos="19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90" w:lineRule="exact"/>
        <w:rPr>
          <w:rFonts w:ascii="Arial" w:cs="Arial" w:eastAsia="Arial" w:hAnsi="Arial"/>
          <w:sz w:val="20"/>
          <w:szCs w:val="20"/>
          <w:color w:val="auto"/>
        </w:rPr>
      </w:pPr>
    </w:p>
    <w:p>
      <w:pPr>
        <w:ind w:left="2580" w:hanging="596"/>
        <w:spacing w:after="0"/>
        <w:tabs>
          <w:tab w:leader="none" w:pos="258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90" w:lineRule="exact"/>
        <w:rPr>
          <w:rFonts w:ascii="Arial" w:cs="Arial" w:eastAsia="Arial" w:hAnsi="Arial"/>
          <w:sz w:val="20"/>
          <w:szCs w:val="20"/>
          <w:color w:val="auto"/>
        </w:rPr>
      </w:pPr>
    </w:p>
    <w:p>
      <w:pPr>
        <w:jc w:val="both"/>
        <w:ind w:left="800" w:right="219" w:firstLine="1184"/>
        <w:spacing w:after="0" w:line="238" w:lineRule="auto"/>
        <w:tabs>
          <w:tab w:leader="none" w:pos="2582"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1" w:lineRule="exact"/>
        <w:rPr>
          <w:rFonts w:ascii="Arial" w:cs="Arial" w:eastAsia="Arial" w:hAnsi="Arial"/>
          <w:sz w:val="20"/>
          <w:szCs w:val="20"/>
          <w:color w:val="auto"/>
        </w:rPr>
      </w:pPr>
    </w:p>
    <w:p>
      <w:pPr>
        <w:ind w:left="800" w:right="219" w:firstLine="1184"/>
        <w:spacing w:after="0" w:line="253" w:lineRule="auto"/>
        <w:tabs>
          <w:tab w:leader="none" w:pos="2582"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Affected Resolution Authority.</w:t>
      </w:r>
    </w:p>
    <w:p>
      <w:pPr>
        <w:spacing w:after="0" w:line="171" w:lineRule="exact"/>
        <w:rPr>
          <w:sz w:val="20"/>
          <w:szCs w:val="20"/>
          <w:color w:val="auto"/>
        </w:rPr>
      </w:pPr>
    </w:p>
    <w:p>
      <w:pPr>
        <w:ind w:left="200" w:right="259" w:firstLine="594"/>
        <w:spacing w:after="0" w:line="262" w:lineRule="auto"/>
        <w:rPr>
          <w:sz w:val="20"/>
          <w:szCs w:val="20"/>
          <w:color w:val="auto"/>
        </w:rPr>
      </w:pPr>
      <w:r>
        <w:rPr>
          <w:rFonts w:ascii="Arial" w:cs="Arial" w:eastAsia="Arial" w:hAnsi="Arial"/>
          <w:sz w:val="19"/>
          <w:szCs w:val="19"/>
          <w:color w:val="auto"/>
        </w:rPr>
        <w:t xml:space="preserve">Section 12.29.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i w:val="1"/>
          <w:iCs w:val="1"/>
          <w:color w:val="auto"/>
        </w:rPr>
        <w:t>.</w:t>
      </w:r>
      <w:r>
        <w:rPr>
          <w:rFonts w:ascii="Arial" w:cs="Arial" w:eastAsia="Arial" w:hAnsi="Arial"/>
          <w:sz w:val="19"/>
          <w:szCs w:val="19"/>
          <w:color w:val="auto"/>
        </w:rPr>
        <w:t xml:space="preserve"> To the extent that the Loan Documents provide support, through a guarantee or otherwise, for Hedging Agreements or any other agreement or instrument that is a QFC (such support, </w:t>
      </w:r>
      <w:r>
        <w:rPr>
          <w:rFonts w:ascii="Arial" w:cs="Arial" w:eastAsia="Arial" w:hAnsi="Arial"/>
          <w:sz w:val="19"/>
          <w:szCs w:val="19"/>
          <w:i w:val="1"/>
          <w:iCs w:val="1"/>
          <w:color w:val="auto"/>
        </w:rPr>
        <w:t>“QFC Credit Support”</w:t>
      </w:r>
      <w:r>
        <w:rPr>
          <w:rFonts w:ascii="Arial" w:cs="Arial" w:eastAsia="Arial" w:hAnsi="Arial"/>
          <w:sz w:val="19"/>
          <w:szCs w:val="19"/>
          <w:color w:val="auto"/>
        </w:rPr>
        <w:t xml:space="preserve"> and each such QFC a </w:t>
      </w:r>
      <w:r>
        <w:rPr>
          <w:rFonts w:ascii="Arial" w:cs="Arial" w:eastAsia="Arial" w:hAnsi="Arial"/>
          <w:sz w:val="19"/>
          <w:szCs w:val="19"/>
          <w:i w:val="1"/>
          <w:iCs w:val="1"/>
          <w:color w:val="auto"/>
        </w:rPr>
        <w:t>“Supported QFC”</w:t>
      </w:r>
      <w:r>
        <w:rPr>
          <w:rFonts w:ascii="Arial" w:cs="Arial" w:eastAsia="Arial" w:hAnsi="Arial"/>
          <w:sz w:val="19"/>
          <w:szCs w:val="19"/>
          <w:color w:val="auto"/>
        </w:rPr>
        <w:t>), the parties acknowledge and agree as follows with respect to the resolution power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i w:val="1"/>
          <w:iCs w:val="1"/>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2" w:lineRule="exact"/>
        <w:rPr>
          <w:sz w:val="20"/>
          <w:szCs w:val="20"/>
          <w:color w:val="auto"/>
        </w:rPr>
      </w:pPr>
    </w:p>
    <w:p>
      <w:pPr>
        <w:jc w:val="both"/>
        <w:ind w:left="200" w:right="219" w:firstLine="1190"/>
        <w:spacing w:after="0" w:line="261" w:lineRule="auto"/>
        <w:tabs>
          <w:tab w:leader="none" w:pos="198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In the event a Covered Entity that is party to a Supported QFC (each, a </w:t>
      </w:r>
      <w:r>
        <w:rPr>
          <w:rFonts w:ascii="Arial" w:cs="Arial" w:eastAsia="Arial" w:hAnsi="Arial"/>
          <w:sz w:val="18"/>
          <w:szCs w:val="18"/>
          <w:i w:val="1"/>
          <w:iCs w:val="1"/>
          <w:color w:val="auto"/>
        </w:rPr>
        <w:t>“Covered</w:t>
      </w:r>
      <w:r>
        <w:rPr>
          <w:rFonts w:ascii="Arial" w:cs="Arial" w:eastAsia="Arial" w:hAnsi="Arial"/>
          <w:sz w:val="18"/>
          <w:szCs w:val="18"/>
          <w:color w:val="auto"/>
        </w:rPr>
        <w:t xml:space="preserve"> </w:t>
      </w:r>
      <w:r>
        <w:rPr>
          <w:rFonts w:ascii="Arial" w:cs="Arial" w:eastAsia="Arial" w:hAnsi="Arial"/>
          <w:sz w:val="18"/>
          <w:szCs w:val="18"/>
          <w:i w:val="1"/>
          <w:iCs w:val="1"/>
          <w:color w:val="auto"/>
        </w:rPr>
        <w:t>Party”</w:t>
      </w:r>
      <w:r>
        <w:rPr>
          <w:rFonts w:ascii="Arial" w:cs="Arial" w:eastAsia="Arial" w:hAnsi="Arial"/>
          <w:sz w:val="18"/>
          <w:szCs w:val="18"/>
          <w:color w:val="auto"/>
        </w:rPr>
        <w:t>) becomes subject to a proceeding under a U.S. Special Resolution Regime, the transfer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39" w:name="page140"/>
    <w:bookmarkEnd w:id="139"/>
    <w:p>
      <w:pPr>
        <w:ind w:left="1980" w:hanging="590"/>
        <w:spacing w:after="0"/>
        <w:tabs>
          <w:tab w:leader="none" w:pos="19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As used in this Section, the following terms have the following meanings:</w:t>
      </w:r>
    </w:p>
    <w:p>
      <w:pPr>
        <w:spacing w:after="0" w:line="191" w:lineRule="exact"/>
        <w:rPr>
          <w:sz w:val="20"/>
          <w:szCs w:val="20"/>
          <w:color w:val="auto"/>
        </w:rPr>
      </w:pPr>
    </w:p>
    <w:p>
      <w:pPr>
        <w:ind w:left="800" w:right="219"/>
        <w:spacing w:after="0" w:line="253" w:lineRule="auto"/>
        <w:rPr>
          <w:sz w:val="20"/>
          <w:szCs w:val="20"/>
          <w:color w:val="auto"/>
        </w:rPr>
      </w:pPr>
      <w:r>
        <w:rPr>
          <w:rFonts w:ascii="Arial" w:cs="Arial" w:eastAsia="Arial" w:hAnsi="Arial"/>
          <w:sz w:val="20"/>
          <w:szCs w:val="20"/>
          <w:i w:val="1"/>
          <w:iCs w:val="1"/>
          <w:color w:val="auto"/>
        </w:rPr>
        <w:t xml:space="preserve">“BHC Act Affiliate” </w:t>
      </w:r>
      <w:r>
        <w:rPr>
          <w:rFonts w:ascii="Arial" w:cs="Arial" w:eastAsia="Arial" w:hAnsi="Arial"/>
          <w:sz w:val="20"/>
          <w:szCs w:val="20"/>
          <w:color w:val="auto"/>
        </w:rPr>
        <w:t>of a party means an “affiliate” (as such term is defined under, and interpreted in</w:t>
      </w:r>
      <w:r>
        <w:rPr>
          <w:rFonts w:ascii="Arial" w:cs="Arial" w:eastAsia="Arial" w:hAnsi="Arial"/>
          <w:sz w:val="20"/>
          <w:szCs w:val="20"/>
          <w:i w:val="1"/>
          <w:iCs w:val="1"/>
          <w:color w:val="auto"/>
        </w:rPr>
        <w:t xml:space="preserve"> </w:t>
      </w:r>
      <w:r>
        <w:rPr>
          <w:rFonts w:ascii="Arial" w:cs="Arial" w:eastAsia="Arial" w:hAnsi="Arial"/>
          <w:sz w:val="20"/>
          <w:szCs w:val="20"/>
          <w:color w:val="auto"/>
        </w:rPr>
        <w:t>accordance with, 12 U.S.C. 1841(k)) of such party.</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0"/>
          <w:szCs w:val="20"/>
          <w:i w:val="1"/>
          <w:iCs w:val="1"/>
          <w:color w:val="auto"/>
        </w:rPr>
        <w:t>“Covered Entity</w:t>
      </w:r>
      <w:r>
        <w:rPr>
          <w:rFonts w:ascii="Arial" w:cs="Arial" w:eastAsia="Arial" w:hAnsi="Arial"/>
          <w:sz w:val="20"/>
          <w:szCs w:val="20"/>
          <w:color w:val="auto"/>
        </w:rPr>
        <w:t>” means any of the following:</w:t>
      </w:r>
    </w:p>
    <w:p>
      <w:pPr>
        <w:spacing w:after="0" w:line="191" w:lineRule="exact"/>
        <w:rPr>
          <w:sz w:val="20"/>
          <w:szCs w:val="20"/>
          <w:color w:val="auto"/>
        </w:rPr>
      </w:pPr>
    </w:p>
    <w:p>
      <w:pPr>
        <w:ind w:left="800" w:right="219" w:firstLine="1184"/>
        <w:spacing w:after="0" w:line="253" w:lineRule="auto"/>
        <w:tabs>
          <w:tab w:leader="none" w:pos="258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§252.82(b);</w:t>
      </w:r>
    </w:p>
    <w:p>
      <w:pPr>
        <w:spacing w:after="0" w:line="158" w:lineRule="exact"/>
        <w:rPr>
          <w:rFonts w:ascii="Arial" w:cs="Arial" w:eastAsia="Arial" w:hAnsi="Arial"/>
          <w:sz w:val="20"/>
          <w:szCs w:val="20"/>
          <w:color w:val="auto"/>
        </w:rPr>
      </w:pPr>
    </w:p>
    <w:p>
      <w:pPr>
        <w:ind w:left="800" w:right="219" w:firstLine="1184"/>
        <w:spacing w:after="0" w:line="253" w:lineRule="auto"/>
        <w:tabs>
          <w:tab w:leader="none" w:pos="258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§47.3(b); or</w:t>
      </w:r>
    </w:p>
    <w:p>
      <w:pPr>
        <w:spacing w:after="0" w:line="158" w:lineRule="exact"/>
        <w:rPr>
          <w:rFonts w:ascii="Arial" w:cs="Arial" w:eastAsia="Arial" w:hAnsi="Arial"/>
          <w:sz w:val="20"/>
          <w:szCs w:val="20"/>
          <w:color w:val="auto"/>
        </w:rPr>
      </w:pPr>
    </w:p>
    <w:p>
      <w:pPr>
        <w:ind w:left="2580" w:hanging="596"/>
        <w:spacing w:after="0"/>
        <w:tabs>
          <w:tab w:leader="none" w:pos="2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w:t>
      </w:r>
    </w:p>
    <w:p>
      <w:pPr>
        <w:spacing w:after="0" w:line="3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color w:val="auto"/>
        </w:rPr>
        <w:t>12 C.F.R. §382.2(b).</w:t>
      </w:r>
    </w:p>
    <w:p>
      <w:pPr>
        <w:spacing w:after="0" w:line="175" w:lineRule="exact"/>
        <w:rPr>
          <w:sz w:val="20"/>
          <w:szCs w:val="20"/>
          <w:color w:val="auto"/>
        </w:rPr>
      </w:pPr>
    </w:p>
    <w:p>
      <w:pPr>
        <w:ind w:left="800" w:right="219"/>
        <w:spacing w:after="0" w:line="253" w:lineRule="auto"/>
        <w:rPr>
          <w:sz w:val="20"/>
          <w:szCs w:val="20"/>
          <w:color w:val="auto"/>
        </w:rPr>
      </w:pPr>
      <w:r>
        <w:rPr>
          <w:rFonts w:ascii="Arial" w:cs="Arial" w:eastAsia="Arial" w:hAnsi="Arial"/>
          <w:sz w:val="20"/>
          <w:szCs w:val="20"/>
          <w:i w:val="1"/>
          <w:iCs w:val="1"/>
          <w:color w:val="auto"/>
        </w:rPr>
        <w:t xml:space="preserve">“Default Rights” </w:t>
      </w:r>
      <w:r>
        <w:rPr>
          <w:rFonts w:ascii="Arial" w:cs="Arial" w:eastAsia="Arial" w:hAnsi="Arial"/>
          <w:sz w:val="20"/>
          <w:szCs w:val="20"/>
          <w:color w:val="auto"/>
        </w:rPr>
        <w:t>has the meaning assigned to that term in, and shall be interpreted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12 C.F.R. §§252.81, 47.2 or 382.1, as applicable.</w:t>
      </w:r>
    </w:p>
    <w:p>
      <w:pPr>
        <w:spacing w:after="0" w:line="159" w:lineRule="exact"/>
        <w:rPr>
          <w:sz w:val="20"/>
          <w:szCs w:val="20"/>
          <w:color w:val="auto"/>
        </w:rPr>
      </w:pPr>
    </w:p>
    <w:p>
      <w:pPr>
        <w:ind w:left="800" w:right="219"/>
        <w:spacing w:after="0" w:line="253" w:lineRule="auto"/>
        <w:rPr>
          <w:sz w:val="20"/>
          <w:szCs w:val="20"/>
          <w:color w:val="auto"/>
        </w:rPr>
      </w:pPr>
      <w:r>
        <w:rPr>
          <w:rFonts w:ascii="Arial" w:cs="Arial" w:eastAsia="Arial" w:hAnsi="Arial"/>
          <w:sz w:val="20"/>
          <w:szCs w:val="20"/>
          <w:i w:val="1"/>
          <w:iCs w:val="1"/>
          <w:color w:val="auto"/>
        </w:rPr>
        <w:t xml:space="preserve">“QFC” </w:t>
      </w:r>
      <w:r>
        <w:rPr>
          <w:rFonts w:ascii="Arial" w:cs="Arial" w:eastAsia="Arial" w:hAnsi="Arial"/>
          <w:sz w:val="20"/>
          <w:szCs w:val="20"/>
          <w:color w:val="auto"/>
        </w:rPr>
        <w:t>has the meaning assigned to the term “qualified financial contract” in, and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interpreted in accordance with, 12 U.S.C. 5390(c)(8)(D).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12.30. </w:t>
      </w:r>
      <w:r>
        <w:rPr>
          <w:rFonts w:ascii="Arial" w:cs="Arial" w:eastAsia="Arial" w:hAnsi="Arial"/>
          <w:sz w:val="20"/>
          <w:szCs w:val="20"/>
          <w:u w:val="single" w:color="auto"/>
          <w:color w:val="auto"/>
        </w:rPr>
        <w:t>Erroneous Payment</w:t>
      </w:r>
      <w:r>
        <w:rPr>
          <w:rFonts w:ascii="Arial" w:cs="Arial" w:eastAsia="Arial" w:hAnsi="Arial"/>
          <w:sz w:val="20"/>
          <w:szCs w:val="20"/>
          <w:color w:val="auto"/>
        </w:rPr>
        <w:t>.</w:t>
      </w:r>
    </w:p>
    <w:p>
      <w:pPr>
        <w:spacing w:after="0" w:line="191" w:lineRule="exact"/>
        <w:rPr>
          <w:sz w:val="20"/>
          <w:szCs w:val="20"/>
          <w:color w:val="auto"/>
        </w:rPr>
      </w:pPr>
    </w:p>
    <w:p>
      <w:pPr>
        <w:jc w:val="both"/>
        <w:ind w:left="200" w:right="219" w:firstLine="1190"/>
        <w:spacing w:after="0" w:line="260" w:lineRule="auto"/>
        <w:tabs>
          <w:tab w:leader="none" w:pos="198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Administrative Agent notifies a Lender, or any Person who has received funds on behalf of a Lender (any such Lender or other recipient, a “</w:t>
      </w:r>
      <w:r>
        <w:rPr>
          <w:rFonts w:ascii="Arial" w:cs="Arial" w:eastAsia="Arial" w:hAnsi="Arial"/>
          <w:sz w:val="18"/>
          <w:szCs w:val="18"/>
          <w:i w:val="1"/>
          <w:iCs w:val="1"/>
          <w:color w:val="auto"/>
        </w:rPr>
        <w:t>Payment Recipient</w:t>
      </w:r>
      <w:r>
        <w:rPr>
          <w:rFonts w:ascii="Arial" w:cs="Arial" w:eastAsia="Arial" w:hAnsi="Arial"/>
          <w:sz w:val="18"/>
          <w:szCs w:val="18"/>
          <w:color w:val="auto"/>
        </w:rPr>
        <w: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8"/>
          <w:szCs w:val="18"/>
          <w:i w:val="1"/>
          <w:iCs w:val="1"/>
          <w:color w:val="auto"/>
        </w:rPr>
        <w:t>Erroneous Payment</w:t>
      </w:r>
      <w:r>
        <w:rPr>
          <w:rFonts w:ascii="Arial" w:cs="Arial" w:eastAsia="Arial" w:hAnsi="Arial"/>
          <w:sz w:val="18"/>
          <w:szCs w:val="18"/>
          <w:color w:val="auto"/>
        </w:rPr>
        <w: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0" w:name="page141"/>
    <w:bookmarkEnd w:id="140"/>
    <w:p>
      <w:pPr>
        <w:jc w:val="both"/>
        <w:ind w:left="200" w:right="219" w:firstLine="1190"/>
        <w:spacing w:after="0" w:line="249" w:lineRule="auto"/>
        <w:tabs>
          <w:tab w:leader="none" w:pos="198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spacing w:after="0" w:line="163" w:lineRule="exact"/>
        <w:rPr>
          <w:sz w:val="20"/>
          <w:szCs w:val="20"/>
          <w:color w:val="auto"/>
        </w:rPr>
      </w:pPr>
    </w:p>
    <w:p>
      <w:pPr>
        <w:jc w:val="both"/>
        <w:ind w:left="200" w:right="219" w:firstLine="1190"/>
        <w:spacing w:after="0" w:line="238" w:lineRule="auto"/>
        <w:tabs>
          <w:tab w:leader="none" w:pos="198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spacing w:after="0" w:line="171" w:lineRule="exact"/>
        <w:rPr>
          <w:rFonts w:ascii="Arial" w:cs="Arial" w:eastAsia="Arial" w:hAnsi="Arial"/>
          <w:sz w:val="20"/>
          <w:szCs w:val="20"/>
          <w:color w:val="auto"/>
        </w:rPr>
      </w:pPr>
    </w:p>
    <w:p>
      <w:pPr>
        <w:jc w:val="both"/>
        <w:ind w:left="200" w:right="219" w:firstLine="1190"/>
        <w:spacing w:after="0" w:line="275" w:lineRule="auto"/>
        <w:tabs>
          <w:tab w:leader="none" w:pos="198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spacing w:after="0" w:line="140" w:lineRule="exact"/>
        <w:rPr>
          <w:sz w:val="20"/>
          <w:szCs w:val="20"/>
          <w:color w:val="auto"/>
        </w:rPr>
      </w:pPr>
    </w:p>
    <w:p>
      <w:pPr>
        <w:jc w:val="both"/>
        <w:ind w:left="200" w:right="219" w:firstLine="1188"/>
        <w:spacing w:after="0" w:line="262" w:lineRule="auto"/>
        <w:rPr>
          <w:sz w:val="20"/>
          <w:szCs w:val="20"/>
          <w:color w:val="auto"/>
        </w:rPr>
      </w:pPr>
      <w:r>
        <w:rPr>
          <w:rFonts w:ascii="Arial" w:cs="Arial" w:eastAsia="Arial" w:hAnsi="Arial"/>
          <w:sz w:val="19"/>
          <w:szCs w:val="19"/>
          <w:color w:val="auto"/>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spacing w:after="0" w:line="151" w:lineRule="exact"/>
        <w:rPr>
          <w:sz w:val="20"/>
          <w:szCs w:val="20"/>
          <w:color w:val="auto"/>
        </w:rPr>
      </w:pPr>
    </w:p>
    <w:p>
      <w:pPr>
        <w:jc w:val="both"/>
        <w:ind w:left="200" w:right="219" w:firstLine="1190"/>
        <w:spacing w:after="0" w:line="275" w:lineRule="auto"/>
        <w:tabs>
          <w:tab w:leader="none" w:pos="19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spacing w:after="0" w:line="140" w:lineRule="exact"/>
        <w:rPr>
          <w:rFonts w:ascii="Arial" w:cs="Arial" w:eastAsia="Arial" w:hAnsi="Arial"/>
          <w:sz w:val="18"/>
          <w:szCs w:val="18"/>
          <w:color w:val="auto"/>
        </w:rPr>
      </w:pPr>
    </w:p>
    <w:p>
      <w:pPr>
        <w:jc w:val="both"/>
        <w:ind w:left="200" w:right="219" w:firstLine="1190"/>
        <w:spacing w:after="0" w:line="262" w:lineRule="auto"/>
        <w:tabs>
          <w:tab w:leader="none" w:pos="198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i w:val="1"/>
          <w:iCs w:val="1"/>
          <w:color w:val="auto"/>
        </w:rPr>
        <w:t>Erroneous Payment Return Deficiency</w:t>
      </w:r>
      <w:r>
        <w:rPr>
          <w:rFonts w:ascii="Arial" w:cs="Arial" w:eastAsia="Arial" w:hAnsi="Arial"/>
          <w:sz w:val="18"/>
          <w:szCs w:val="18"/>
          <w:color w:val="auto"/>
        </w:rPr>
        <w:t>”),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Arial" w:cs="Arial" w:eastAsia="Arial" w:hAnsi="Arial"/>
          <w:sz w:val="18"/>
          <w:szCs w:val="18"/>
          <w:i w:val="1"/>
          <w:iCs w:val="1"/>
          <w:color w:val="auto"/>
        </w:rPr>
        <w:t>Erroneous Payment Impacted Class</w:t>
      </w:r>
      <w:r>
        <w:rPr>
          <w:rFonts w:ascii="Arial" w:cs="Arial" w:eastAsia="Arial" w:hAnsi="Arial"/>
          <w:sz w:val="18"/>
          <w:szCs w:val="18"/>
          <w:color w:val="auto"/>
        </w:rPr>
        <w:t>”) in an amount equal to the Erroneous Payment Return Deficiency (or such lesser amount as Administrative Agent may specify) (such assignment of the Loans (but not Commitments) of the Erroneous Payment Impacted Class, the “</w:t>
      </w:r>
      <w:r>
        <w:rPr>
          <w:rFonts w:ascii="Arial" w:cs="Arial" w:eastAsia="Arial" w:hAnsi="Arial"/>
          <w:sz w:val="18"/>
          <w:szCs w:val="18"/>
          <w:i w:val="1"/>
          <w:iCs w:val="1"/>
          <w:color w:val="auto"/>
        </w:rPr>
        <w:t>Erroneous Payment Deficiency Assignment</w:t>
      </w:r>
      <w:r>
        <w:rPr>
          <w:rFonts w:ascii="Arial" w:cs="Arial" w:eastAsia="Arial" w:hAnsi="Arial"/>
          <w:sz w:val="18"/>
          <w:szCs w:val="18"/>
          <w:color w:val="auto"/>
        </w:rPr>
        <w:t>”) (on a cashless basis and such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1" w:name="page142"/>
    <w:bookmarkEnd w:id="141"/>
    <w:p>
      <w:pPr>
        <w:jc w:val="both"/>
        <w:ind w:left="200" w:right="219"/>
        <w:spacing w:after="0" w:line="261" w:lineRule="auto"/>
        <w:rPr>
          <w:sz w:val="20"/>
          <w:szCs w:val="20"/>
          <w:color w:val="auto"/>
        </w:rPr>
      </w:pPr>
      <w:r>
        <w:rPr>
          <w:rFonts w:ascii="Arial" w:cs="Arial" w:eastAsia="Arial" w:hAnsi="Arial"/>
          <w:sz w:val="18"/>
          <w:szCs w:val="18"/>
          <w:color w:val="auto"/>
        </w:rPr>
        <w:t>amount calculated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59" w:lineRule="exact"/>
        <w:rPr>
          <w:sz w:val="20"/>
          <w:szCs w:val="20"/>
          <w:color w:val="auto"/>
        </w:rPr>
      </w:pPr>
    </w:p>
    <w:p>
      <w:pPr>
        <w:jc w:val="both"/>
        <w:ind w:left="200" w:right="219" w:firstLine="596"/>
        <w:spacing w:after="0" w:line="261" w:lineRule="auto"/>
        <w:tabs>
          <w:tab w:leader="none" w:pos="117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w:t>
      </w:r>
    </w:p>
    <w:p>
      <w:pPr>
        <w:spacing w:after="0" w:line="2" w:lineRule="exact"/>
        <w:rPr>
          <w:rFonts w:ascii="Arial" w:cs="Arial" w:eastAsia="Arial" w:hAnsi="Arial"/>
          <w:sz w:val="18"/>
          <w:szCs w:val="18"/>
          <w:color w:val="auto"/>
        </w:rPr>
      </w:pPr>
    </w:p>
    <w:p>
      <w:pPr>
        <w:jc w:val="both"/>
        <w:ind w:left="200" w:right="219" w:firstLine="2"/>
        <w:spacing w:after="0" w:line="234" w:lineRule="auto"/>
        <w:tabs>
          <w:tab w:leader="none" w:pos="52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73" w:lineRule="exact"/>
        <w:rPr>
          <w:rFonts w:ascii="Arial" w:cs="Arial" w:eastAsia="Arial" w:hAnsi="Arial"/>
          <w:sz w:val="20"/>
          <w:szCs w:val="20"/>
          <w:color w:val="auto"/>
        </w:rPr>
      </w:pPr>
    </w:p>
    <w:p>
      <w:pPr>
        <w:jc w:val="both"/>
        <w:ind w:left="200" w:right="219" w:firstLine="1190"/>
        <w:spacing w:after="0" w:line="260" w:lineRule="auto"/>
        <w:tabs>
          <w:tab w:leader="none" w:pos="1982"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Arial" w:cs="Arial" w:eastAsia="Arial" w:hAnsi="Arial"/>
          <w:sz w:val="18"/>
          <w:szCs w:val="18"/>
          <w:i w:val="1"/>
          <w:iCs w:val="1"/>
          <w:color w:val="auto"/>
        </w:rPr>
        <w:t>Erroneous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Subrogation Rights</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Borrower’s Obligations under the Loan Documents in respect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Erroneous Payment Subrogation Rights shall not be duplicative of such Obligations in respect of Loans that have been assigned to the Administrative Agent under an Erroneous Payment Deficiency Assignment) and</w:t>
      </w:r>
    </w:p>
    <w:p>
      <w:pPr>
        <w:spacing w:after="0" w:line="2" w:lineRule="exact"/>
        <w:rPr>
          <w:rFonts w:ascii="Arial" w:cs="Arial" w:eastAsia="Arial" w:hAnsi="Arial"/>
          <w:sz w:val="18"/>
          <w:szCs w:val="18"/>
          <w:color w:val="auto"/>
        </w:rPr>
      </w:pPr>
    </w:p>
    <w:p>
      <w:pPr>
        <w:jc w:val="both"/>
        <w:ind w:left="200" w:right="219" w:firstLine="2"/>
        <w:spacing w:after="0" w:line="236" w:lineRule="auto"/>
        <w:tabs>
          <w:tab w:leader="none" w:pos="486"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an Erroneous Payment shall not pay, prepay, repay, discharge or otherwise satisfy any Obligations owed by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Section 12.30 shall not be interpreted to increase (or accelerate the due date for), or have the effect of increasing (or accelerating the due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2" w:name="page143"/>
    <w:bookmarkEnd w:id="142"/>
    <w:p>
      <w:pPr>
        <w:jc w:val="both"/>
        <w:ind w:left="200" w:right="219"/>
        <w:spacing w:after="0" w:line="251" w:lineRule="auto"/>
        <w:rPr>
          <w:sz w:val="20"/>
          <w:szCs w:val="20"/>
          <w:color w:val="auto"/>
        </w:rPr>
      </w:pPr>
      <w:r>
        <w:rPr>
          <w:rFonts w:ascii="Arial" w:cs="Arial" w:eastAsia="Arial" w:hAnsi="Arial"/>
          <w:sz w:val="19"/>
          <w:szCs w:val="19"/>
          <w:color w:val="auto"/>
        </w:rPr>
        <w:t xml:space="preserve">date for), the Obligations of the Borrower relative to the amount (and/or timing for payment) of the Obligations that would have been payable had such Erroneous Payment not been made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64" w:lineRule="exact"/>
        <w:rPr>
          <w:sz w:val="20"/>
          <w:szCs w:val="20"/>
          <w:color w:val="auto"/>
        </w:rPr>
      </w:pPr>
    </w:p>
    <w:p>
      <w:pPr>
        <w:jc w:val="both"/>
        <w:ind w:left="200" w:right="219" w:firstLine="1190"/>
        <w:spacing w:after="0" w:line="253" w:lineRule="auto"/>
        <w:tabs>
          <w:tab w:leader="none" w:pos="198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spacing w:after="0" w:line="160" w:lineRule="exact"/>
        <w:rPr>
          <w:rFonts w:ascii="Arial" w:cs="Arial" w:eastAsia="Arial" w:hAnsi="Arial"/>
          <w:sz w:val="19"/>
          <w:szCs w:val="19"/>
          <w:color w:val="auto"/>
        </w:rPr>
      </w:pPr>
    </w:p>
    <w:p>
      <w:pPr>
        <w:jc w:val="both"/>
        <w:ind w:left="200" w:right="219" w:firstLine="1190"/>
        <w:spacing w:after="0" w:line="239" w:lineRule="auto"/>
        <w:tabs>
          <w:tab w:leader="none" w:pos="198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SECTION 13. THE GUARANTEES.</w:t>
      </w:r>
    </w:p>
    <w:p>
      <w:pPr>
        <w:spacing w:after="0" w:line="203" w:lineRule="exact"/>
        <w:rPr>
          <w:sz w:val="20"/>
          <w:szCs w:val="20"/>
          <w:color w:val="auto"/>
        </w:rPr>
      </w:pPr>
    </w:p>
    <w:p>
      <w:pPr>
        <w:jc w:val="both"/>
        <w:ind w:left="200" w:right="219" w:firstLine="594"/>
        <w:spacing w:after="0" w:line="275"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The Guarantees</w:t>
      </w:r>
      <w:r>
        <w:rPr>
          <w:rFonts w:ascii="Arial" w:cs="Arial" w:eastAsia="Arial" w:hAnsi="Arial"/>
          <w:sz w:val="18"/>
          <w:szCs w:val="18"/>
          <w:color w:val="auto"/>
        </w:rPr>
        <w:t>. To induce the Lenders to provide the credits described herein and in consideration of benefits expected to accrue to the Borrower by reason of the Commitments and for other good and valuable consideration, receipt of which is hereby acknowledged, Parent and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and each Qualifying Counterparty (even if such Qualifying Counterparty or any Person affiliated with such Qualifying Counterparty shall cease to be a Lender hereunder),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spacing w:after="0" w:line="160" w:lineRule="exact"/>
        <w:rPr>
          <w:sz w:val="20"/>
          <w:szCs w:val="20"/>
          <w:color w:val="auto"/>
        </w:rPr>
      </w:pPr>
    </w:p>
    <w:p>
      <w:pPr>
        <w:ind w:left="200" w:right="439" w:firstLine="594"/>
        <w:spacing w:after="0" w:line="256" w:lineRule="auto"/>
        <w:rPr>
          <w:sz w:val="20"/>
          <w:szCs w:val="20"/>
          <w:color w:val="auto"/>
        </w:rPr>
      </w:pPr>
      <w:r>
        <w:rPr>
          <w:rFonts w:ascii="Arial" w:cs="Arial" w:eastAsia="Arial" w:hAnsi="Arial"/>
          <w:sz w:val="20"/>
          <w:szCs w:val="20"/>
          <w:color w:val="auto"/>
        </w:rPr>
        <w:t xml:space="preserve">Section 13.2. </w:t>
      </w:r>
      <w:r>
        <w:rPr>
          <w:rFonts w:ascii="Arial" w:cs="Arial" w:eastAsia="Arial" w:hAnsi="Arial"/>
          <w:sz w:val="20"/>
          <w:szCs w:val="20"/>
          <w:u w:val="single" w:color="auto"/>
          <w:color w:val="auto"/>
        </w:rPr>
        <w:t>Guarantee Unconditional</w:t>
      </w:r>
      <w:r>
        <w:rPr>
          <w:rFonts w:ascii="Arial" w:cs="Arial" w:eastAsia="Arial" w:hAnsi="Arial"/>
          <w:sz w:val="20"/>
          <w:szCs w:val="20"/>
          <w:color w:val="auto"/>
        </w:rPr>
        <w:t>. The obligations of each Guarantor under this Section 13 shall be unconditional and absolute and, without limiting the generality of the foregoing, shall not be released, discharged, or otherwise affected by: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3" w:name="page144"/>
    <w:bookmarkEnd w:id="143"/>
    <w:p>
      <w:pPr>
        <w:jc w:val="both"/>
        <w:ind w:left="200" w:right="219" w:firstLine="1190"/>
        <w:spacing w:after="0" w:line="243"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extension, renewal, settlement, compromise, waiver, or release in respect of any obligation of the Borrower or other obligor or of any other guarantor under this Agreement or any other Loan Document or by operation of law or otherwise;</w:t>
      </w:r>
    </w:p>
    <w:p>
      <w:pPr>
        <w:spacing w:after="0" w:line="167" w:lineRule="exact"/>
        <w:rPr>
          <w:rFonts w:ascii="Arial" w:cs="Arial" w:eastAsia="Arial" w:hAnsi="Arial"/>
          <w:sz w:val="20"/>
          <w:szCs w:val="20"/>
          <w:color w:val="auto"/>
        </w:rPr>
      </w:pPr>
    </w:p>
    <w:p>
      <w:pPr>
        <w:ind w:left="1980" w:hanging="590"/>
        <w:spacing w:after="0"/>
        <w:tabs>
          <w:tab w:leader="none" w:pos="19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modification or amendment of or supplement to this Agreement or any other</w:t>
      </w:r>
    </w:p>
    <w:p>
      <w:pPr>
        <w:spacing w:after="0" w:line="20"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0"/>
          <w:szCs w:val="20"/>
          <w:color w:val="auto"/>
        </w:rPr>
        <w:t>Loan Document;</w:t>
      </w:r>
    </w:p>
    <w:p>
      <w:pPr>
        <w:spacing w:after="0" w:line="174" w:lineRule="exact"/>
        <w:rPr>
          <w:rFonts w:ascii="Arial" w:cs="Arial" w:eastAsia="Arial" w:hAnsi="Arial"/>
          <w:sz w:val="19"/>
          <w:szCs w:val="19"/>
          <w:color w:val="auto"/>
        </w:rPr>
      </w:pPr>
    </w:p>
    <w:p>
      <w:pPr>
        <w:jc w:val="both"/>
        <w:ind w:left="200" w:right="219" w:firstLine="1190"/>
        <w:spacing w:after="0" w:line="275" w:lineRule="auto"/>
        <w:tabs>
          <w:tab w:leader="none" w:pos="198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spacing w:after="0" w:line="140" w:lineRule="exact"/>
        <w:rPr>
          <w:rFonts w:ascii="Arial" w:cs="Arial" w:eastAsia="Arial" w:hAnsi="Arial"/>
          <w:sz w:val="18"/>
          <w:szCs w:val="18"/>
          <w:color w:val="auto"/>
        </w:rPr>
      </w:pPr>
    </w:p>
    <w:p>
      <w:pPr>
        <w:jc w:val="both"/>
        <w:ind w:left="200" w:right="219" w:firstLine="1190"/>
        <w:spacing w:after="0" w:line="243"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existence of any claim, set-off, or other rights which the Borrower or other obligor or any other guarantor may have at any time against the Administrative Agent, any Lender, or any other Person, whether or not arising in connection herewith;</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failure to assert, or any assertion of, any claim or demand or any exercise of, or failure to exercise, any rights or remedies against the Borrower or other obligor, any other guarantor, or any other Person or Property;</w:t>
      </w:r>
    </w:p>
    <w:p>
      <w:pPr>
        <w:spacing w:after="0" w:line="167" w:lineRule="exact"/>
        <w:rPr>
          <w:rFonts w:ascii="Arial" w:cs="Arial" w:eastAsia="Arial" w:hAnsi="Arial"/>
          <w:sz w:val="20"/>
          <w:szCs w:val="20"/>
          <w:color w:val="auto"/>
        </w:rPr>
      </w:pPr>
    </w:p>
    <w:p>
      <w:pPr>
        <w:jc w:val="both"/>
        <w:ind w:left="200" w:right="219" w:firstLine="1190"/>
        <w:spacing w:after="0" w:line="243"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application of any sums by whomsoever paid or howsoever realized to any obligation of the Borrower or other obligor, regardless of what obligations of the Borrower or other obligor remain unpaid;</w:t>
      </w:r>
    </w:p>
    <w:p>
      <w:pPr>
        <w:spacing w:after="0" w:line="167" w:lineRule="exact"/>
        <w:rPr>
          <w:rFonts w:ascii="Arial" w:cs="Arial" w:eastAsia="Arial" w:hAnsi="Arial"/>
          <w:sz w:val="20"/>
          <w:szCs w:val="20"/>
          <w:color w:val="auto"/>
        </w:rPr>
      </w:pPr>
    </w:p>
    <w:p>
      <w:pPr>
        <w:jc w:val="both"/>
        <w:ind w:left="200" w:right="219" w:firstLine="1190"/>
        <w:spacing w:after="0" w:line="238"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spacing w:after="0" w:line="171" w:lineRule="exact"/>
        <w:rPr>
          <w:rFonts w:ascii="Arial" w:cs="Arial" w:eastAsia="Arial" w:hAnsi="Arial"/>
          <w:sz w:val="20"/>
          <w:szCs w:val="20"/>
          <w:color w:val="auto"/>
        </w:rPr>
      </w:pPr>
    </w:p>
    <w:p>
      <w:pPr>
        <w:jc w:val="both"/>
        <w:ind w:left="200" w:right="219" w:firstLine="1190"/>
        <w:spacing w:after="0" w:line="239" w:lineRule="auto"/>
        <w:tabs>
          <w:tab w:leader="none" w:pos="1982"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spacing w:after="0" w:line="185" w:lineRule="exact"/>
        <w:rPr>
          <w:sz w:val="20"/>
          <w:szCs w:val="20"/>
          <w:color w:val="auto"/>
        </w:rPr>
      </w:pPr>
    </w:p>
    <w:p>
      <w:pPr>
        <w:ind w:left="200" w:right="279" w:firstLine="594"/>
        <w:spacing w:after="0" w:line="262" w:lineRule="auto"/>
        <w:rPr>
          <w:sz w:val="20"/>
          <w:szCs w:val="20"/>
          <w:color w:val="auto"/>
        </w:rPr>
      </w:pPr>
      <w:r>
        <w:rPr>
          <w:rFonts w:ascii="Arial" w:cs="Arial" w:eastAsia="Arial" w:hAnsi="Arial"/>
          <w:sz w:val="19"/>
          <w:szCs w:val="19"/>
          <w:color w:val="auto"/>
        </w:rPr>
        <w:t xml:space="preserve">Section 13.3. </w:t>
      </w:r>
      <w:r>
        <w:rPr>
          <w:rFonts w:ascii="Arial" w:cs="Arial" w:eastAsia="Arial" w:hAnsi="Arial"/>
          <w:sz w:val="19"/>
          <w:szCs w:val="19"/>
          <w:u w:val="single" w:color="auto"/>
          <w:color w:val="auto"/>
        </w:rPr>
        <w:t>Discharge Only upon Payment in Full; Reinstatement in Certain Circumstances</w:t>
      </w:r>
      <w:r>
        <w:rPr>
          <w:rFonts w:ascii="Arial" w:cs="Arial" w:eastAsia="Arial" w:hAnsi="Arial"/>
          <w:sz w:val="19"/>
          <w:szCs w:val="19"/>
          <w:color w:val="auto"/>
        </w:rPr>
        <w:t>. Each Guarantor’s obligations under this Section 13 shall remain in full force and 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4" w:name="page145"/>
    <w:bookmarkEnd w:id="144"/>
    <w:p>
      <w:pPr>
        <w:ind w:left="200" w:right="239" w:firstLine="594"/>
        <w:spacing w:after="0" w:line="27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Subrogation</w:t>
      </w:r>
      <w:r>
        <w:rPr>
          <w:rFonts w:ascii="Arial" w:cs="Arial" w:eastAsia="Arial" w:hAnsi="Arial"/>
          <w:sz w:val="18"/>
          <w:szCs w:val="18"/>
          <w:color w:val="auto"/>
        </w:rPr>
        <w:t>. Each Guarantor agrees it will not exercise any rights which it 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w:t>
      </w:r>
    </w:p>
    <w:p>
      <w:pPr>
        <w:jc w:val="both"/>
        <w:ind w:left="200" w:right="699" w:firstLine="2"/>
        <w:spacing w:after="0" w:line="288" w:lineRule="auto"/>
        <w:tabs>
          <w:tab w:leader="none" w:pos="4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payment in full of the Obligations, Funds Transfer and Deposit Account Liability and Hedging Liability and all other amounts payable by the Borrower hereunder and the other Loan Documents and</w:t>
      </w:r>
    </w:p>
    <w:p>
      <w:pPr>
        <w:spacing w:after="0" w:line="1" w:lineRule="exact"/>
        <w:rPr>
          <w:rFonts w:ascii="Arial" w:cs="Arial" w:eastAsia="Arial" w:hAnsi="Arial"/>
          <w:sz w:val="17"/>
          <w:szCs w:val="17"/>
          <w:color w:val="auto"/>
        </w:rPr>
      </w:pPr>
    </w:p>
    <w:p>
      <w:pPr>
        <w:ind w:left="200" w:right="219" w:firstLine="2"/>
        <w:spacing w:after="0" w:line="246" w:lineRule="auto"/>
        <w:tabs>
          <w:tab w:leader="none" w:pos="4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termination of the Commitments,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spacing w:after="0" w:line="180" w:lineRule="exact"/>
        <w:rPr>
          <w:sz w:val="20"/>
          <w:szCs w:val="20"/>
          <w:color w:val="auto"/>
        </w:rPr>
      </w:pPr>
    </w:p>
    <w:p>
      <w:pPr>
        <w:ind w:left="200" w:right="219" w:firstLine="594"/>
        <w:spacing w:after="0" w:line="270"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u w:val="single" w:color="auto"/>
          <w:color w:val="auto"/>
        </w:rPr>
        <w:t>Waivers</w:t>
      </w:r>
      <w:r>
        <w:rPr>
          <w:rFonts w:ascii="Arial" w:cs="Arial" w:eastAsia="Arial" w:hAnsi="Arial"/>
          <w:sz w:val="19"/>
          <w:szCs w:val="19"/>
          <w:color w:val="auto"/>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spacing w:after="0" w:line="155" w:lineRule="exact"/>
        <w:rPr>
          <w:sz w:val="20"/>
          <w:szCs w:val="20"/>
          <w:color w:val="auto"/>
        </w:rPr>
      </w:pPr>
    </w:p>
    <w:p>
      <w:pPr>
        <w:ind w:left="200" w:right="459" w:firstLine="594"/>
        <w:spacing w:after="0" w:line="252" w:lineRule="auto"/>
        <w:rPr>
          <w:sz w:val="20"/>
          <w:szCs w:val="20"/>
          <w:color w:val="auto"/>
        </w:rPr>
      </w:pPr>
      <w:r>
        <w:rPr>
          <w:rFonts w:ascii="Arial" w:cs="Arial" w:eastAsia="Arial" w:hAnsi="Arial"/>
          <w:sz w:val="20"/>
          <w:szCs w:val="20"/>
          <w:color w:val="auto"/>
        </w:rPr>
        <w:t xml:space="preserve">Section 13.6. </w:t>
      </w:r>
      <w:r>
        <w:rPr>
          <w:rFonts w:ascii="Arial" w:cs="Arial" w:eastAsia="Arial" w:hAnsi="Arial"/>
          <w:sz w:val="20"/>
          <w:szCs w:val="20"/>
          <w:u w:val="single" w:color="auto"/>
          <w:color w:val="auto"/>
        </w:rPr>
        <w:t>Limit on Recovery</w:t>
      </w:r>
      <w:r>
        <w:rPr>
          <w:rFonts w:ascii="Arial" w:cs="Arial" w:eastAsia="Arial" w:hAnsi="Arial"/>
          <w:sz w:val="20"/>
          <w:szCs w:val="20"/>
          <w:color w:val="auto"/>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spacing w:after="0" w:line="173" w:lineRule="exact"/>
        <w:rPr>
          <w:sz w:val="20"/>
          <w:szCs w:val="20"/>
          <w:color w:val="auto"/>
        </w:rPr>
      </w:pPr>
    </w:p>
    <w:p>
      <w:pPr>
        <w:ind w:left="200" w:right="239" w:firstLine="594"/>
        <w:spacing w:after="0" w:line="249" w:lineRule="auto"/>
        <w:rPr>
          <w:sz w:val="20"/>
          <w:szCs w:val="20"/>
          <w:color w:val="auto"/>
        </w:rPr>
      </w:pPr>
      <w:r>
        <w:rPr>
          <w:rFonts w:ascii="Arial" w:cs="Arial" w:eastAsia="Arial" w:hAnsi="Arial"/>
          <w:sz w:val="20"/>
          <w:szCs w:val="20"/>
          <w:color w:val="auto"/>
        </w:rPr>
        <w:t xml:space="preserve">Section 13.7. </w:t>
      </w:r>
      <w:r>
        <w:rPr>
          <w:rFonts w:ascii="Arial" w:cs="Arial" w:eastAsia="Arial" w:hAnsi="Arial"/>
          <w:sz w:val="20"/>
          <w:szCs w:val="20"/>
          <w:u w:val="single" w:color="auto"/>
          <w:color w:val="auto"/>
        </w:rPr>
        <w:t>Stay of Acceleration</w:t>
      </w:r>
      <w:r>
        <w:rPr>
          <w:rFonts w:ascii="Arial" w:cs="Arial" w:eastAsia="Arial" w:hAnsi="Arial"/>
          <w:sz w:val="20"/>
          <w:szCs w:val="20"/>
          <w:color w:val="auto"/>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spacing w:after="0" w:line="177" w:lineRule="exact"/>
        <w:rPr>
          <w:sz w:val="20"/>
          <w:szCs w:val="20"/>
          <w:color w:val="auto"/>
        </w:rPr>
      </w:pPr>
    </w:p>
    <w:p>
      <w:pPr>
        <w:ind w:left="200" w:right="419" w:firstLine="594"/>
        <w:spacing w:after="0" w:line="252" w:lineRule="auto"/>
        <w:rPr>
          <w:sz w:val="20"/>
          <w:szCs w:val="20"/>
          <w:color w:val="auto"/>
        </w:rPr>
      </w:pPr>
      <w:r>
        <w:rPr>
          <w:rFonts w:ascii="Arial" w:cs="Arial" w:eastAsia="Arial" w:hAnsi="Arial"/>
          <w:sz w:val="20"/>
          <w:szCs w:val="20"/>
          <w:color w:val="auto"/>
        </w:rPr>
        <w:t xml:space="preserve">Section 13.8. </w:t>
      </w:r>
      <w:r>
        <w:rPr>
          <w:rFonts w:ascii="Arial" w:cs="Arial" w:eastAsia="Arial" w:hAnsi="Arial"/>
          <w:sz w:val="20"/>
          <w:szCs w:val="20"/>
          <w:u w:val="single" w:color="auto"/>
          <w:color w:val="auto"/>
        </w:rPr>
        <w:t>Benefit to Guarantors</w:t>
      </w:r>
      <w:r>
        <w:rPr>
          <w:rFonts w:ascii="Arial" w:cs="Arial" w:eastAsia="Arial" w:hAnsi="Arial"/>
          <w:sz w:val="20"/>
          <w:szCs w:val="20"/>
          <w:color w:val="auto"/>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173" w:lineRule="exact"/>
        <w:rPr>
          <w:sz w:val="20"/>
          <w:szCs w:val="20"/>
          <w:color w:val="auto"/>
        </w:rPr>
      </w:pPr>
    </w:p>
    <w:p>
      <w:pPr>
        <w:ind w:left="200" w:right="279" w:firstLine="594"/>
        <w:spacing w:after="0" w:line="275" w:lineRule="auto"/>
        <w:rPr>
          <w:sz w:val="20"/>
          <w:szCs w:val="20"/>
          <w:color w:val="auto"/>
        </w:rPr>
      </w:pPr>
      <w:r>
        <w:rPr>
          <w:rFonts w:ascii="Arial" w:cs="Arial" w:eastAsia="Arial" w:hAnsi="Arial"/>
          <w:sz w:val="19"/>
          <w:szCs w:val="19"/>
          <w:color w:val="auto"/>
        </w:rPr>
        <w:t xml:space="preserve">Section 13.9. </w:t>
      </w:r>
      <w:r>
        <w:rPr>
          <w:rFonts w:ascii="Arial" w:cs="Arial" w:eastAsia="Arial" w:hAnsi="Arial"/>
          <w:sz w:val="19"/>
          <w:szCs w:val="19"/>
          <w:u w:val="single" w:color="auto"/>
          <w:color w:val="auto"/>
        </w:rPr>
        <w:t>Guarantor Covenants</w:t>
      </w:r>
      <w:r>
        <w:rPr>
          <w:rFonts w:ascii="Arial" w:cs="Arial" w:eastAsia="Arial" w:hAnsi="Arial"/>
          <w:sz w:val="19"/>
          <w:szCs w:val="19"/>
          <w:i w:val="1"/>
          <w:iCs w:val="1"/>
          <w:color w:val="auto"/>
        </w:rPr>
        <w:t>.</w:t>
      </w:r>
      <w:r>
        <w:rPr>
          <w:rFonts w:ascii="Arial" w:cs="Arial" w:eastAsia="Arial" w:hAnsi="Arial"/>
          <w:sz w:val="19"/>
          <w:szCs w:val="19"/>
          <w:color w:val="auto"/>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152" w:lineRule="exact"/>
        <w:rPr>
          <w:sz w:val="20"/>
          <w:szCs w:val="20"/>
          <w:color w:val="auto"/>
        </w:rPr>
      </w:pPr>
    </w:p>
    <w:p>
      <w:pPr>
        <w:ind w:left="200" w:right="399" w:firstLine="594"/>
        <w:spacing w:after="0" w:line="265"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u w:val="single" w:color="auto"/>
          <w:color w:val="auto"/>
        </w:rPr>
        <w:t>Keepwell</w:t>
      </w:r>
      <w:r>
        <w:rPr>
          <w:rFonts w:ascii="Arial" w:cs="Arial" w:eastAsia="Arial" w:hAnsi="Arial"/>
          <w:sz w:val="19"/>
          <w:szCs w:val="19"/>
          <w:i w:val="1"/>
          <w:iCs w:val="1"/>
          <w:color w:val="auto"/>
        </w:rPr>
        <w:t>.</w:t>
      </w:r>
      <w:r>
        <w:rPr>
          <w:rFonts w:ascii="Arial" w:cs="Arial" w:eastAsia="Arial" w:hAnsi="Arial"/>
          <w:sz w:val="19"/>
          <w:szCs w:val="19"/>
          <w:color w:val="auto"/>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45" w:name="page146"/>
    <w:bookmarkEnd w:id="145"/>
    <w:p>
      <w:pPr>
        <w:jc w:val="both"/>
        <w:ind w:left="200" w:right="219"/>
        <w:spacing w:after="0" w:line="249" w:lineRule="auto"/>
        <w:rPr>
          <w:sz w:val="20"/>
          <w:szCs w:val="20"/>
          <w:color w:val="auto"/>
        </w:rPr>
      </w:pPr>
      <w:r>
        <w:rPr>
          <w:rFonts w:ascii="Arial" w:cs="Arial" w:eastAsia="Arial" w:hAnsi="Arial"/>
          <w:sz w:val="20"/>
          <w:szCs w:val="20"/>
          <w:color w:val="auto"/>
        </w:rPr>
        <w:t>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 (II) of the Commodity Exchange Act.</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IGNATURE</w:t>
      </w:r>
      <w:r>
        <w:rPr>
          <w:rFonts w:ascii="Arial" w:cs="Arial" w:eastAsia="Arial" w:hAnsi="Arial"/>
          <w:sz w:val="20"/>
          <w:szCs w:val="20"/>
          <w:color w:val="auto"/>
        </w:rPr>
        <w:t xml:space="preserve"> P</w:t>
      </w:r>
      <w:r>
        <w:rPr>
          <w:rFonts w:ascii="Arial" w:cs="Arial" w:eastAsia="Arial" w:hAnsi="Arial"/>
          <w:sz w:val="13"/>
          <w:szCs w:val="13"/>
          <w:color w:val="auto"/>
        </w:rPr>
        <w:t>AGES TO</w:t>
      </w:r>
      <w:r>
        <w:rPr>
          <w:rFonts w:ascii="Arial" w:cs="Arial" w:eastAsia="Arial" w:hAnsi="Arial"/>
          <w:sz w:val="20"/>
          <w:szCs w:val="20"/>
          <w:color w:val="auto"/>
        </w:rPr>
        <w:t xml:space="preserve"> F</w:t>
      </w:r>
      <w:r>
        <w:rPr>
          <w:rFonts w:ascii="Arial" w:cs="Arial" w:eastAsia="Arial" w:hAnsi="Arial"/>
          <w:sz w:val="13"/>
          <w:szCs w:val="13"/>
          <w:color w:val="auto"/>
        </w:rPr>
        <w:t>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46" w:name="page147"/>
    <w:bookmarkEnd w:id="146"/>
    <w:p>
      <w:pPr>
        <w:ind w:left="200" w:right="219" w:firstLine="594"/>
        <w:spacing w:after="0" w:line="253" w:lineRule="auto"/>
        <w:rPr>
          <w:sz w:val="20"/>
          <w:szCs w:val="20"/>
          <w:color w:val="auto"/>
        </w:rPr>
      </w:pPr>
      <w:r>
        <w:rPr>
          <w:rFonts w:ascii="Arial" w:cs="Arial" w:eastAsia="Arial" w:hAnsi="Arial"/>
          <w:sz w:val="20"/>
          <w:szCs w:val="20"/>
          <w:color w:val="auto"/>
        </w:rPr>
        <w:t>This Credit Agreement is entered into between us for the uses and purposes hereinabove set forth as of the date first above written.</w:t>
      </w:r>
    </w:p>
    <w:p>
      <w:pPr>
        <w:spacing w:after="0" w:line="221" w:lineRule="exact"/>
        <w:rPr>
          <w:sz w:val="20"/>
          <w:szCs w:val="20"/>
          <w:color w:val="auto"/>
        </w:rPr>
      </w:pPr>
    </w:p>
    <w:p>
      <w:pPr>
        <w:ind w:left="3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B</w:t>
      </w:r>
      <w:r>
        <w:rPr>
          <w:rFonts w:ascii="Arial" w:cs="Arial" w:eastAsia="Arial" w:hAnsi="Arial"/>
          <w:sz w:val="13"/>
          <w:szCs w:val="13"/>
          <w:b w:val="1"/>
          <w:bCs w:val="1"/>
          <w:i w:val="1"/>
          <w:iCs w:val="1"/>
          <w:color w:val="auto"/>
        </w:rPr>
        <w:t>ORROWER</w:t>
      </w:r>
      <w:r>
        <w:rPr>
          <w:rFonts w:ascii="Arial" w:cs="Arial" w:eastAsia="Arial" w:hAnsi="Arial"/>
          <w:sz w:val="20"/>
          <w:szCs w:val="20"/>
          <w:i w:val="1"/>
          <w:iCs w:val="1"/>
          <w:color w:val="auto"/>
        </w:rPr>
        <w:t>”</w:t>
      </w:r>
    </w:p>
    <w:p>
      <w:pPr>
        <w:spacing w:after="0" w:line="228"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 Delaware limited partnership</w:t>
      </w:r>
    </w:p>
    <w:p>
      <w:pPr>
        <w:spacing w:after="0" w:line="212"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Alpine Income Property GP, LLC, a Delaware limited</w:t>
      </w:r>
    </w:p>
    <w:p>
      <w:pPr>
        <w:spacing w:after="0" w:line="2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liability company, its General Partner</w:t>
      </w:r>
    </w:p>
    <w:p>
      <w:pPr>
        <w:sectPr>
          <w:pgSz w:w="11900" w:h="16838" w:orient="portrait"/>
          <w:cols w:equalWidth="0" w:num="1">
            <w:col w:w="9019"/>
          </w:cols>
          <w:pgMar w:left="1440" w:top="838" w:right="1440" w:bottom="1440" w:gutter="0" w:footer="0" w:header="0"/>
        </w:sectPr>
      </w:pPr>
    </w:p>
    <w:p>
      <w:pPr>
        <w:spacing w:after="0" w:line="212"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Alpine Income Property Trust, Inc., a Maryland</w:t>
      </w:r>
    </w:p>
    <w:p>
      <w:pPr>
        <w:spacing w:after="0" w:line="36" w:lineRule="exact"/>
        <w:rPr>
          <w:sz w:val="20"/>
          <w:szCs w:val="20"/>
          <w:color w:val="auto"/>
        </w:rPr>
      </w:pPr>
    </w:p>
    <w:p>
      <w:pPr>
        <w:sectPr>
          <w:pgSz w:w="11900" w:h="16838" w:orient="portrait"/>
          <w:cols w:equalWidth="0" w:num="2">
            <w:col w:w="4640" w:space="320"/>
            <w:col w:w="4059"/>
          </w:cols>
          <w:pgMar w:left="1440" w:top="838" w:right="1440" w:bottom="1440" w:gutter="0" w:footer="0" w:header="0"/>
          <w:type w:val="continuous"/>
        </w:sectPr>
      </w:pPr>
    </w:p>
    <w:p>
      <w:pPr>
        <w:ind w:left="4960"/>
        <w:spacing w:after="0"/>
        <w:rPr>
          <w:sz w:val="20"/>
          <w:szCs w:val="20"/>
          <w:color w:val="auto"/>
        </w:rPr>
      </w:pPr>
      <w:r>
        <w:rPr>
          <w:rFonts w:ascii="Arial" w:cs="Arial" w:eastAsia="Arial" w:hAnsi="Arial"/>
          <w:sz w:val="20"/>
          <w:szCs w:val="20"/>
          <w:color w:val="auto"/>
        </w:rPr>
        <w:t>corporation, its sole member</w:t>
      </w:r>
    </w:p>
    <w:p>
      <w:pPr>
        <w:spacing w:after="0" w:line="209"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40"/>
          <w:szCs w:val="40"/>
          <w:color w:val="auto"/>
          <w:vertAlign w:val="superscript"/>
        </w:rPr>
        <w:t>By</w:t>
      </w:r>
      <w:r>
        <w:rPr>
          <w:sz w:val="20"/>
          <w:szCs w:val="20"/>
          <w:color w:val="auto"/>
        </w:rPr>
        <w:tab/>
      </w:r>
      <w:r>
        <w:rPr>
          <w:rFonts w:ascii="Arial" w:cs="Arial" w:eastAsia="Arial" w:hAnsi="Arial"/>
          <w:sz w:val="20"/>
          <w:szCs w:val="20"/>
          <w:u w:val="single" w:color="auto"/>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-13335</wp:posOffset>
            </wp:positionV>
            <wp:extent cx="24384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6">
                      <a:extLst>
                        <a:ext uri="{28A0092B-C50C-407E-A947-70E740481C1C}"/>
                      </a:extLst>
                    </a:blip>
                    <a:srcRect/>
                    <a:stretch>
                      <a:fillRect/>
                    </a:stretch>
                  </pic:blipFill>
                  <pic:spPr bwMode="auto">
                    <a:xfrm>
                      <a:off x="0" y="0"/>
                      <a:ext cx="243840" cy="7620"/>
                    </a:xfrm>
                    <a:prstGeom prst="rect">
                      <a:avLst/>
                    </a:prstGeom>
                    <a:noFill/>
                  </pic:spPr>
                </pic:pic>
              </a:graphicData>
            </a:graphic>
          </wp:anchor>
        </w:drawing>
      </w:r>
    </w:p>
    <w:p>
      <w:pPr>
        <w:spacing w:after="0" w:line="3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Matthew M. Partridge</w:t>
      </w:r>
    </w:p>
    <w:p>
      <w:pPr>
        <w:ind w:left="4960"/>
        <w:spacing w:after="0"/>
        <w:tabs>
          <w:tab w:leader="none" w:pos="5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 Financial</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Officer and Treasurer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type w:val="continuous"/>
        </w:sectPr>
      </w:pPr>
    </w:p>
    <w:bookmarkStart w:id="147" w:name="page148"/>
    <w:bookmarkEnd w:id="147"/>
    <w:p>
      <w:pPr>
        <w:ind w:left="3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w:t>
      </w:r>
      <w:r>
        <w:rPr>
          <w:rFonts w:ascii="Arial" w:cs="Arial" w:eastAsia="Arial" w:hAnsi="Arial"/>
          <w:sz w:val="13"/>
          <w:szCs w:val="13"/>
          <w:b w:val="1"/>
          <w:bCs w:val="1"/>
          <w:i w:val="1"/>
          <w:iCs w:val="1"/>
          <w:color w:val="auto"/>
        </w:rPr>
        <w:t>UARANTORS</w:t>
      </w:r>
      <w:r>
        <w:rPr>
          <w:rFonts w:ascii="Arial" w:cs="Arial" w:eastAsia="Arial" w:hAnsi="Arial"/>
          <w:sz w:val="20"/>
          <w:szCs w:val="20"/>
          <w:i w:val="1"/>
          <w:iCs w:val="1"/>
          <w:color w:val="auto"/>
        </w:rPr>
        <w:t>”</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P</w:t>
      </w:r>
      <w:r>
        <w:rPr>
          <w:rFonts w:ascii="Arial" w:cs="Arial" w:eastAsia="Arial" w:hAnsi="Arial"/>
          <w:sz w:val="13"/>
          <w:szCs w:val="13"/>
          <w:b w:val="1"/>
          <w:bCs w:val="1"/>
          <w:i w:val="1"/>
          <w:iCs w:val="1"/>
          <w:color w:val="auto"/>
        </w:rPr>
        <w:t>ARENT</w:t>
      </w:r>
      <w:r>
        <w:rPr>
          <w:rFonts w:ascii="Arial" w:cs="Arial" w:eastAsia="Arial" w:hAnsi="Arial"/>
          <w:sz w:val="20"/>
          <w:szCs w:val="20"/>
          <w:i w:val="1"/>
          <w:iCs w:val="1"/>
          <w:color w:val="auto"/>
        </w:rPr>
        <w:t>”</w:t>
      </w:r>
    </w:p>
    <w:p>
      <w:pPr>
        <w:spacing w:after="0" w:line="228"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T</w:t>
      </w:r>
      <w:r>
        <w:rPr>
          <w:rFonts w:ascii="Arial" w:cs="Arial" w:eastAsia="Arial" w:hAnsi="Arial"/>
          <w:sz w:val="13"/>
          <w:szCs w:val="13"/>
          <w:color w:val="auto"/>
        </w:rPr>
        <w:t>RUST</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 Maryland corporation</w:t>
      </w:r>
    </w:p>
    <w:p>
      <w:pPr>
        <w:spacing w:after="0" w:line="200" w:lineRule="exact"/>
        <w:rPr>
          <w:sz w:val="20"/>
          <w:szCs w:val="20"/>
          <w:color w:val="auto"/>
        </w:rPr>
      </w:pPr>
    </w:p>
    <w:p>
      <w:pPr>
        <w:spacing w:after="0" w:line="358" w:lineRule="exact"/>
        <w:rPr>
          <w:sz w:val="20"/>
          <w:szCs w:val="20"/>
          <w:color w:val="auto"/>
        </w:rPr>
      </w:pPr>
    </w:p>
    <w:p>
      <w:pPr>
        <w:ind w:left="3760"/>
        <w:spacing w:after="0"/>
        <w:tabs>
          <w:tab w:leader="none" w:pos="43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-38735</wp:posOffset>
            </wp:positionV>
            <wp:extent cx="1014095"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1014095"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Matthew M. Partridge</w:t>
      </w:r>
    </w:p>
    <w:p>
      <w:pPr>
        <w:ind w:left="3760"/>
        <w:spacing w:after="0"/>
        <w:tabs>
          <w:tab w:leader="none" w:pos="4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 Financial Officer and</w:t>
      </w:r>
    </w:p>
    <w:p>
      <w:pPr>
        <w:ind w:left="436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M</w:t>
      </w:r>
      <w:r>
        <w:rPr>
          <w:rFonts w:ascii="Arial" w:cs="Arial" w:eastAsia="Arial" w:hAnsi="Arial"/>
          <w:sz w:val="13"/>
          <w:szCs w:val="13"/>
          <w:b w:val="1"/>
          <w:bCs w:val="1"/>
          <w:i w:val="1"/>
          <w:iCs w:val="1"/>
          <w:color w:val="auto"/>
        </w:rPr>
        <w:t>ATERIAL</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S</w:t>
      </w:r>
      <w:r>
        <w:rPr>
          <w:rFonts w:ascii="Arial" w:cs="Arial" w:eastAsia="Arial" w:hAnsi="Arial"/>
          <w:sz w:val="13"/>
          <w:szCs w:val="13"/>
          <w:b w:val="1"/>
          <w:bCs w:val="1"/>
          <w:i w:val="1"/>
          <w:iCs w:val="1"/>
          <w:color w:val="auto"/>
        </w:rPr>
        <w:t>UBSIDIARIES</w:t>
      </w:r>
      <w:r>
        <w:rPr>
          <w:rFonts w:ascii="Arial" w:cs="Arial" w:eastAsia="Arial" w:hAnsi="Arial"/>
          <w:sz w:val="20"/>
          <w:szCs w:val="20"/>
          <w:i w:val="1"/>
          <w:iCs w:val="1"/>
          <w:color w:val="auto"/>
        </w:rPr>
        <w:t>”</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16 R</w:t>
      </w:r>
      <w:r>
        <w:rPr>
          <w:rFonts w:ascii="Arial" w:cs="Arial" w:eastAsia="Arial" w:hAnsi="Arial"/>
          <w:sz w:val="13"/>
          <w:szCs w:val="13"/>
          <w:color w:val="auto"/>
        </w:rPr>
        <w:t>ALEIGH</w:t>
      </w:r>
      <w:r>
        <w:rPr>
          <w:rFonts w:ascii="Arial" w:cs="Arial" w:eastAsia="Arial" w:hAnsi="Arial"/>
          <w:sz w:val="20"/>
          <w:szCs w:val="20"/>
          <w:color w:val="auto"/>
        </w:rPr>
        <w:t xml:space="preserve"> LLC,</w:t>
      </w:r>
    </w:p>
    <w:p>
      <w:pPr>
        <w:spacing w:after="0" w:line="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17 S</w:t>
      </w:r>
      <w:r>
        <w:rPr>
          <w:rFonts w:ascii="Arial" w:cs="Arial" w:eastAsia="Arial" w:hAnsi="Arial"/>
          <w:sz w:val="13"/>
          <w:szCs w:val="13"/>
          <w:color w:val="auto"/>
        </w:rPr>
        <w:t>AUGUS</w:t>
      </w:r>
      <w:r>
        <w:rPr>
          <w:rFonts w:ascii="Arial" w:cs="Arial" w:eastAsia="Arial" w:hAnsi="Arial"/>
          <w:sz w:val="20"/>
          <w:szCs w:val="20"/>
          <w:color w:val="auto"/>
        </w:rPr>
        <w:t xml:space="preserve"> LLC,</w:t>
      </w:r>
    </w:p>
    <w:p>
      <w:pPr>
        <w:ind w:left="3760"/>
        <w:spacing w:after="0"/>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NDIGO</w:t>
      </w:r>
      <w:r>
        <w:rPr>
          <w:rFonts w:ascii="Arial" w:cs="Arial" w:eastAsia="Arial" w:hAnsi="Arial"/>
          <w:sz w:val="20"/>
          <w:szCs w:val="20"/>
          <w:color w:val="auto"/>
        </w:rPr>
        <w:t xml:space="preserve"> H</w:t>
      </w:r>
      <w:r>
        <w:rPr>
          <w:rFonts w:ascii="Arial" w:cs="Arial" w:eastAsia="Arial" w:hAnsi="Arial"/>
          <w:sz w:val="13"/>
          <w:szCs w:val="13"/>
          <w:color w:val="auto"/>
        </w:rPr>
        <w:t>ENRY</w:t>
      </w:r>
      <w:r>
        <w:rPr>
          <w:rFonts w:ascii="Arial" w:cs="Arial" w:eastAsia="Arial" w:hAnsi="Arial"/>
          <w:sz w:val="20"/>
          <w:szCs w:val="20"/>
          <w:color w:val="auto"/>
        </w:rPr>
        <w:t xml:space="preserve"> LLC</w:t>
      </w:r>
    </w:p>
    <w:p>
      <w:pPr>
        <w:spacing w:after="0" w:line="200" w:lineRule="exact"/>
        <w:rPr>
          <w:sz w:val="20"/>
          <w:szCs w:val="20"/>
          <w:color w:val="auto"/>
        </w:rPr>
      </w:pPr>
    </w:p>
    <w:p>
      <w:pPr>
        <w:ind w:left="3760"/>
        <w:spacing w:after="0"/>
        <w:tabs>
          <w:tab w:leader="none" w:pos="4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Alpine Income Property OP, LP,</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 Delaware limited partnership, its member</w:t>
      </w:r>
    </w:p>
    <w:p>
      <w:pPr>
        <w:spacing w:after="0" w:line="187" w:lineRule="exact"/>
        <w:rPr>
          <w:sz w:val="20"/>
          <w:szCs w:val="20"/>
          <w:color w:val="auto"/>
        </w:rPr>
      </w:pPr>
    </w:p>
    <w:p>
      <w:pPr>
        <w:jc w:val="right"/>
        <w:ind w:right="699"/>
        <w:spacing w:after="0"/>
        <w:tabs>
          <w:tab w:leader="none" w:pos="4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GP, LLC, a Delaware</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limited liability company, its General Partner,</w:t>
      </w:r>
    </w:p>
    <w:p>
      <w:pPr>
        <w:spacing w:after="0" w:line="175"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Trust, Inc., a</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Maryland corporation, its sole member</w:t>
      </w:r>
    </w:p>
    <w:p>
      <w:pPr>
        <w:spacing w:after="0" w:line="200" w:lineRule="exact"/>
        <w:rPr>
          <w:sz w:val="20"/>
          <w:szCs w:val="20"/>
          <w:color w:val="auto"/>
        </w:rPr>
      </w:pPr>
    </w:p>
    <w:p>
      <w:pPr>
        <w:spacing w:after="0" w:line="297" w:lineRule="exact"/>
        <w:rPr>
          <w:sz w:val="20"/>
          <w:szCs w:val="20"/>
          <w:color w:val="auto"/>
        </w:rPr>
      </w:pPr>
    </w:p>
    <w:p>
      <w:pPr>
        <w:ind w:left="510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-15240</wp:posOffset>
            </wp:positionV>
            <wp:extent cx="1641475"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1641475" cy="762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Name: Matthew M. Partridge</w:t>
      </w:r>
    </w:p>
    <w:p>
      <w:pPr>
        <w:ind w:left="5540"/>
        <w:spacing w:after="0"/>
        <w:tabs>
          <w:tab w:leader="none" w:pos="6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w:t>
      </w:r>
    </w:p>
    <w:p>
      <w:pPr>
        <w:jc w:val="right"/>
        <w:ind w:right="339"/>
        <w:spacing w:after="0"/>
        <w:rPr>
          <w:sz w:val="20"/>
          <w:szCs w:val="20"/>
          <w:color w:val="auto"/>
        </w:rPr>
      </w:pPr>
      <w:r>
        <w:rPr>
          <w:rFonts w:ascii="Arial" w:cs="Arial" w:eastAsia="Arial" w:hAnsi="Arial"/>
          <w:sz w:val="20"/>
          <w:szCs w:val="20"/>
          <w:color w:val="auto"/>
        </w:rPr>
        <w:t>Financial Officer, and Treasurer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48" w:name="page149"/>
    <w:bookmarkEnd w:id="148"/>
    <w:p>
      <w:pPr>
        <w:ind w:left="376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17 H</w:t>
      </w:r>
      <w:r>
        <w:rPr>
          <w:rFonts w:ascii="Arial" w:cs="Arial" w:eastAsia="Arial" w:hAnsi="Arial"/>
          <w:sz w:val="13"/>
          <w:szCs w:val="13"/>
          <w:color w:val="auto"/>
        </w:rPr>
        <w:t>ILLSBORO</w:t>
      </w:r>
      <w:r>
        <w:rPr>
          <w:rFonts w:ascii="Arial" w:cs="Arial" w:eastAsia="Arial" w:hAnsi="Arial"/>
          <w:sz w:val="20"/>
          <w:szCs w:val="20"/>
          <w:color w:val="auto"/>
        </w:rPr>
        <w:t xml:space="preserve"> OR LLC,</w:t>
      </w:r>
    </w:p>
    <w:p>
      <w:pPr>
        <w:spacing w:after="0" w:line="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w:t>
      </w:r>
      <w:r>
        <w:rPr>
          <w:rFonts w:ascii="Arial" w:cs="Arial" w:eastAsia="Arial" w:hAnsi="Arial"/>
          <w:sz w:val="13"/>
          <w:szCs w:val="13"/>
          <w:color w:val="auto"/>
        </w:rPr>
        <w:t>LUEBIRD</w:t>
      </w:r>
      <w:r>
        <w:rPr>
          <w:rFonts w:ascii="Arial" w:cs="Arial" w:eastAsia="Arial" w:hAnsi="Arial"/>
          <w:sz w:val="20"/>
          <w:szCs w:val="20"/>
          <w:color w:val="auto"/>
        </w:rPr>
        <w:t xml:space="preserve"> M</w:t>
      </w:r>
      <w:r>
        <w:rPr>
          <w:rFonts w:ascii="Arial" w:cs="Arial" w:eastAsia="Arial" w:hAnsi="Arial"/>
          <w:sz w:val="13"/>
          <w:szCs w:val="13"/>
          <w:color w:val="auto"/>
        </w:rPr>
        <w:t>ETROWEST</w:t>
      </w:r>
      <w:r>
        <w:rPr>
          <w:rFonts w:ascii="Arial" w:cs="Arial" w:eastAsia="Arial" w:hAnsi="Arial"/>
          <w:sz w:val="20"/>
          <w:szCs w:val="20"/>
          <w:color w:val="auto"/>
        </w:rPr>
        <w:t xml:space="preserve"> O</w:t>
      </w:r>
      <w:r>
        <w:rPr>
          <w:rFonts w:ascii="Arial" w:cs="Arial" w:eastAsia="Arial" w:hAnsi="Arial"/>
          <w:sz w:val="13"/>
          <w:szCs w:val="13"/>
          <w:color w:val="auto"/>
        </w:rPr>
        <w:t>RLANDO</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L</w:t>
      </w:r>
      <w:r>
        <w:rPr>
          <w:rFonts w:ascii="Arial" w:cs="Arial" w:eastAsia="Arial" w:hAnsi="Arial"/>
          <w:sz w:val="13"/>
          <w:szCs w:val="13"/>
          <w:color w:val="auto"/>
        </w:rPr>
        <w:t>HC</w:t>
      </w:r>
      <w:r>
        <w:rPr>
          <w:rFonts w:ascii="Arial" w:cs="Arial" w:eastAsia="Arial" w:hAnsi="Arial"/>
          <w:sz w:val="20"/>
          <w:szCs w:val="20"/>
          <w:color w:val="auto"/>
        </w:rPr>
        <w:t>15 G</w:t>
      </w:r>
      <w:r>
        <w:rPr>
          <w:rFonts w:ascii="Arial" w:cs="Arial" w:eastAsia="Arial" w:hAnsi="Arial"/>
          <w:sz w:val="13"/>
          <w:szCs w:val="13"/>
          <w:color w:val="auto"/>
        </w:rPr>
        <w:t>LENDALE</w:t>
      </w:r>
      <w:r>
        <w:rPr>
          <w:rFonts w:ascii="Arial" w:cs="Arial" w:eastAsia="Arial" w:hAnsi="Arial"/>
          <w:sz w:val="20"/>
          <w:szCs w:val="20"/>
          <w:color w:val="auto"/>
        </w:rPr>
        <w:t xml:space="preserve"> AZ LLC,</w:t>
      </w:r>
    </w:p>
    <w:p>
      <w:pPr>
        <w:ind w:left="3760"/>
        <w:spacing w:after="0" w:line="232" w:lineRule="auto"/>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19 T</w:t>
      </w:r>
      <w:r>
        <w:rPr>
          <w:rFonts w:ascii="Arial" w:cs="Arial" w:eastAsia="Arial" w:hAnsi="Arial"/>
          <w:sz w:val="13"/>
          <w:szCs w:val="13"/>
          <w:color w:val="auto"/>
        </w:rPr>
        <w:t>ROY</w:t>
      </w:r>
      <w:r>
        <w:rPr>
          <w:rFonts w:ascii="Arial" w:cs="Arial" w:eastAsia="Arial" w:hAnsi="Arial"/>
          <w:sz w:val="20"/>
          <w:szCs w:val="20"/>
          <w:color w:val="auto"/>
        </w:rPr>
        <w:t xml:space="preserve"> WI LLC,</w:t>
      </w:r>
    </w:p>
    <w:p>
      <w:pPr>
        <w:ind w:left="3760"/>
        <w:spacing w:after="0" w:line="233" w:lineRule="auto"/>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17 B</w:t>
      </w:r>
      <w:r>
        <w:rPr>
          <w:rFonts w:ascii="Arial" w:cs="Arial" w:eastAsia="Arial" w:hAnsi="Arial"/>
          <w:sz w:val="13"/>
          <w:szCs w:val="13"/>
          <w:color w:val="auto"/>
        </w:rPr>
        <w:t>RANDON</w:t>
      </w:r>
      <w:r>
        <w:rPr>
          <w:rFonts w:ascii="Arial" w:cs="Arial" w:eastAsia="Arial" w:hAnsi="Arial"/>
          <w:sz w:val="20"/>
          <w:szCs w:val="20"/>
          <w:color w:val="auto"/>
        </w:rPr>
        <w:t xml:space="preserve"> FL LLC,</w:t>
      </w:r>
    </w:p>
    <w:p>
      <w:pPr>
        <w:ind w:left="3760"/>
        <w:spacing w:after="0" w:line="232" w:lineRule="auto"/>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19 A</w:t>
      </w:r>
      <w:r>
        <w:rPr>
          <w:rFonts w:ascii="Arial" w:cs="Arial" w:eastAsia="Arial" w:hAnsi="Arial"/>
          <w:sz w:val="13"/>
          <w:szCs w:val="13"/>
          <w:color w:val="auto"/>
        </w:rPr>
        <w:t>LBANY</w:t>
      </w:r>
      <w:r>
        <w:rPr>
          <w:rFonts w:ascii="Arial" w:cs="Arial" w:eastAsia="Arial" w:hAnsi="Arial"/>
          <w:sz w:val="20"/>
          <w:szCs w:val="20"/>
          <w:color w:val="auto"/>
        </w:rPr>
        <w:t xml:space="preserve"> GA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B</w:t>
      </w:r>
      <w:r>
        <w:rPr>
          <w:rFonts w:ascii="Arial" w:cs="Arial" w:eastAsia="Arial" w:hAnsi="Arial"/>
          <w:sz w:val="13"/>
          <w:szCs w:val="13"/>
          <w:color w:val="auto"/>
        </w:rPr>
        <w:t>LANDING</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19 G</w:t>
      </w:r>
      <w:r>
        <w:rPr>
          <w:rFonts w:ascii="Arial" w:cs="Arial" w:eastAsia="Arial" w:hAnsi="Arial"/>
          <w:sz w:val="13"/>
          <w:szCs w:val="13"/>
          <w:color w:val="auto"/>
        </w:rPr>
        <w:t>EORGETOWN</w:t>
      </w:r>
      <w:r>
        <w:rPr>
          <w:rFonts w:ascii="Arial" w:cs="Arial" w:eastAsia="Arial" w:hAnsi="Arial"/>
          <w:sz w:val="20"/>
          <w:szCs w:val="20"/>
          <w:color w:val="auto"/>
        </w:rPr>
        <w:t xml:space="preserve"> TX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URST</w:t>
      </w:r>
      <w:r>
        <w:rPr>
          <w:rFonts w:ascii="Arial" w:cs="Arial" w:eastAsia="Arial" w:hAnsi="Arial"/>
          <w:sz w:val="20"/>
          <w:szCs w:val="20"/>
          <w:color w:val="auto"/>
        </w:rPr>
        <w:t xml:space="preserve"> TX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19 S</w:t>
      </w:r>
      <w:r>
        <w:rPr>
          <w:rFonts w:ascii="Arial" w:cs="Arial" w:eastAsia="Arial" w:hAnsi="Arial"/>
          <w:sz w:val="13"/>
          <w:szCs w:val="13"/>
          <w:color w:val="auto"/>
        </w:rPr>
        <w:t>LAUGHTER</w:t>
      </w:r>
      <w:r>
        <w:rPr>
          <w:rFonts w:ascii="Arial" w:cs="Arial" w:eastAsia="Arial" w:hAnsi="Arial"/>
          <w:sz w:val="20"/>
          <w:szCs w:val="20"/>
          <w:color w:val="auto"/>
        </w:rPr>
        <w:t xml:space="preserve"> A</w:t>
      </w:r>
      <w:r>
        <w:rPr>
          <w:rFonts w:ascii="Arial" w:cs="Arial" w:eastAsia="Arial" w:hAnsi="Arial"/>
          <w:sz w:val="13"/>
          <w:szCs w:val="13"/>
          <w:color w:val="auto"/>
        </w:rPr>
        <w:t>USTIN</w:t>
      </w:r>
      <w:r>
        <w:rPr>
          <w:rFonts w:ascii="Arial" w:cs="Arial" w:eastAsia="Arial" w:hAnsi="Arial"/>
          <w:sz w:val="20"/>
          <w:szCs w:val="20"/>
          <w:color w:val="auto"/>
        </w:rPr>
        <w:t xml:space="preserve"> TX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T</w:t>
      </w:r>
      <w:r>
        <w:rPr>
          <w:rFonts w:ascii="Arial" w:cs="Arial" w:eastAsia="Arial" w:hAnsi="Arial"/>
          <w:sz w:val="13"/>
          <w:szCs w:val="13"/>
          <w:color w:val="auto"/>
        </w:rPr>
        <w:t>ULSA</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IGHLAND</w:t>
      </w:r>
      <w:r>
        <w:rPr>
          <w:rFonts w:ascii="Arial" w:cs="Arial" w:eastAsia="Arial" w:hAnsi="Arial"/>
          <w:sz w:val="20"/>
          <w:szCs w:val="20"/>
          <w:color w:val="auto"/>
        </w:rPr>
        <w:t xml:space="preserve"> KY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T</w:t>
      </w:r>
      <w:r>
        <w:rPr>
          <w:rFonts w:ascii="Arial" w:cs="Arial" w:eastAsia="Arial" w:hAnsi="Arial"/>
          <w:sz w:val="13"/>
          <w:szCs w:val="13"/>
          <w:color w:val="auto"/>
        </w:rPr>
        <w:t>YN</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A</w:t>
      </w:r>
      <w:r>
        <w:rPr>
          <w:rFonts w:ascii="Arial" w:cs="Arial" w:eastAsia="Arial" w:hAnsi="Arial"/>
          <w:sz w:val="13"/>
          <w:szCs w:val="13"/>
          <w:color w:val="auto"/>
        </w:rPr>
        <w:t>RDEN</w:t>
      </w:r>
      <w:r>
        <w:rPr>
          <w:rFonts w:ascii="Arial" w:cs="Arial" w:eastAsia="Arial" w:hAnsi="Arial"/>
          <w:sz w:val="20"/>
          <w:szCs w:val="20"/>
          <w:color w:val="auto"/>
        </w:rPr>
        <w:t xml:space="preserve"> NC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B</w:t>
      </w:r>
      <w:r>
        <w:rPr>
          <w:rFonts w:ascii="Arial" w:cs="Arial" w:eastAsia="Arial" w:hAnsi="Arial"/>
          <w:sz w:val="13"/>
          <w:szCs w:val="13"/>
          <w:color w:val="auto"/>
        </w:rPr>
        <w:t>ARKER</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B</w:t>
      </w:r>
      <w:r>
        <w:rPr>
          <w:rFonts w:ascii="Arial" w:cs="Arial" w:eastAsia="Arial" w:hAnsi="Arial"/>
          <w:sz w:val="13"/>
          <w:szCs w:val="13"/>
          <w:color w:val="auto"/>
        </w:rPr>
        <w:t>INGHAM</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C</w:t>
      </w:r>
      <w:r>
        <w:rPr>
          <w:rFonts w:ascii="Arial" w:cs="Arial" w:eastAsia="Arial" w:hAnsi="Arial"/>
          <w:sz w:val="13"/>
          <w:szCs w:val="13"/>
          <w:color w:val="auto"/>
        </w:rPr>
        <w:t>HAZY</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AMMOND</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ARRISVILLE</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EUVELTON</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H</w:t>
      </w:r>
      <w:r>
        <w:rPr>
          <w:rFonts w:ascii="Arial" w:cs="Arial" w:eastAsia="Arial" w:hAnsi="Arial"/>
          <w:sz w:val="13"/>
          <w:szCs w:val="13"/>
          <w:color w:val="auto"/>
        </w:rPr>
        <w:t>OWELL</w:t>
      </w:r>
      <w:r>
        <w:rPr>
          <w:rFonts w:ascii="Arial" w:cs="Arial" w:eastAsia="Arial" w:hAnsi="Arial"/>
          <w:sz w:val="20"/>
          <w:szCs w:val="20"/>
          <w:color w:val="auto"/>
        </w:rPr>
        <w:t xml:space="preserve"> MI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L</w:t>
      </w:r>
      <w:r>
        <w:rPr>
          <w:rFonts w:ascii="Arial" w:cs="Arial" w:eastAsia="Arial" w:hAnsi="Arial"/>
          <w:sz w:val="13"/>
          <w:szCs w:val="13"/>
          <w:color w:val="auto"/>
        </w:rPr>
        <w:t>IMESTONE</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M</w:t>
      </w:r>
      <w:r>
        <w:rPr>
          <w:rFonts w:ascii="Arial" w:cs="Arial" w:eastAsia="Arial" w:hAnsi="Arial"/>
          <w:sz w:val="13"/>
          <w:szCs w:val="13"/>
          <w:color w:val="auto"/>
        </w:rPr>
        <w:t>ILFORD</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N</w:t>
      </w:r>
      <w:r>
        <w:rPr>
          <w:rFonts w:ascii="Arial" w:cs="Arial" w:eastAsia="Arial" w:hAnsi="Arial"/>
          <w:sz w:val="13"/>
          <w:szCs w:val="13"/>
          <w:color w:val="auto"/>
        </w:rPr>
        <w:t>EWTONSVILLE</w:t>
      </w:r>
      <w:r>
        <w:rPr>
          <w:rFonts w:ascii="Arial" w:cs="Arial" w:eastAsia="Arial" w:hAnsi="Arial"/>
          <w:sz w:val="20"/>
          <w:szCs w:val="20"/>
          <w:color w:val="auto"/>
        </w:rPr>
        <w:t xml:space="preserve"> L</w:t>
      </w:r>
      <w:r>
        <w:rPr>
          <w:rFonts w:ascii="Arial" w:cs="Arial" w:eastAsia="Arial" w:hAnsi="Arial"/>
          <w:sz w:val="13"/>
          <w:szCs w:val="13"/>
          <w:color w:val="auto"/>
        </w:rPr>
        <w:t>LC</w:t>
      </w:r>
      <w:r>
        <w:rPr>
          <w:rFonts w:ascii="Arial" w:cs="Arial" w:eastAsia="Arial" w:hAnsi="Arial"/>
          <w:sz w:val="20"/>
          <w:szCs w:val="20"/>
          <w:color w:val="auto"/>
        </w:rPr>
        <w:t>,</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O</w:t>
      </w:r>
      <w:r>
        <w:rPr>
          <w:rFonts w:ascii="Arial" w:cs="Arial" w:eastAsia="Arial" w:hAnsi="Arial"/>
          <w:sz w:val="13"/>
          <w:szCs w:val="13"/>
          <w:color w:val="auto"/>
        </w:rPr>
        <w:t>DESSA</w:t>
      </w:r>
      <w:r>
        <w:rPr>
          <w:rFonts w:ascii="Arial" w:cs="Arial" w:eastAsia="Arial" w:hAnsi="Arial"/>
          <w:sz w:val="20"/>
          <w:szCs w:val="20"/>
          <w:color w:val="auto"/>
        </w:rPr>
        <w:t xml:space="preserve"> LLC</w:t>
      </w:r>
    </w:p>
    <w:p>
      <w:pPr>
        <w:spacing w:after="0" w:line="212" w:lineRule="exact"/>
        <w:rPr>
          <w:sz w:val="20"/>
          <w:szCs w:val="20"/>
          <w:color w:val="auto"/>
        </w:rPr>
      </w:pPr>
    </w:p>
    <w:p>
      <w:pPr>
        <w:ind w:left="3760"/>
        <w:spacing w:after="0"/>
        <w:tabs>
          <w:tab w:leader="none" w:pos="4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Alpine Income Property OP, LP,</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 Delaware limited partnership, its Manager</w:t>
      </w:r>
    </w:p>
    <w:p>
      <w:pPr>
        <w:spacing w:after="0" w:line="175" w:lineRule="exact"/>
        <w:rPr>
          <w:sz w:val="20"/>
          <w:szCs w:val="20"/>
          <w:color w:val="auto"/>
        </w:rPr>
      </w:pPr>
    </w:p>
    <w:p>
      <w:pPr>
        <w:jc w:val="right"/>
        <w:ind w:right="699"/>
        <w:spacing w:after="0"/>
        <w:tabs>
          <w:tab w:leader="none" w:pos="4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GP, LLC, a Delaware</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limited liability company, its General Partner,</w:t>
      </w:r>
    </w:p>
    <w:p>
      <w:pPr>
        <w:spacing w:after="0" w:line="175"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Trust, Inc., a</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Maryland corporation, its sole member</w:t>
      </w:r>
    </w:p>
    <w:p>
      <w:pPr>
        <w:spacing w:after="0" w:line="200" w:lineRule="exact"/>
        <w:rPr>
          <w:sz w:val="20"/>
          <w:szCs w:val="20"/>
          <w:color w:val="auto"/>
        </w:rPr>
      </w:pPr>
    </w:p>
    <w:p>
      <w:pPr>
        <w:spacing w:after="0" w:line="309" w:lineRule="exact"/>
        <w:rPr>
          <w:sz w:val="20"/>
          <w:szCs w:val="20"/>
          <w:color w:val="auto"/>
        </w:rPr>
      </w:pPr>
    </w:p>
    <w:p>
      <w:pPr>
        <w:ind w:left="510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-15240</wp:posOffset>
            </wp:positionV>
            <wp:extent cx="1641475"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1641475" cy="762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Name: Matthew M. Partridge</w:t>
      </w:r>
    </w:p>
    <w:p>
      <w:pPr>
        <w:ind w:left="5540"/>
        <w:spacing w:after="0"/>
        <w:tabs>
          <w:tab w:leader="none" w:pos="6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w:t>
      </w:r>
    </w:p>
    <w:p>
      <w:pPr>
        <w:jc w:val="right"/>
        <w:ind w:right="339"/>
        <w:spacing w:after="0" w:line="232" w:lineRule="auto"/>
        <w:rPr>
          <w:sz w:val="20"/>
          <w:szCs w:val="20"/>
          <w:color w:val="auto"/>
        </w:rPr>
      </w:pPr>
      <w:r>
        <w:rPr>
          <w:rFonts w:ascii="Arial" w:cs="Arial" w:eastAsia="Arial" w:hAnsi="Arial"/>
          <w:sz w:val="20"/>
          <w:szCs w:val="20"/>
          <w:color w:val="auto"/>
        </w:rPr>
        <w:t>Financial Officer, and Treasurer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49" w:name="page150"/>
    <w:bookmarkEnd w:id="149"/>
    <w:p>
      <w:pPr>
        <w:ind w:left="376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16 R</w:t>
      </w:r>
      <w:r>
        <w:rPr>
          <w:rFonts w:ascii="Arial" w:cs="Arial" w:eastAsia="Arial" w:hAnsi="Arial"/>
          <w:sz w:val="13"/>
          <w:szCs w:val="13"/>
          <w:color w:val="auto"/>
        </w:rPr>
        <w:t>ENO</w:t>
      </w:r>
      <w:r>
        <w:rPr>
          <w:rFonts w:ascii="Arial" w:cs="Arial" w:eastAsia="Arial" w:hAnsi="Arial"/>
          <w:sz w:val="20"/>
          <w:szCs w:val="20"/>
          <w:color w:val="auto"/>
        </w:rPr>
        <w:t xml:space="preserve"> LLC,</w:t>
      </w:r>
    </w:p>
    <w:p>
      <w:pPr>
        <w:spacing w:after="0" w:line="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19 W</w:t>
      </w:r>
      <w:r>
        <w:rPr>
          <w:rFonts w:ascii="Arial" w:cs="Arial" w:eastAsia="Arial" w:hAnsi="Arial"/>
          <w:sz w:val="13"/>
          <w:szCs w:val="13"/>
          <w:color w:val="auto"/>
        </w:rPr>
        <w:t>INSTON</w:t>
      </w:r>
      <w:r>
        <w:rPr>
          <w:rFonts w:ascii="Arial" w:cs="Arial" w:eastAsia="Arial" w:hAnsi="Arial"/>
          <w:sz w:val="20"/>
          <w:szCs w:val="20"/>
          <w:color w:val="auto"/>
        </w:rPr>
        <w:t xml:space="preserve"> S</w:t>
      </w:r>
      <w:r>
        <w:rPr>
          <w:rFonts w:ascii="Arial" w:cs="Arial" w:eastAsia="Arial" w:hAnsi="Arial"/>
          <w:sz w:val="13"/>
          <w:szCs w:val="13"/>
          <w:color w:val="auto"/>
        </w:rPr>
        <w:t>ALEM</w:t>
      </w:r>
      <w:r>
        <w:rPr>
          <w:rFonts w:ascii="Arial" w:cs="Arial" w:eastAsia="Arial" w:hAnsi="Arial"/>
          <w:sz w:val="20"/>
          <w:szCs w:val="20"/>
          <w:color w:val="auto"/>
        </w:rPr>
        <w:t xml:space="preserve"> NC LLC,</w:t>
      </w:r>
    </w:p>
    <w:p>
      <w:pPr>
        <w:ind w:left="3760"/>
        <w:spacing w:after="0" w:line="232" w:lineRule="auto"/>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TLC</w:t>
      </w:r>
      <w:r>
        <w:rPr>
          <w:rFonts w:ascii="Arial" w:cs="Arial" w:eastAsia="Arial" w:hAnsi="Arial"/>
          <w:sz w:val="20"/>
          <w:szCs w:val="20"/>
          <w:color w:val="auto"/>
        </w:rPr>
        <w:t>18 L</w:t>
      </w:r>
      <w:r>
        <w:rPr>
          <w:rFonts w:ascii="Arial" w:cs="Arial" w:eastAsia="Arial" w:hAnsi="Arial"/>
          <w:sz w:val="13"/>
          <w:szCs w:val="13"/>
          <w:color w:val="auto"/>
        </w:rPr>
        <w:t>YNN</w:t>
      </w:r>
      <w:r>
        <w:rPr>
          <w:rFonts w:ascii="Arial" w:cs="Arial" w:eastAsia="Arial" w:hAnsi="Arial"/>
          <w:sz w:val="20"/>
          <w:szCs w:val="20"/>
          <w:color w:val="auto"/>
        </w:rPr>
        <w:t xml:space="preserve"> MA LLC,</w:t>
      </w:r>
    </w:p>
    <w:p>
      <w:pPr>
        <w:ind w:left="3760"/>
        <w:spacing w:after="0" w:line="232" w:lineRule="auto"/>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TO</w:t>
      </w:r>
      <w:r>
        <w:rPr>
          <w:rFonts w:ascii="Arial" w:cs="Arial" w:eastAsia="Arial" w:hAnsi="Arial"/>
          <w:sz w:val="20"/>
          <w:szCs w:val="20"/>
          <w:color w:val="auto"/>
        </w:rPr>
        <w:t>19 B</w:t>
      </w:r>
      <w:r>
        <w:rPr>
          <w:rFonts w:ascii="Arial" w:cs="Arial" w:eastAsia="Arial" w:hAnsi="Arial"/>
          <w:sz w:val="13"/>
          <w:szCs w:val="13"/>
          <w:color w:val="auto"/>
        </w:rPr>
        <w:t>IRMINGHAM</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19 A</w:t>
      </w:r>
      <w:r>
        <w:rPr>
          <w:rFonts w:ascii="Arial" w:cs="Arial" w:eastAsia="Arial" w:hAnsi="Arial"/>
          <w:sz w:val="13"/>
          <w:szCs w:val="13"/>
          <w:color w:val="auto"/>
        </w:rPr>
        <w:t>LPHARETTA</w:t>
      </w:r>
      <w:r>
        <w:rPr>
          <w:rFonts w:ascii="Arial" w:cs="Arial" w:eastAsia="Arial" w:hAnsi="Arial"/>
          <w:sz w:val="20"/>
          <w:szCs w:val="20"/>
          <w:color w:val="auto"/>
        </w:rPr>
        <w:t xml:space="preserve"> GA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19 J</w:t>
      </w:r>
      <w:r>
        <w:rPr>
          <w:rFonts w:ascii="Arial" w:cs="Arial" w:eastAsia="Arial" w:hAnsi="Arial"/>
          <w:sz w:val="13"/>
          <w:szCs w:val="13"/>
          <w:color w:val="auto"/>
        </w:rPr>
        <w:t>ACKSONVILLE</w:t>
      </w:r>
      <w:r>
        <w:rPr>
          <w:rFonts w:ascii="Arial" w:cs="Arial" w:eastAsia="Arial" w:hAnsi="Arial"/>
          <w:sz w:val="20"/>
          <w:szCs w:val="20"/>
          <w:color w:val="auto"/>
        </w:rPr>
        <w:t xml:space="preserve"> FL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S</w:t>
      </w:r>
      <w:r>
        <w:rPr>
          <w:rFonts w:ascii="Arial" w:cs="Arial" w:eastAsia="Arial" w:hAnsi="Arial"/>
          <w:sz w:val="13"/>
          <w:szCs w:val="13"/>
          <w:color w:val="auto"/>
        </w:rPr>
        <w:t>ALEM</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S</w:t>
      </w:r>
      <w:r>
        <w:rPr>
          <w:rFonts w:ascii="Arial" w:cs="Arial" w:eastAsia="Arial" w:hAnsi="Arial"/>
          <w:sz w:val="13"/>
          <w:szCs w:val="13"/>
          <w:color w:val="auto"/>
        </w:rPr>
        <w:t>EVERN</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S</w:t>
      </w:r>
      <w:r>
        <w:rPr>
          <w:rFonts w:ascii="Arial" w:cs="Arial" w:eastAsia="Arial" w:hAnsi="Arial"/>
          <w:sz w:val="13"/>
          <w:szCs w:val="13"/>
          <w:color w:val="auto"/>
        </w:rPr>
        <w:t>OMERVILLE</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W</w:t>
      </w:r>
      <w:r>
        <w:rPr>
          <w:rFonts w:ascii="Arial" w:cs="Arial" w:eastAsia="Arial" w:hAnsi="Arial"/>
          <w:sz w:val="13"/>
          <w:szCs w:val="13"/>
          <w:color w:val="auto"/>
        </w:rPr>
        <w:t>ILLIS</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W</w:t>
      </w:r>
      <w:r>
        <w:rPr>
          <w:rFonts w:ascii="Arial" w:cs="Arial" w:eastAsia="Arial" w:hAnsi="Arial"/>
          <w:sz w:val="13"/>
          <w:szCs w:val="13"/>
          <w:color w:val="auto"/>
        </w:rPr>
        <w:t>INTHROP</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G</w:t>
      </w:r>
      <w:r>
        <w:rPr>
          <w:rFonts w:ascii="Arial" w:cs="Arial" w:eastAsia="Arial" w:hAnsi="Arial"/>
          <w:sz w:val="13"/>
          <w:szCs w:val="13"/>
          <w:color w:val="auto"/>
        </w:rPr>
        <w:t>LENDALE</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K</w:t>
      </w:r>
      <w:r>
        <w:rPr>
          <w:rFonts w:ascii="Arial" w:cs="Arial" w:eastAsia="Arial" w:hAnsi="Arial"/>
          <w:sz w:val="13"/>
          <w:szCs w:val="13"/>
          <w:color w:val="auto"/>
        </w:rPr>
        <w:t>ERMIT</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T</w:t>
      </w:r>
      <w:r>
        <w:rPr>
          <w:rFonts w:ascii="Arial" w:cs="Arial" w:eastAsia="Arial" w:hAnsi="Arial"/>
          <w:sz w:val="13"/>
          <w:szCs w:val="13"/>
          <w:color w:val="auto"/>
        </w:rPr>
        <w:t>ACOMA</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C</w:t>
      </w:r>
      <w:r>
        <w:rPr>
          <w:rFonts w:ascii="Arial" w:cs="Arial" w:eastAsia="Arial" w:hAnsi="Arial"/>
          <w:sz w:val="13"/>
          <w:szCs w:val="13"/>
          <w:color w:val="auto"/>
        </w:rPr>
        <w:t>UT</w:t>
      </w:r>
      <w:r>
        <w:rPr>
          <w:rFonts w:ascii="Arial" w:cs="Arial" w:eastAsia="Arial" w:hAnsi="Arial"/>
          <w:sz w:val="20"/>
          <w:szCs w:val="20"/>
          <w:color w:val="auto"/>
        </w:rPr>
        <w:t xml:space="preserve"> &amp; S</w:t>
      </w:r>
      <w:r>
        <w:rPr>
          <w:rFonts w:ascii="Arial" w:cs="Arial" w:eastAsia="Arial" w:hAnsi="Arial"/>
          <w:sz w:val="13"/>
          <w:szCs w:val="13"/>
          <w:color w:val="auto"/>
        </w:rPr>
        <w:t>HOOT</w:t>
      </w:r>
      <w:r>
        <w:rPr>
          <w:rFonts w:ascii="Arial" w:cs="Arial" w:eastAsia="Arial" w:hAnsi="Arial"/>
          <w:sz w:val="20"/>
          <w:szCs w:val="20"/>
          <w:color w:val="auto"/>
        </w:rPr>
        <w:t xml:space="preserve"> LLC,</w:t>
      </w:r>
    </w:p>
    <w:p>
      <w:pPr>
        <w:ind w:left="3760"/>
        <w:spacing w:after="0" w:line="232"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D</w:t>
      </w:r>
      <w:r>
        <w:rPr>
          <w:rFonts w:ascii="Arial" w:cs="Arial" w:eastAsia="Arial" w:hAnsi="Arial"/>
          <w:sz w:val="13"/>
          <w:szCs w:val="13"/>
          <w:color w:val="auto"/>
        </w:rPr>
        <w:t>EL</w:t>
      </w:r>
      <w:r>
        <w:rPr>
          <w:rFonts w:ascii="Arial" w:cs="Arial" w:eastAsia="Arial" w:hAnsi="Arial"/>
          <w:sz w:val="20"/>
          <w:szCs w:val="20"/>
          <w:color w:val="auto"/>
        </w:rPr>
        <w:t xml:space="preserve"> R</w:t>
      </w:r>
      <w:r>
        <w:rPr>
          <w:rFonts w:ascii="Arial" w:cs="Arial" w:eastAsia="Arial" w:hAnsi="Arial"/>
          <w:sz w:val="13"/>
          <w:szCs w:val="13"/>
          <w:color w:val="auto"/>
        </w:rPr>
        <w:t>IO</w:t>
      </w:r>
      <w:r>
        <w:rPr>
          <w:rFonts w:ascii="Arial" w:cs="Arial" w:eastAsia="Arial" w:hAnsi="Arial"/>
          <w:sz w:val="20"/>
          <w:szCs w:val="20"/>
          <w:color w:val="auto"/>
        </w:rPr>
        <w:t xml:space="preserve"> LLC,</w:t>
      </w:r>
    </w:p>
    <w:p>
      <w:pPr>
        <w:ind w:left="3760"/>
        <w:spacing w:after="0" w:line="233" w:lineRule="auto"/>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20 S</w:t>
      </w:r>
      <w:r>
        <w:rPr>
          <w:rFonts w:ascii="Arial" w:cs="Arial" w:eastAsia="Arial" w:hAnsi="Arial"/>
          <w:sz w:val="13"/>
          <w:szCs w:val="13"/>
          <w:color w:val="auto"/>
        </w:rPr>
        <w:t>EGUIN</w:t>
      </w:r>
      <w:r>
        <w:rPr>
          <w:rFonts w:ascii="Arial" w:cs="Arial" w:eastAsia="Arial" w:hAnsi="Arial"/>
          <w:sz w:val="20"/>
          <w:szCs w:val="20"/>
          <w:color w:val="auto"/>
        </w:rPr>
        <w:t xml:space="preserve"> LLC,</w:t>
      </w:r>
    </w:p>
    <w:p>
      <w:pPr>
        <w:ind w:left="3760"/>
        <w:spacing w:after="0"/>
        <w:rPr>
          <w:sz w:val="20"/>
          <w:szCs w:val="20"/>
          <w:color w:val="auto"/>
        </w:rPr>
      </w:pPr>
      <w:r>
        <w:rPr>
          <w:rFonts w:ascii="Arial" w:cs="Arial" w:eastAsia="Arial" w:hAnsi="Arial"/>
          <w:sz w:val="20"/>
          <w:szCs w:val="20"/>
          <w:color w:val="auto"/>
        </w:rPr>
        <w:t>P</w:t>
      </w:r>
      <w:r>
        <w:rPr>
          <w:rFonts w:ascii="Arial" w:cs="Arial" w:eastAsia="Arial" w:hAnsi="Arial"/>
          <w:sz w:val="13"/>
          <w:szCs w:val="13"/>
          <w:color w:val="auto"/>
        </w:rPr>
        <w:t>INE</w:t>
      </w:r>
      <w:r>
        <w:rPr>
          <w:rFonts w:ascii="Arial" w:cs="Arial" w:eastAsia="Arial" w:hAnsi="Arial"/>
          <w:sz w:val="20"/>
          <w:szCs w:val="20"/>
          <w:color w:val="auto"/>
        </w:rPr>
        <w:t>21 A</w:t>
      </w:r>
      <w:r>
        <w:rPr>
          <w:rFonts w:ascii="Arial" w:cs="Arial" w:eastAsia="Arial" w:hAnsi="Arial"/>
          <w:sz w:val="13"/>
          <w:szCs w:val="13"/>
          <w:color w:val="auto"/>
        </w:rPr>
        <w:t>CQUISITIONS</w:t>
      </w:r>
      <w:r>
        <w:rPr>
          <w:rFonts w:ascii="Arial" w:cs="Arial" w:eastAsia="Arial" w:hAnsi="Arial"/>
          <w:sz w:val="20"/>
          <w:szCs w:val="20"/>
          <w:color w:val="auto"/>
        </w:rPr>
        <w:t xml:space="preserve"> IV LLC</w:t>
      </w:r>
    </w:p>
    <w:p>
      <w:pPr>
        <w:spacing w:after="0" w:line="212" w:lineRule="exact"/>
        <w:rPr>
          <w:sz w:val="20"/>
          <w:szCs w:val="20"/>
          <w:color w:val="auto"/>
        </w:rPr>
      </w:pPr>
    </w:p>
    <w:p>
      <w:pPr>
        <w:ind w:left="3760"/>
        <w:spacing w:after="0"/>
        <w:tabs>
          <w:tab w:leader="none" w:pos="4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Alpine Income Property OP, LP,</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 Delaware limited partnership, its Manager</w:t>
      </w:r>
    </w:p>
    <w:p>
      <w:pPr>
        <w:spacing w:after="0" w:line="175" w:lineRule="exact"/>
        <w:rPr>
          <w:sz w:val="20"/>
          <w:szCs w:val="20"/>
          <w:color w:val="auto"/>
        </w:rPr>
      </w:pPr>
    </w:p>
    <w:p>
      <w:pPr>
        <w:jc w:val="right"/>
        <w:ind w:right="699"/>
        <w:spacing w:after="0"/>
        <w:tabs>
          <w:tab w:leader="none" w:pos="40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GP, LLC, a Delaware</w:t>
      </w:r>
    </w:p>
    <w:p>
      <w:pPr>
        <w:spacing w:after="0" w:line="9"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limited liability company, its General Partner,</w:t>
      </w:r>
    </w:p>
    <w:p>
      <w:pPr>
        <w:spacing w:after="0" w:line="175"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Alpine Income Property Trust, Inc., a</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Maryland corporation, its sole member</w:t>
      </w:r>
    </w:p>
    <w:p>
      <w:pPr>
        <w:spacing w:after="0" w:line="200" w:lineRule="exact"/>
        <w:rPr>
          <w:sz w:val="20"/>
          <w:szCs w:val="20"/>
          <w:color w:val="auto"/>
        </w:rPr>
      </w:pPr>
    </w:p>
    <w:p>
      <w:pPr>
        <w:spacing w:after="0" w:line="309" w:lineRule="exact"/>
        <w:rPr>
          <w:sz w:val="20"/>
          <w:szCs w:val="20"/>
          <w:color w:val="auto"/>
        </w:rPr>
      </w:pPr>
    </w:p>
    <w:p>
      <w:pPr>
        <w:ind w:left="510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-15240</wp:posOffset>
            </wp:positionV>
            <wp:extent cx="1641475"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1641475" cy="762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Name: Matthew M. Partridge</w:t>
      </w:r>
    </w:p>
    <w:p>
      <w:pPr>
        <w:ind w:left="5540"/>
        <w:spacing w:after="0"/>
        <w:tabs>
          <w:tab w:leader="none" w:pos="61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 Chief</w:t>
      </w:r>
    </w:p>
    <w:p>
      <w:pPr>
        <w:jc w:val="right"/>
        <w:ind w:right="339"/>
        <w:spacing w:after="0" w:line="232" w:lineRule="auto"/>
        <w:rPr>
          <w:sz w:val="20"/>
          <w:szCs w:val="20"/>
          <w:color w:val="auto"/>
        </w:rPr>
      </w:pPr>
      <w:r>
        <w:rPr>
          <w:rFonts w:ascii="Arial" w:cs="Arial" w:eastAsia="Arial" w:hAnsi="Arial"/>
          <w:sz w:val="20"/>
          <w:szCs w:val="20"/>
          <w:color w:val="auto"/>
        </w:rPr>
        <w:t>Financial Officer, and Treasurer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50" w:name="page151"/>
    <w:bookmarkEnd w:id="150"/>
    <w:p>
      <w:pPr>
        <w:ind w:left="382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w:t>
      </w:r>
      <w:r>
        <w:rPr>
          <w:rFonts w:ascii="Arial" w:cs="Arial" w:eastAsia="Arial" w:hAnsi="Arial"/>
          <w:sz w:val="13"/>
          <w:szCs w:val="13"/>
          <w:b w:val="1"/>
          <w:bCs w:val="1"/>
          <w:i w:val="1"/>
          <w:iCs w:val="1"/>
          <w:color w:val="auto"/>
        </w:rPr>
        <w:t>DMINISTRATIVE</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A</w:t>
      </w:r>
      <w:r>
        <w:rPr>
          <w:rFonts w:ascii="Arial" w:cs="Arial" w:eastAsia="Arial" w:hAnsi="Arial"/>
          <w:sz w:val="13"/>
          <w:szCs w:val="13"/>
          <w:b w:val="1"/>
          <w:bCs w:val="1"/>
          <w:i w:val="1"/>
          <w:iCs w:val="1"/>
          <w:color w:val="auto"/>
        </w:rPr>
        <w:t>GENT</w:t>
      </w:r>
      <w:r>
        <w:rPr>
          <w:rFonts w:ascii="Arial" w:cs="Arial" w:eastAsia="Arial" w:hAnsi="Arial"/>
          <w:sz w:val="20"/>
          <w:szCs w:val="20"/>
          <w:i w:val="1"/>
          <w:iCs w:val="1"/>
          <w:color w:val="auto"/>
        </w:rPr>
        <w:t>”</w:t>
      </w:r>
    </w:p>
    <w:p>
      <w:pPr>
        <w:spacing w:after="0" w:line="228"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9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/s/ Thomas Z.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-15240</wp:posOffset>
            </wp:positionV>
            <wp:extent cx="245872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5">
                      <a:extLst>
                        <a:ext uri="{28A0092B-C50C-407E-A947-70E740481C1C}"/>
                      </a:extLst>
                    </a:blip>
                    <a:srcRect/>
                    <a:stretch>
                      <a:fillRect/>
                    </a:stretch>
                  </pic:blipFill>
                  <pic:spPr bwMode="auto">
                    <a:xfrm>
                      <a:off x="0" y="0"/>
                      <a:ext cx="2458720"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Thomas Z. Schmitt</w:t>
      </w:r>
    </w:p>
    <w:p>
      <w:pPr>
        <w:ind w:left="3760"/>
        <w:spacing w:after="0"/>
        <w:rPr>
          <w:sz w:val="20"/>
          <w:szCs w:val="20"/>
          <w:color w:val="auto"/>
        </w:rPr>
      </w:pPr>
      <w:r>
        <w:rPr>
          <w:rFonts w:ascii="Arial" w:cs="Arial" w:eastAsia="Arial" w:hAnsi="Arial"/>
          <w:sz w:val="20"/>
          <w:szCs w:val="20"/>
          <w:color w:val="auto"/>
        </w:rPr>
        <w:t>Title:  Vice President</w:t>
      </w:r>
    </w:p>
    <w:p>
      <w:pPr>
        <w:spacing w:after="0" w:line="311" w:lineRule="exact"/>
        <w:rPr>
          <w:sz w:val="20"/>
          <w:szCs w:val="20"/>
          <w:color w:val="auto"/>
        </w:rPr>
      </w:pPr>
    </w:p>
    <w:p>
      <w:pPr>
        <w:ind w:left="37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L</w:t>
      </w:r>
      <w:r>
        <w:rPr>
          <w:rFonts w:ascii="Arial" w:cs="Arial" w:eastAsia="Arial" w:hAnsi="Arial"/>
          <w:sz w:val="13"/>
          <w:szCs w:val="13"/>
          <w:b w:val="1"/>
          <w:bCs w:val="1"/>
          <w:i w:val="1"/>
          <w:iCs w:val="1"/>
          <w:color w:val="auto"/>
        </w:rPr>
        <w:t>ENDERS</w:t>
      </w:r>
      <w:r>
        <w:rPr>
          <w:rFonts w:ascii="Arial" w:cs="Arial" w:eastAsia="Arial" w:hAnsi="Arial"/>
          <w:sz w:val="20"/>
          <w:szCs w:val="20"/>
          <w:i w:val="1"/>
          <w:iCs w:val="1"/>
          <w:color w:val="auto"/>
        </w:rPr>
        <w:t>”</w:t>
      </w:r>
    </w:p>
    <w:p>
      <w:pPr>
        <w:spacing w:after="0" w:line="228"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4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Thomas Z.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3720465</wp:posOffset>
            </wp:positionH>
            <wp:positionV relativeFrom="paragraph">
              <wp:posOffset>-38735</wp:posOffset>
            </wp:positionV>
            <wp:extent cx="1312545"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6">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Thomas Z. Schmitt</w:t>
      </w:r>
    </w:p>
    <w:p>
      <w:pPr>
        <w:ind w:left="37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51" w:name="page152"/>
    <w:bookmarkEnd w:id="151"/>
    <w:p>
      <w:pPr>
        <w:ind w:left="3760"/>
        <w:spacing w:after="0"/>
        <w:rPr>
          <w:sz w:val="20"/>
          <w:szCs w:val="20"/>
          <w:color w:val="auto"/>
        </w:rPr>
      </w:pPr>
      <w:r>
        <w:rPr>
          <w:rFonts w:ascii="Arial" w:cs="Arial" w:eastAsia="Arial" w:hAnsi="Arial"/>
          <w:sz w:val="19"/>
          <w:szCs w:val="19"/>
          <w:color w:val="auto"/>
        </w:rPr>
        <w:t>U.S. BANK NATIONAL ASSOCIATION,</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Lori 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-38735</wp:posOffset>
            </wp:positionV>
            <wp:extent cx="154051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8">
                      <a:extLst>
                        <a:ext uri="{28A0092B-C50C-407E-A947-70E740481C1C}"/>
                      </a:extLst>
                    </a:blip>
                    <a:srcRect/>
                    <a:stretch>
                      <a:fillRect/>
                    </a:stretch>
                  </pic:blipFill>
                  <pic:spPr bwMode="auto">
                    <a:xfrm>
                      <a:off x="0" y="0"/>
                      <a:ext cx="1540510"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Lori Y. Jensen</w:t>
      </w:r>
    </w:p>
    <w:p>
      <w:pPr>
        <w:ind w:left="37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9">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52" w:name="page153"/>
    <w:bookmarkEnd w:id="152"/>
    <w:p>
      <w:pPr>
        <w:ind w:left="3760"/>
        <w:spacing w:after="0"/>
        <w:rPr>
          <w:sz w:val="20"/>
          <w:szCs w:val="20"/>
          <w:color w:val="auto"/>
        </w:rPr>
      </w:pPr>
      <w:r>
        <w:rPr>
          <w:rFonts w:ascii="Arial" w:cs="Arial" w:eastAsia="Arial" w:hAnsi="Arial"/>
          <w:sz w:val="20"/>
          <w:szCs w:val="20"/>
          <w:color w:val="auto"/>
        </w:rPr>
        <w:t>RAYMOND JAMES BANK,</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Ted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-38735</wp:posOffset>
            </wp:positionV>
            <wp:extent cx="1783715"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0">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Ted Long</w:t>
      </w:r>
    </w:p>
    <w:p>
      <w:pPr>
        <w:ind w:left="37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1">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4" w:right="1440" w:bottom="1440" w:gutter="0" w:footer="0" w:header="0"/>
        </w:sectPr>
      </w:pPr>
    </w:p>
    <w:bookmarkStart w:id="153" w:name="page154"/>
    <w:bookmarkEnd w:id="153"/>
    <w:p>
      <w:pPr>
        <w:ind w:left="3760"/>
        <w:spacing w:after="0"/>
        <w:rPr>
          <w:sz w:val="20"/>
          <w:szCs w:val="20"/>
          <w:color w:val="auto"/>
        </w:rPr>
      </w:pPr>
      <w:r>
        <w:rPr>
          <w:rFonts w:ascii="Arial" w:cs="Arial" w:eastAsia="Arial" w:hAnsi="Arial"/>
          <w:sz w:val="19"/>
          <w:szCs w:val="19"/>
          <w:color w:val="auto"/>
        </w:rPr>
        <w:t>THE HUNTINGTON NATIONAL BANK,</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-38735</wp:posOffset>
            </wp:positionV>
            <wp:extent cx="1768475"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2">
                      <a:extLst>
                        <a:ext uri="{28A0092B-C50C-407E-A947-70E740481C1C}"/>
                      </a:extLst>
                    </a:blip>
                    <a:srcRect/>
                    <a:stretch>
                      <a:fillRect/>
                    </a:stretch>
                  </pic:blipFill>
                  <pic:spPr bwMode="auto">
                    <a:xfrm>
                      <a:off x="0" y="0"/>
                      <a:ext cx="1768475"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Joe White</w:t>
      </w:r>
    </w:p>
    <w:p>
      <w:pPr>
        <w:ind w:left="37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3">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54" w:name="page155"/>
    <w:bookmarkEnd w:id="154"/>
    <w:p>
      <w:pPr>
        <w:ind w:left="3760"/>
        <w:spacing w:after="0"/>
        <w:rPr>
          <w:sz w:val="20"/>
          <w:szCs w:val="20"/>
          <w:color w:val="auto"/>
        </w:rPr>
      </w:pPr>
      <w:r>
        <w:rPr>
          <w:rFonts w:ascii="Arial" w:cs="Arial" w:eastAsia="Arial" w:hAnsi="Arial"/>
          <w:sz w:val="20"/>
          <w:szCs w:val="20"/>
          <w:color w:val="auto"/>
        </w:rPr>
        <w:t>REGIONS BANK,</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Ghi S. Gavin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-38735</wp:posOffset>
            </wp:positionV>
            <wp:extent cx="161925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4">
                      <a:extLst>
                        <a:ext uri="{28A0092B-C50C-407E-A947-70E740481C1C}"/>
                      </a:extLst>
                    </a:blip>
                    <a:srcRect/>
                    <a:stretch>
                      <a:fillRect/>
                    </a:stretch>
                  </pic:blipFill>
                  <pic:spPr bwMode="auto">
                    <a:xfrm>
                      <a:off x="0" y="0"/>
                      <a:ext cx="1619250"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Ghi S. Gavin</w:t>
      </w:r>
    </w:p>
    <w:p>
      <w:pPr>
        <w:ind w:left="376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5">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55" w:name="page156"/>
    <w:bookmarkEnd w:id="155"/>
    <w:p>
      <w:pPr>
        <w:ind w:left="3760"/>
        <w:spacing w:after="0"/>
        <w:rPr>
          <w:sz w:val="20"/>
          <w:szCs w:val="20"/>
          <w:color w:val="auto"/>
        </w:rPr>
      </w:pPr>
      <w:r>
        <w:rPr>
          <w:rFonts w:ascii="Arial" w:cs="Arial" w:eastAsia="Arial" w:hAnsi="Arial"/>
          <w:sz w:val="20"/>
          <w:szCs w:val="20"/>
          <w:color w:val="auto"/>
        </w:rPr>
        <w:t>BANK OF MONTREAL,</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37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/s/ Gwendolyn 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-15240</wp:posOffset>
            </wp:positionV>
            <wp:extent cx="1036955"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6">
                      <a:extLst>
                        <a:ext uri="{28A0092B-C50C-407E-A947-70E740481C1C}"/>
                      </a:extLst>
                    </a:blip>
                    <a:srcRect/>
                    <a:stretch>
                      <a:fillRect/>
                    </a:stretch>
                  </pic:blipFill>
                  <pic:spPr bwMode="auto">
                    <a:xfrm>
                      <a:off x="0" y="0"/>
                      <a:ext cx="1036955" cy="7620"/>
                    </a:xfrm>
                    <a:prstGeom prst="rect">
                      <a:avLst/>
                    </a:prstGeom>
                    <a:noFill/>
                  </pic:spPr>
                </pic:pic>
              </a:graphicData>
            </a:graphic>
          </wp:anchor>
        </w:drawing>
        <w:drawing>
          <wp:anchor simplePos="0" relativeHeight="251657728" behindDoc="1" locked="0" layoutInCell="0" allowOverlap="1">
            <wp:simplePos x="0" y="0"/>
            <wp:positionH relativeFrom="column">
              <wp:posOffset>3610610</wp:posOffset>
            </wp:positionH>
            <wp:positionV relativeFrom="paragraph">
              <wp:posOffset>-38735</wp:posOffset>
            </wp:positionV>
            <wp:extent cx="142240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7">
                      <a:extLst>
                        <a:ext uri="{28A0092B-C50C-407E-A947-70E740481C1C}"/>
                      </a:extLst>
                    </a:blip>
                    <a:srcRect/>
                    <a:stretch>
                      <a:fillRect/>
                    </a:stretch>
                  </pic:blipFill>
                  <pic:spPr bwMode="auto">
                    <a:xfrm>
                      <a:off x="0" y="0"/>
                      <a:ext cx="1422400" cy="762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0"/>
          <w:szCs w:val="20"/>
          <w:color w:val="auto"/>
        </w:rPr>
        <w:t>Name: Gwendolyn Gatz</w:t>
      </w:r>
    </w:p>
    <w:p>
      <w:pPr>
        <w:ind w:left="37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w:t>
      </w:r>
      <w:r>
        <w:rPr>
          <w:rFonts w:ascii="Arial" w:cs="Arial" w:eastAsia="Arial" w:hAnsi="Arial"/>
          <w:sz w:val="9"/>
          <w:szCs w:val="9"/>
          <w:color w:val="auto"/>
        </w:rPr>
        <w:t>IGNATURE</w:t>
      </w:r>
      <w:r>
        <w:rPr>
          <w:rFonts w:ascii="Arial" w:cs="Arial" w:eastAsia="Arial" w:hAnsi="Arial"/>
          <w:sz w:val="15"/>
          <w:szCs w:val="15"/>
          <w:color w:val="auto"/>
        </w:rPr>
        <w:t xml:space="preserve"> P</w:t>
      </w:r>
      <w:r>
        <w:rPr>
          <w:rFonts w:ascii="Arial" w:cs="Arial" w:eastAsia="Arial" w:hAnsi="Arial"/>
          <w:sz w:val="9"/>
          <w:szCs w:val="9"/>
          <w:color w:val="auto"/>
        </w:rPr>
        <w:t>AGE TO</w:t>
      </w:r>
      <w:r>
        <w:rPr>
          <w:rFonts w:ascii="Arial" w:cs="Arial" w:eastAsia="Arial" w:hAnsi="Arial"/>
          <w:sz w:val="15"/>
          <w:szCs w:val="15"/>
          <w:color w:val="auto"/>
        </w:rPr>
        <w:t xml:space="preserve"> C</w:t>
      </w:r>
      <w:r>
        <w:rPr>
          <w:rFonts w:ascii="Arial" w:cs="Arial" w:eastAsia="Arial" w:hAnsi="Arial"/>
          <w:sz w:val="9"/>
          <w:szCs w:val="9"/>
          <w:color w:val="auto"/>
        </w:rPr>
        <w:t>REDIT</w:t>
      </w:r>
      <w:r>
        <w:rPr>
          <w:rFonts w:ascii="Arial" w:cs="Arial" w:eastAsia="Arial" w:hAnsi="Arial"/>
          <w:sz w:val="15"/>
          <w:szCs w:val="15"/>
          <w:color w:val="auto"/>
        </w:rPr>
        <w:t xml:space="preserve"> A</w:t>
      </w:r>
      <w:r>
        <w:rPr>
          <w:rFonts w:ascii="Arial" w:cs="Arial" w:eastAsia="Arial" w:hAnsi="Arial"/>
          <w:sz w:val="9"/>
          <w:szCs w:val="9"/>
          <w:color w:val="auto"/>
        </w:rPr>
        <w:t>GREEMENT</w:t>
      </w:r>
      <w:r>
        <w:rPr>
          <w:rFonts w:ascii="Arial" w:cs="Arial" w:eastAsia="Arial" w:hAnsi="Arial"/>
          <w:sz w:val="15"/>
          <w:szCs w:val="15"/>
          <w:color w:val="auto"/>
        </w:rPr>
        <w:t>-A</w:t>
      </w:r>
      <w:r>
        <w:rPr>
          <w:rFonts w:ascii="Arial" w:cs="Arial" w:eastAsia="Arial" w:hAnsi="Arial"/>
          <w:sz w:val="9"/>
          <w:szCs w:val="9"/>
          <w:color w:val="auto"/>
        </w:rPr>
        <w:t>LPINE</w:t>
      </w:r>
      <w:r>
        <w:rPr>
          <w:rFonts w:ascii="Arial" w:cs="Arial" w:eastAsia="Arial" w:hAnsi="Arial"/>
          <w:sz w:val="15"/>
          <w:szCs w:val="15"/>
          <w:color w:val="auto"/>
        </w:rPr>
        <w:t xml:space="preserve"> I</w:t>
      </w:r>
      <w:r>
        <w:rPr>
          <w:rFonts w:ascii="Arial" w:cs="Arial" w:eastAsia="Arial" w:hAnsi="Arial"/>
          <w:sz w:val="9"/>
          <w:szCs w:val="9"/>
          <w:color w:val="auto"/>
        </w:rPr>
        <w:t>NCOME</w:t>
      </w:r>
      <w:r>
        <w:rPr>
          <w:rFonts w:ascii="Arial" w:cs="Arial" w:eastAsia="Arial" w:hAnsi="Arial"/>
          <w:sz w:val="15"/>
          <w:szCs w:val="15"/>
          <w:color w:val="auto"/>
        </w:rPr>
        <w:t xml:space="preserve"> P</w:t>
      </w:r>
      <w:r>
        <w:rPr>
          <w:rFonts w:ascii="Arial" w:cs="Arial" w:eastAsia="Arial" w:hAnsi="Arial"/>
          <w:sz w:val="9"/>
          <w:szCs w:val="9"/>
          <w:color w:val="auto"/>
        </w:rPr>
        <w:t>ROPERTY</w:t>
      </w:r>
      <w:r>
        <w:rPr>
          <w:rFonts w:ascii="Arial" w:cs="Arial" w:eastAsia="Arial" w:hAnsi="Arial"/>
          <w:sz w:val="15"/>
          <w:szCs w:val="15"/>
          <w:color w:val="auto"/>
        </w:rPr>
        <w:t xml:space="preserve"> OP,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8">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ectPr>
          <w:pgSz w:w="11900" w:h="16838" w:orient="portrait"/>
          <w:cols w:equalWidth="0" w:num="1">
            <w:col w:w="9019"/>
          </w:cols>
          <w:pgMar w:left="1440" w:top="832"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type w:val="continuous"/>
        </w:sectPr>
      </w:pPr>
    </w:p>
    <w:bookmarkStart w:id="157" w:name="page158"/>
    <w:bookmarkEnd w:id="157"/>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11430</wp:posOffset>
            </wp:positionV>
            <wp:extent cx="5139690" cy="14160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0">
                      <a:extLst>
                        <a:ext uri="{28A0092B-C50C-407E-A947-70E740481C1C}"/>
                      </a:extLst>
                    </a:blip>
                    <a:srcRect/>
                    <a:stretch>
                      <a:fillRect/>
                    </a:stretch>
                  </pic:blipFill>
                  <pic:spPr bwMode="auto">
                    <a:xfrm>
                      <a:off x="0" y="0"/>
                      <a:ext cx="5139690" cy="141605"/>
                    </a:xfrm>
                    <a:prstGeom prst="rect">
                      <a:avLst/>
                    </a:prstGeom>
                    <a:noFill/>
                  </pic:spPr>
                </pic:pic>
              </a:graphicData>
            </a:graphic>
          </wp:anchor>
        </w:drawing>
      </w:r>
    </w:p>
    <w:tbl>
      <w:tblPr>
        <w:tblLayout w:type="fixed"/>
        <w:tblInd w:w="6320" w:type="dxa"/>
        <w:tblCellMar>
          <w:top w:w="0" w:type="dxa"/>
          <w:left w:w="0" w:type="dxa"/>
          <w:bottom w:w="0" w:type="dxa"/>
          <w:right w:w="0" w:type="dxa"/>
        </w:tblCellMar>
      </w:tblPr>
      <w:tr>
        <w:trPr>
          <w:trHeight w:val="179"/>
        </w:trPr>
        <w:tc>
          <w:tcPr>
            <w:tcW w:w="460" w:type="dxa"/>
            <w:vAlign w:val="bottom"/>
          </w:tcPr>
          <w:p>
            <w:pPr>
              <w:spacing w:after="0" w:line="172" w:lineRule="exact"/>
              <w:rPr>
                <w:sz w:val="20"/>
                <w:szCs w:val="20"/>
                <w:color w:val="auto"/>
              </w:rPr>
            </w:pPr>
            <w:r>
              <w:rPr>
                <w:rFonts w:ascii="Arial" w:cs="Arial" w:eastAsia="Arial" w:hAnsi="Arial"/>
                <w:sz w:val="19"/>
                <w:szCs w:val="19"/>
                <w:color w:val="auto"/>
                <w:w w:val="96"/>
              </w:rPr>
              <w:t>Date:</w:t>
            </w:r>
          </w:p>
        </w:tc>
        <w:tc>
          <w:tcPr>
            <w:tcW w:w="1500" w:type="dxa"/>
            <w:vAlign w:val="bottom"/>
            <w:tcBorders>
              <w:bottom w:val="single" w:sz="8" w:color="auto"/>
            </w:tcBorders>
          </w:tcPr>
          <w:p>
            <w:pPr>
              <w:spacing w:after="0"/>
              <w:rPr>
                <w:sz w:val="15"/>
                <w:szCs w:val="15"/>
                <w:color w:val="auto"/>
              </w:rPr>
            </w:pPr>
          </w:p>
        </w:tc>
        <w:tc>
          <w:tcPr>
            <w:tcW w:w="520" w:type="dxa"/>
            <w:vAlign w:val="bottom"/>
          </w:tcPr>
          <w:p>
            <w:pPr>
              <w:jc w:val="right"/>
              <w:spacing w:after="0" w:line="172" w:lineRule="exact"/>
              <w:rPr>
                <w:sz w:val="20"/>
                <w:szCs w:val="20"/>
                <w:color w:val="auto"/>
              </w:rPr>
            </w:pPr>
            <w:r>
              <w:rPr>
                <w:rFonts w:ascii="Arial" w:cs="Arial" w:eastAsia="Arial" w:hAnsi="Arial"/>
                <w:sz w:val="19"/>
                <w:szCs w:val="19"/>
                <w:color w:val="auto"/>
                <w:w w:val="94"/>
              </w:rPr>
              <w:t>, ____</w:t>
            </w:r>
          </w:p>
        </w:tc>
      </w:tr>
    </w:tbl>
    <w:p>
      <w:pPr>
        <w:spacing w:after="0" w:line="200" w:lineRule="exact"/>
        <w:rPr>
          <w:sz w:val="20"/>
          <w:szCs w:val="20"/>
          <w:color w:val="auto"/>
        </w:rPr>
      </w:pPr>
    </w:p>
    <w:p>
      <w:pPr>
        <w:spacing w:after="0" w:line="226" w:lineRule="exact"/>
        <w:rPr>
          <w:sz w:val="20"/>
          <w:szCs w:val="20"/>
          <w:color w:val="auto"/>
        </w:rPr>
      </w:pPr>
    </w:p>
    <w:p>
      <w:pPr>
        <w:jc w:val="both"/>
        <w:ind w:left="700" w:right="219" w:hanging="499"/>
        <w:spacing w:after="0" w:line="238" w:lineRule="auto"/>
        <w:tabs>
          <w:tab w:leader="none" w:pos="680" w:val="left"/>
        </w:tabs>
        <w:rPr>
          <w:sz w:val="20"/>
          <w:szCs w:val="20"/>
          <w:color w:val="auto"/>
        </w:rPr>
      </w:pPr>
      <w:r>
        <w:rPr>
          <w:rFonts w:ascii="Arial" w:cs="Arial" w:eastAsia="Arial" w:hAnsi="Arial"/>
          <w:sz w:val="20"/>
          <w:szCs w:val="20"/>
          <w:color w:val="auto"/>
        </w:rPr>
        <w:t>To:</w:t>
        <w:tab/>
        <w:t xml:space="preserve">KeyBank National Association, as Administrative Agent for the Lenders from time to time parties to the Credit Agreement dated as of September 30, 2021 (as extended, renewed, amended or restated from time to time, the </w:t>
      </w:r>
      <w:r>
        <w:rPr>
          <w:rFonts w:ascii="Arial" w:cs="Arial" w:eastAsia="Arial" w:hAnsi="Arial"/>
          <w:sz w:val="20"/>
          <w:szCs w:val="20"/>
          <w:i w:val="1"/>
          <w:iCs w:val="1"/>
          <w:color w:val="auto"/>
        </w:rPr>
        <w:t>“Credit Agreement”</w:t>
      </w:r>
      <w:r>
        <w:rPr>
          <w:rFonts w:ascii="Arial" w:cs="Arial" w:eastAsia="Arial" w:hAnsi="Arial"/>
          <w:sz w:val="20"/>
          <w:szCs w:val="20"/>
          <w:color w:val="auto"/>
        </w:rPr>
        <w:t>), among 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 certain Guarantors which are signatories thereto, certain Lenders which are from time to time parties thereto, and the Administrative Agent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191" w:lineRule="exact"/>
        <w:rPr>
          <w:sz w:val="20"/>
          <w:szCs w:val="20"/>
          <w:color w:val="auto"/>
        </w:rPr>
      </w:pPr>
    </w:p>
    <w:p>
      <w:pPr>
        <w:jc w:val="both"/>
        <w:ind w:left="200" w:right="219" w:firstLine="594"/>
        <w:spacing w:after="0" w:line="262" w:lineRule="auto"/>
        <w:rPr>
          <w:sz w:val="20"/>
          <w:szCs w:val="20"/>
          <w:color w:val="auto"/>
        </w:rPr>
      </w:pPr>
      <w:r>
        <w:rPr>
          <w:rFonts w:ascii="Arial" w:cs="Arial" w:eastAsia="Arial" w:hAnsi="Arial"/>
          <w:sz w:val="19"/>
          <w:szCs w:val="19"/>
          <w:color w:val="auto"/>
        </w:rPr>
        <w:t xml:space="preserve">The undersigned, Alpine Income Property OP, LP (the </w:t>
      </w:r>
      <w:r>
        <w:rPr>
          <w:rFonts w:ascii="Arial" w:cs="Arial" w:eastAsia="Arial" w:hAnsi="Arial"/>
          <w:sz w:val="19"/>
          <w:szCs w:val="19"/>
          <w:i w:val="1"/>
          <w:iCs w:val="1"/>
          <w:color w:val="auto"/>
        </w:rPr>
        <w:t>“Borrower”</w:t>
      </w:r>
      <w:r>
        <w:rPr>
          <w:rFonts w:ascii="Arial" w:cs="Arial" w:eastAsia="Arial" w:hAnsi="Arial"/>
          <w:sz w:val="19"/>
          <w:szCs w:val="19"/>
          <w:color w:val="auto"/>
        </w:rPr>
        <w:t>), refers to the Credit Agreement, the terms defined therein being used herein as therein defined, and hereby gives you notice irrevocably, pursuant to Section 1.6 of the Credit Agreement, of the Borrowing specified below:</w:t>
      </w:r>
    </w:p>
    <w:p>
      <w:pPr>
        <w:spacing w:after="0" w:line="151" w:lineRule="exact"/>
        <w:rPr>
          <w:sz w:val="20"/>
          <w:szCs w:val="20"/>
          <w:color w:val="auto"/>
        </w:rPr>
      </w:pPr>
    </w:p>
    <w:p>
      <w:pPr>
        <w:ind w:left="1980" w:hanging="441"/>
        <w:spacing w:after="0"/>
        <w:tabs>
          <w:tab w:leader="none" w:pos="19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Business Day of the proposed Borrowing is ___________, ____.</w:t>
      </w:r>
    </w:p>
    <w:p>
      <w:pPr>
        <w:spacing w:after="0" w:line="190" w:lineRule="exact"/>
        <w:rPr>
          <w:rFonts w:ascii="Arial" w:cs="Arial" w:eastAsia="Arial" w:hAnsi="Arial"/>
          <w:sz w:val="20"/>
          <w:szCs w:val="20"/>
          <w:color w:val="auto"/>
        </w:rPr>
      </w:pPr>
    </w:p>
    <w:p>
      <w:pPr>
        <w:ind w:left="1980" w:hanging="441"/>
        <w:spacing w:after="0"/>
        <w:tabs>
          <w:tab w:leader="none" w:pos="19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aggregate amount of the proposed Borrowing is $______________.</w:t>
      </w:r>
    </w:p>
    <w:p>
      <w:pPr>
        <w:spacing w:after="0" w:line="190" w:lineRule="exact"/>
        <w:rPr>
          <w:rFonts w:ascii="Arial" w:cs="Arial" w:eastAsia="Arial" w:hAnsi="Arial"/>
          <w:sz w:val="20"/>
          <w:szCs w:val="20"/>
          <w:color w:val="auto"/>
        </w:rPr>
      </w:pPr>
    </w:p>
    <w:p>
      <w:pPr>
        <w:ind w:left="1980" w:hanging="441"/>
        <w:spacing w:after="0"/>
        <w:tabs>
          <w:tab w:leader="none" w:pos="19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Borrowing is being advanced as a Term Loan.</w:t>
      </w:r>
    </w:p>
    <w:p>
      <w:pPr>
        <w:spacing w:after="0" w:line="184" w:lineRule="exact"/>
        <w:rPr>
          <w:rFonts w:ascii="Arial" w:cs="Arial" w:eastAsia="Arial" w:hAnsi="Arial"/>
          <w:sz w:val="20"/>
          <w:szCs w:val="20"/>
          <w:color w:val="auto"/>
        </w:rPr>
      </w:pPr>
    </w:p>
    <w:p>
      <w:pPr>
        <w:ind w:left="1980" w:hanging="441"/>
        <w:spacing w:after="0"/>
        <w:tabs>
          <w:tab w:leader="none" w:pos="19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The Borrowing is to be comprised of $___________ of </w:t>
      </w:r>
      <w:r>
        <w:rPr>
          <w:rFonts w:ascii="Arial" w:cs="Arial" w:eastAsia="Arial" w:hAnsi="Arial"/>
          <w:sz w:val="19"/>
          <w:szCs w:val="19"/>
          <w:b w:val="1"/>
          <w:bCs w:val="1"/>
          <w:color w:val="auto"/>
        </w:rPr>
        <w:t>[Base Rate] [Eurodollar]</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Loans.</w:t>
      </w:r>
    </w:p>
    <w:p>
      <w:pPr>
        <w:spacing w:after="0" w:line="169" w:lineRule="exact"/>
        <w:rPr>
          <w:sz w:val="20"/>
          <w:szCs w:val="20"/>
          <w:color w:val="auto"/>
        </w:rPr>
      </w:pPr>
    </w:p>
    <w:p>
      <w:pPr>
        <w:ind w:left="800" w:right="219" w:firstLine="676"/>
        <w:spacing w:after="0" w:line="260" w:lineRule="auto"/>
        <w:rPr>
          <w:sz w:val="20"/>
          <w:szCs w:val="20"/>
          <w:color w:val="auto"/>
        </w:rPr>
      </w:pPr>
      <w:r>
        <w:rPr>
          <w:rFonts w:ascii="Arial" w:cs="Arial" w:eastAsia="Arial" w:hAnsi="Arial"/>
          <w:sz w:val="20"/>
          <w:szCs w:val="20"/>
          <w:b w:val="1"/>
          <w:bCs w:val="1"/>
          <w:color w:val="auto"/>
        </w:rPr>
        <w:t>[5. The duration of the Interest Period for the Eurodollar Loans included in the Borrowing shall be ____________ months.]</w:t>
      </w:r>
    </w:p>
    <w:p>
      <w:pPr>
        <w:spacing w:after="0" w:line="15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68" w:lineRule="exact"/>
        <w:rPr>
          <w:sz w:val="20"/>
          <w:szCs w:val="20"/>
          <w:color w:val="auto"/>
        </w:rPr>
      </w:pPr>
    </w:p>
    <w:p>
      <w:pPr>
        <w:jc w:val="both"/>
        <w:ind w:left="800" w:right="219" w:firstLine="667"/>
        <w:spacing w:after="0" w:line="239" w:lineRule="auto"/>
        <w:tabs>
          <w:tab w:leader="none" w:pos="1988"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1">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58" w:name="page159"/>
    <w:bookmarkEnd w:id="158"/>
    <w:p>
      <w:pPr>
        <w:ind w:left="800" w:right="219" w:firstLine="656"/>
        <w:spacing w:after="0" w:line="253" w:lineRule="auto"/>
        <w:tabs>
          <w:tab w:leader="none" w:pos="198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from such proposed Borrowing.</w:t>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00" w:lineRule="exact"/>
        <w:rPr>
          <w:sz w:val="20"/>
          <w:szCs w:val="20"/>
          <w:color w:val="auto"/>
        </w:rPr>
      </w:pPr>
    </w:p>
    <w:p>
      <w:pPr>
        <w:spacing w:after="0" w:line="30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2">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3">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4">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463550</wp:posOffset>
            </wp:positionV>
            <wp:extent cx="5461635" cy="1587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5">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OTICE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ONTINUATION</w:t>
      </w:r>
      <w:r>
        <w:rPr>
          <w:rFonts w:ascii="Arial" w:cs="Arial" w:eastAsia="Arial" w:hAnsi="Arial"/>
          <w:sz w:val="20"/>
          <w:szCs w:val="20"/>
          <w:b w:val="1"/>
          <w:bCs w:val="1"/>
          <w:color w:val="auto"/>
        </w:rPr>
        <w:t>/C</w:t>
      </w:r>
      <w:r>
        <w:rPr>
          <w:rFonts w:ascii="Arial" w:cs="Arial" w:eastAsia="Arial" w:hAnsi="Arial"/>
          <w:sz w:val="13"/>
          <w:szCs w:val="13"/>
          <w:b w:val="1"/>
          <w:bCs w:val="1"/>
          <w:color w:val="auto"/>
        </w:rPr>
        <w:t>ONVERSION</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 ____________, ____</w:t>
      </w:r>
    </w:p>
    <w:p>
      <w:pPr>
        <w:spacing w:after="0" w:line="214" w:lineRule="exact"/>
        <w:rPr>
          <w:sz w:val="20"/>
          <w:szCs w:val="20"/>
          <w:color w:val="auto"/>
        </w:rPr>
      </w:pPr>
    </w:p>
    <w:p>
      <w:pPr>
        <w:jc w:val="both"/>
        <w:ind w:left="640" w:right="219" w:hanging="450"/>
        <w:spacing w:after="0" w:line="238" w:lineRule="auto"/>
        <w:tabs>
          <w:tab w:leader="none" w:pos="620" w:val="left"/>
        </w:tabs>
        <w:rPr>
          <w:sz w:val="20"/>
          <w:szCs w:val="20"/>
          <w:color w:val="auto"/>
        </w:rPr>
      </w:pPr>
      <w:r>
        <w:rPr>
          <w:rFonts w:ascii="Arial" w:cs="Arial" w:eastAsia="Arial" w:hAnsi="Arial"/>
          <w:sz w:val="20"/>
          <w:szCs w:val="20"/>
          <w:color w:val="auto"/>
        </w:rPr>
        <w:t>To:</w:t>
        <w:tab/>
        <w:t xml:space="preserve">KeyBank National Association, as Administrative Agent for the Lenders from time to time parties to the Credit Agreement dated as of September 30, 2021 (as extended, renewed, amended or restated from time to time, the </w:t>
      </w:r>
      <w:r>
        <w:rPr>
          <w:rFonts w:ascii="Arial" w:cs="Arial" w:eastAsia="Arial" w:hAnsi="Arial"/>
          <w:sz w:val="20"/>
          <w:szCs w:val="20"/>
          <w:i w:val="1"/>
          <w:iCs w:val="1"/>
          <w:color w:val="auto"/>
        </w:rPr>
        <w:t>“Credit Agreement”</w:t>
      </w:r>
      <w:r>
        <w:rPr>
          <w:rFonts w:ascii="Arial" w:cs="Arial" w:eastAsia="Arial" w:hAnsi="Arial"/>
          <w:sz w:val="20"/>
          <w:szCs w:val="20"/>
          <w:color w:val="auto"/>
        </w:rPr>
        <w:t>) among Alpine Income Property OP, LP, certain Guarantors which are from time to time signatories thereto, certain Lenders which are from time to time parties thereto, and the Administrative Agent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191"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 xml:space="preserve">The undersigned, Alpine Income Property OP, LP (the </w:t>
      </w:r>
      <w:r>
        <w:rPr>
          <w:rFonts w:ascii="Arial" w:cs="Arial" w:eastAsia="Arial" w:hAnsi="Arial"/>
          <w:sz w:val="20"/>
          <w:szCs w:val="20"/>
          <w:i w:val="1"/>
          <w:iCs w:val="1"/>
          <w:color w:val="auto"/>
        </w:rPr>
        <w:t>“Borrower”</w:t>
      </w:r>
      <w:r>
        <w:rPr>
          <w:rFonts w:ascii="Arial" w:cs="Arial" w:eastAsia="Arial" w:hAnsi="Arial"/>
          <w:sz w:val="20"/>
          <w:szCs w:val="20"/>
          <w:color w:val="auto"/>
        </w:rPr>
        <w:t xml:space="preserve">), refers to the Credit Agreement, the terms defined therein being used herein as therein defined, and hereby gives you notice irrevocably, pursuant to Section 1.6 of the Credit Agreement, of the </w:t>
      </w:r>
      <w:r>
        <w:rPr>
          <w:rFonts w:ascii="Arial" w:cs="Arial" w:eastAsia="Arial" w:hAnsi="Arial"/>
          <w:sz w:val="20"/>
          <w:szCs w:val="20"/>
          <w:b w:val="1"/>
          <w:bCs w:val="1"/>
          <w:color w:val="auto"/>
        </w:rPr>
        <w:t>[conversion] [continuation]</w:t>
      </w:r>
      <w:r>
        <w:rPr>
          <w:rFonts w:ascii="Arial" w:cs="Arial" w:eastAsia="Arial" w:hAnsi="Arial"/>
          <w:sz w:val="20"/>
          <w:szCs w:val="20"/>
          <w:color w:val="auto"/>
        </w:rPr>
        <w:t xml:space="preserve"> of the Loans specified herein, that:</w:t>
      </w:r>
    </w:p>
    <w:p>
      <w:pPr>
        <w:spacing w:after="0" w:line="173" w:lineRule="exact"/>
        <w:rPr>
          <w:sz w:val="20"/>
          <w:szCs w:val="20"/>
          <w:color w:val="auto"/>
        </w:rPr>
      </w:pPr>
    </w:p>
    <w:p>
      <w:pPr>
        <w:ind w:left="1980" w:hanging="441"/>
        <w:spacing w:after="0"/>
        <w:tabs>
          <w:tab w:leader="none" w:pos="19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conversion/continuation Date is __________, ____.</w:t>
      </w:r>
    </w:p>
    <w:p>
      <w:pPr>
        <w:spacing w:after="0" w:line="184" w:lineRule="exact"/>
        <w:rPr>
          <w:rFonts w:ascii="Arial" w:cs="Arial" w:eastAsia="Arial" w:hAnsi="Arial"/>
          <w:sz w:val="20"/>
          <w:szCs w:val="20"/>
          <w:color w:val="auto"/>
        </w:rPr>
      </w:pPr>
    </w:p>
    <w:p>
      <w:pPr>
        <w:ind w:left="800" w:right="219" w:firstLine="739"/>
        <w:spacing w:after="0" w:line="260" w:lineRule="auto"/>
        <w:tabs>
          <w:tab w:leader="none" w:pos="1988"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The aggregate amount of the Term Loans to be </w:t>
      </w:r>
      <w:r>
        <w:rPr>
          <w:rFonts w:ascii="Arial" w:cs="Arial" w:eastAsia="Arial" w:hAnsi="Arial"/>
          <w:sz w:val="20"/>
          <w:szCs w:val="20"/>
          <w:b w:val="1"/>
          <w:bCs w:val="1"/>
          <w:color w:val="auto"/>
        </w:rPr>
        <w:t>[converted] [continued]</w:t>
      </w:r>
      <w:r>
        <w:rPr>
          <w:rFonts w:ascii="Arial" w:cs="Arial" w:eastAsia="Arial" w:hAnsi="Arial"/>
          <w:sz w:val="20"/>
          <w:szCs w:val="20"/>
          <w:color w:val="auto"/>
        </w:rPr>
        <w:t xml:space="preserve"> is $______________.</w:t>
      </w:r>
    </w:p>
    <w:p>
      <w:pPr>
        <w:spacing w:after="0" w:line="145" w:lineRule="exact"/>
        <w:rPr>
          <w:rFonts w:ascii="Arial" w:cs="Arial" w:eastAsia="Arial" w:hAnsi="Arial"/>
          <w:sz w:val="20"/>
          <w:szCs w:val="20"/>
          <w:color w:val="auto"/>
        </w:rPr>
      </w:pPr>
    </w:p>
    <w:p>
      <w:pPr>
        <w:ind w:left="1980" w:hanging="441"/>
        <w:spacing w:after="0"/>
        <w:tabs>
          <w:tab w:leader="none" w:pos="19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Term Loans are to be </w:t>
      </w:r>
      <w:r>
        <w:rPr>
          <w:rFonts w:ascii="Arial" w:cs="Arial" w:eastAsia="Arial" w:hAnsi="Arial"/>
          <w:sz w:val="17"/>
          <w:szCs w:val="17"/>
          <w:b w:val="1"/>
          <w:bCs w:val="1"/>
          <w:color w:val="auto"/>
        </w:rPr>
        <w:t>[converted into] [continued as] [Eurodollar] [Base Rate]</w:t>
      </w:r>
    </w:p>
    <w:p>
      <w:pPr>
        <w:spacing w:after="0" w:line="49"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20"/>
          <w:szCs w:val="20"/>
          <w:color w:val="auto"/>
        </w:rPr>
        <w:t>Loans.</w:t>
      </w:r>
    </w:p>
    <w:p>
      <w:pPr>
        <w:spacing w:after="0" w:line="168" w:lineRule="exact"/>
        <w:rPr>
          <w:rFonts w:ascii="Arial" w:cs="Arial" w:eastAsia="Arial" w:hAnsi="Arial"/>
          <w:sz w:val="17"/>
          <w:szCs w:val="17"/>
          <w:color w:val="auto"/>
        </w:rPr>
      </w:pPr>
    </w:p>
    <w:p>
      <w:pPr>
        <w:ind w:left="800" w:right="219" w:firstLine="739"/>
        <w:spacing w:after="0" w:line="260" w:lineRule="auto"/>
        <w:tabs>
          <w:tab w:leader="none" w:pos="1988" w:val="left"/>
        </w:tabs>
        <w:numPr>
          <w:ilvl w:val="0"/>
          <w:numId w:val="146"/>
        </w:numPr>
        <w:rPr>
          <w:rFonts w:ascii="Arial" w:cs="Arial" w:eastAsia="Arial" w:hAnsi="Arial"/>
          <w:sz w:val="20"/>
          <w:szCs w:val="20"/>
          <w:color w:val="auto"/>
        </w:rPr>
      </w:pPr>
      <w:r>
        <w:rPr>
          <w:rFonts w:ascii="Arial" w:cs="Arial" w:eastAsia="Arial" w:hAnsi="Arial"/>
          <w:sz w:val="20"/>
          <w:szCs w:val="20"/>
          <w:b w:val="1"/>
          <w:bCs w:val="1"/>
          <w:color w:val="auto"/>
        </w:rPr>
        <w:t xml:space="preserve">[If applicable:] </w:t>
      </w:r>
      <w:r>
        <w:rPr>
          <w:rFonts w:ascii="Arial" w:cs="Arial" w:eastAsia="Arial" w:hAnsi="Arial"/>
          <w:sz w:val="20"/>
          <w:szCs w:val="20"/>
          <w:color w:val="auto"/>
        </w:rPr>
        <w:t>The duration of the Interest Period for the Term Loans included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w:t>
      </w:r>
      <w:r>
        <w:rPr>
          <w:rFonts w:ascii="Arial" w:cs="Arial" w:eastAsia="Arial" w:hAnsi="Arial"/>
          <w:sz w:val="20"/>
          <w:szCs w:val="20"/>
          <w:b w:val="1"/>
          <w:bCs w:val="1"/>
          <w:color w:val="auto"/>
        </w:rPr>
        <w:t>[conversion] [continuation]</w:t>
      </w:r>
      <w:r>
        <w:rPr>
          <w:rFonts w:ascii="Arial" w:cs="Arial" w:eastAsia="Arial" w:hAnsi="Arial"/>
          <w:sz w:val="20"/>
          <w:szCs w:val="20"/>
          <w:color w:val="auto"/>
        </w:rPr>
        <w:t xml:space="preserve"> shall be _________ months.</w:t>
      </w:r>
    </w:p>
    <w:p>
      <w:pPr>
        <w:spacing w:after="0" w:line="151"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The undersigned hereby certifies that the following statements are true on the date hereof, and will be true on the proposed conversion/continuation date, before and after giving effect thereto and to the application of the proceeds therefrom:</w:t>
      </w:r>
    </w:p>
    <w:p>
      <w:pPr>
        <w:spacing w:after="0" w:line="168" w:lineRule="exact"/>
        <w:rPr>
          <w:sz w:val="20"/>
          <w:szCs w:val="20"/>
          <w:color w:val="auto"/>
        </w:rPr>
      </w:pPr>
    </w:p>
    <w:p>
      <w:pPr>
        <w:jc w:val="both"/>
        <w:ind w:left="800" w:right="219" w:firstLine="667"/>
        <w:spacing w:after="0" w:line="238" w:lineRule="auto"/>
        <w:tabs>
          <w:tab w:leader="none" w:pos="198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this condition shall not apply to the conversion of an outstanding Eurodollar Loan to a Base Rate Loan; and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60" w:name="page161"/>
    <w:bookmarkEnd w:id="160"/>
    <w:p>
      <w:pPr>
        <w:ind w:left="800" w:right="219" w:firstLine="656"/>
        <w:spacing w:after="0" w:line="253" w:lineRule="auto"/>
        <w:tabs>
          <w:tab w:leader="none" w:pos="198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no Default or Event of Default has occurred and is continuing, or would result from such proposed </w:t>
      </w:r>
      <w:r>
        <w:rPr>
          <w:rFonts w:ascii="Arial" w:cs="Arial" w:eastAsia="Arial" w:hAnsi="Arial"/>
          <w:sz w:val="20"/>
          <w:szCs w:val="20"/>
          <w:b w:val="1"/>
          <w:bCs w:val="1"/>
          <w:color w:val="auto"/>
        </w:rPr>
        <w:t>[conversion] [continuation]</w:t>
      </w:r>
      <w:r>
        <w:rPr>
          <w:rFonts w:ascii="Arial" w:cs="Arial" w:eastAsia="Arial" w:hAnsi="Arial"/>
          <w:sz w:val="20"/>
          <w:szCs w:val="20"/>
          <w:color w:val="auto"/>
        </w:rPr>
        <w:t>.</w:t>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00" w:lineRule="exact"/>
        <w:rPr>
          <w:sz w:val="20"/>
          <w:szCs w:val="20"/>
          <w:color w:val="auto"/>
        </w:rPr>
      </w:pPr>
    </w:p>
    <w:p>
      <w:pPr>
        <w:spacing w:after="0" w:line="30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7">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8">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9">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0">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OTE</w:t>
      </w:r>
    </w:p>
    <w:p>
      <w:pPr>
        <w:sectPr>
          <w:pgSz w:w="11900" w:h="16838" w:orient="portrait"/>
          <w:cols w:equalWidth="0" w:num="1">
            <w:col w:w="9019"/>
          </w:cols>
          <w:pgMar w:left="1440" w:top="832" w:right="1440" w:bottom="1440" w:gutter="0" w:footer="0" w:header="0"/>
        </w:sectPr>
      </w:pPr>
    </w:p>
    <w:p>
      <w:pPr>
        <w:spacing w:after="0" w:line="2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 $_______________</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_____________, 20___</w:t>
      </w:r>
    </w:p>
    <w:p>
      <w:pPr>
        <w:spacing w:after="0" w:line="198" w:lineRule="exact"/>
        <w:rPr>
          <w:sz w:val="20"/>
          <w:szCs w:val="20"/>
          <w:color w:val="auto"/>
        </w:rPr>
      </w:pPr>
    </w:p>
    <w:p>
      <w:pPr>
        <w:sectPr>
          <w:pgSz w:w="11900" w:h="16838" w:orient="portrait"/>
          <w:cols w:equalWidth="0" w:num="2">
            <w:col w:w="6200" w:space="720"/>
            <w:col w:w="2099"/>
          </w:cols>
          <w:pgMar w:left="1440" w:top="832" w:right="1440" w:bottom="1440" w:gutter="0" w:footer="0" w:header="0"/>
          <w:type w:val="continuous"/>
        </w:sectPr>
      </w:pPr>
    </w:p>
    <w:p>
      <w:pPr>
        <w:jc w:val="both"/>
        <w:ind w:left="200" w:right="219" w:firstLine="594"/>
        <w:spacing w:after="0" w:line="253" w:lineRule="auto"/>
        <w:rPr>
          <w:sz w:val="20"/>
          <w:szCs w:val="20"/>
          <w:color w:val="auto"/>
        </w:rPr>
      </w:pPr>
      <w:r>
        <w:rPr>
          <w:rFonts w:ascii="Arial" w:cs="Arial" w:eastAsia="Arial" w:hAnsi="Arial"/>
          <w:sz w:val="19"/>
          <w:szCs w:val="19"/>
          <w:color w:val="auto"/>
        </w:rPr>
        <w:t>F</w:t>
      </w:r>
      <w:r>
        <w:rPr>
          <w:rFonts w:ascii="Arial" w:cs="Arial" w:eastAsia="Arial" w:hAnsi="Arial"/>
          <w:sz w:val="12"/>
          <w:szCs w:val="12"/>
          <w:color w:val="auto"/>
        </w:rPr>
        <w:t>OR</w:t>
      </w:r>
      <w:r>
        <w:rPr>
          <w:rFonts w:ascii="Arial" w:cs="Arial" w:eastAsia="Arial" w:hAnsi="Arial"/>
          <w:sz w:val="19"/>
          <w:szCs w:val="19"/>
          <w:color w:val="auto"/>
        </w:rPr>
        <w:t xml:space="preserve"> V</w:t>
      </w:r>
      <w:r>
        <w:rPr>
          <w:rFonts w:ascii="Arial" w:cs="Arial" w:eastAsia="Arial" w:hAnsi="Arial"/>
          <w:sz w:val="12"/>
          <w:szCs w:val="12"/>
          <w:color w:val="auto"/>
        </w:rPr>
        <w:t>ALUE</w:t>
      </w:r>
      <w:r>
        <w:rPr>
          <w:rFonts w:ascii="Arial" w:cs="Arial" w:eastAsia="Arial" w:hAnsi="Arial"/>
          <w:sz w:val="19"/>
          <w:szCs w:val="19"/>
          <w:color w:val="auto"/>
        </w:rPr>
        <w:t xml:space="preserve"> R</w:t>
      </w:r>
      <w:r>
        <w:rPr>
          <w:rFonts w:ascii="Arial" w:cs="Arial" w:eastAsia="Arial" w:hAnsi="Arial"/>
          <w:sz w:val="12"/>
          <w:szCs w:val="12"/>
          <w:color w:val="auto"/>
        </w:rPr>
        <w:t>ECEIVED</w:t>
      </w:r>
      <w:r>
        <w:rPr>
          <w:rFonts w:ascii="Arial" w:cs="Arial" w:eastAsia="Arial" w:hAnsi="Arial"/>
          <w:sz w:val="19"/>
          <w:szCs w:val="19"/>
          <w:color w:val="auto"/>
        </w:rPr>
        <w:t xml:space="preserve">, the undersigned, Alpine Income Property OP, LP, a Delaware limited partnership (the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hereby promises to pay to ____________________ (the </w:t>
      </w:r>
      <w:r>
        <w:rPr>
          <w:rFonts w:ascii="Arial" w:cs="Arial" w:eastAsia="Arial" w:hAnsi="Arial"/>
          <w:sz w:val="19"/>
          <w:szCs w:val="19"/>
          <w:i w:val="1"/>
          <w:iCs w:val="1"/>
          <w:color w:val="auto"/>
        </w:rPr>
        <w:t>“Lender”</w:t>
      </w:r>
      <w:r>
        <w:rPr>
          <w:rFonts w:ascii="Arial" w:cs="Arial" w:eastAsia="Arial" w:hAnsi="Arial"/>
          <w:sz w:val="19"/>
          <w:szCs w:val="19"/>
          <w:color w:val="auto"/>
        </w:rPr>
        <w:t>) or its</w:t>
      </w:r>
    </w:p>
    <w:p>
      <w:pPr>
        <w:spacing w:after="0" w:line="1"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19"/>
          <w:szCs w:val="19"/>
          <w:color w:val="auto"/>
        </w:rPr>
        <w:t>permitted assigns on the Maturity Date of the hereinafter defined Credit Agreement, at the principal office of the Administrative Agent in New York, New York (or such other location as the Administrative Agent may designate to the Borrower), in immediately available funds, the principal sum of</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___________________ Dollars ($__________) or, if less, the aggregate unpaid principal amount of all</w:t>
      </w:r>
    </w:p>
    <w:p>
      <w:pPr>
        <w:spacing w:after="0" w:line="16" w:lineRule="exact"/>
        <w:rPr>
          <w:sz w:val="20"/>
          <w:szCs w:val="20"/>
          <w:color w:val="auto"/>
        </w:rPr>
      </w:pPr>
    </w:p>
    <w:p>
      <w:pPr>
        <w:jc w:val="both"/>
        <w:ind w:left="200" w:right="219"/>
        <w:spacing w:after="0" w:line="236" w:lineRule="auto"/>
        <w:rPr>
          <w:sz w:val="20"/>
          <w:szCs w:val="20"/>
          <w:color w:val="auto"/>
        </w:rPr>
      </w:pPr>
      <w:r>
        <w:rPr>
          <w:rFonts w:ascii="Arial" w:cs="Arial" w:eastAsia="Arial" w:hAnsi="Arial"/>
          <w:sz w:val="20"/>
          <w:szCs w:val="20"/>
          <w:color w:val="auto"/>
        </w:rPr>
        <w:t>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spacing w:after="0" w:line="172" w:lineRule="exact"/>
        <w:rPr>
          <w:sz w:val="20"/>
          <w:szCs w:val="20"/>
          <w:color w:val="auto"/>
        </w:rPr>
      </w:pPr>
    </w:p>
    <w:p>
      <w:pPr>
        <w:jc w:val="both"/>
        <w:ind w:left="200" w:right="219" w:firstLine="594"/>
        <w:spacing w:after="0" w:line="249" w:lineRule="auto"/>
        <w:rPr>
          <w:sz w:val="20"/>
          <w:szCs w:val="20"/>
          <w:color w:val="auto"/>
        </w:rPr>
      </w:pPr>
      <w:r>
        <w:rPr>
          <w:rFonts w:ascii="Arial" w:cs="Arial" w:eastAsia="Arial" w:hAnsi="Arial"/>
          <w:sz w:val="19"/>
          <w:szCs w:val="19"/>
          <w:color w:val="auto"/>
        </w:rPr>
        <w:t xml:space="preserve">This Note is one of the Term Notes referred to in the Credit Agreement dated as of September 30, 2021, among the Borrower, the Guarantors party thereto, the Lenders parties thereto, and KeyBank National Association, as Administrative Agent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and this Note and the holder hereof are entitled to all the benefits provided for</w:t>
      </w:r>
      <w:r>
        <w:rPr>
          <w:rFonts w:ascii="Arial" w:cs="Arial" w:eastAsia="Arial" w:hAnsi="Arial"/>
          <w:sz w:val="19"/>
          <w:szCs w:val="19"/>
          <w:i w:val="1"/>
          <w:iCs w:val="1"/>
          <w:color w:val="auto"/>
        </w:rPr>
        <w:t xml:space="preserve"> </w:t>
      </w:r>
      <w:r>
        <w:rPr>
          <w:rFonts w:ascii="Arial" w:cs="Arial" w:eastAsia="Arial" w:hAnsi="Arial"/>
          <w:sz w:val="19"/>
          <w:szCs w:val="19"/>
          <w:color w:val="auto"/>
        </w:rPr>
        <w:t>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spacing w:after="0" w:line="167"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Voluntary prepayments may be made hereon, certain prepayments are required to be made hereon, and this Note may be declared due prior to the expressed maturity hereof, all in the events, on the terms and in the manner as provided for in the Credit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Borrower hereby waives demand, presentment, protest or notice of any kind hereunder.</w:t>
      </w:r>
    </w:p>
    <w:p>
      <w:pPr>
        <w:spacing w:after="0" w:line="23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00" w:lineRule="exact"/>
        <w:rPr>
          <w:sz w:val="20"/>
          <w:szCs w:val="20"/>
          <w:color w:val="auto"/>
        </w:rPr>
      </w:pPr>
    </w:p>
    <w:p>
      <w:pPr>
        <w:spacing w:after="0" w:line="30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1">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2">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3">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LOAN EVIDENCED BY THIS TERM NOTE IS NOT SECURED BY AN INTEREST IN FLORIDA REAL PROPERTY</w:t>
      </w:r>
    </w:p>
    <w:p>
      <w:pPr>
        <w:spacing w:after="0" w:line="25" w:lineRule="exact"/>
        <w:rPr>
          <w:sz w:val="20"/>
          <w:szCs w:val="20"/>
          <w:color w:val="auto"/>
        </w:rPr>
      </w:pPr>
    </w:p>
    <w:p>
      <w:pPr>
        <w:ind w:left="700" w:right="499" w:hanging="273"/>
        <w:spacing w:after="0" w:line="311" w:lineRule="auto"/>
        <w:rPr>
          <w:sz w:val="20"/>
          <w:szCs w:val="20"/>
          <w:color w:val="auto"/>
        </w:rPr>
      </w:pPr>
      <w:r>
        <w:rPr>
          <w:rFonts w:ascii="Arial" w:cs="Arial" w:eastAsia="Arial" w:hAnsi="Arial"/>
          <w:sz w:val="15"/>
          <w:szCs w:val="15"/>
          <w:color w:val="auto"/>
        </w:rPr>
        <w:t>AND HAS BEEN EXECUTED AND DELIVERED OUTSIDE OF THE STATE OF FLORIDA. CONSEQUENTLY, NO FLORIDA DOCUMENTARY STAMP TAX IS DUE AND PAYABLE WITH RESPECT TO THIS TERM NOTE.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441325</wp:posOffset>
            </wp:positionV>
            <wp:extent cx="5461635" cy="1587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4">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ectPr>
          <w:pgSz w:w="11900" w:h="16838" w:orient="portrait"/>
          <w:cols w:equalWidth="0" w:num="1">
            <w:col w:w="9019"/>
          </w:cols>
          <w:pgMar w:left="1440" w:top="832"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219"/>
        <w:spacing w:after="0" w:line="253" w:lineRule="auto"/>
        <w:rPr>
          <w:sz w:val="20"/>
          <w:szCs w:val="20"/>
          <w:color w:val="auto"/>
        </w:rPr>
      </w:pPr>
      <w:r>
        <w:rPr>
          <w:rFonts w:ascii="Arial" w:cs="Arial" w:eastAsia="Arial" w:hAnsi="Arial"/>
          <w:sz w:val="20"/>
          <w:szCs w:val="20"/>
          <w:color w:val="auto"/>
        </w:rPr>
        <w:t>KeyBank National Association, as Administrative Agent under, and the Lenders party to, the Credit Agreement described below</w:t>
      </w:r>
    </w:p>
    <w:p>
      <w:pPr>
        <w:spacing w:after="0" w:line="200" w:lineRule="exact"/>
        <w:rPr>
          <w:sz w:val="20"/>
          <w:szCs w:val="20"/>
          <w:color w:val="auto"/>
        </w:rPr>
      </w:pPr>
    </w:p>
    <w:p>
      <w:pPr>
        <w:sectPr>
          <w:pgSz w:w="11900" w:h="16838" w:orient="portrait"/>
          <w:cols w:equalWidth="0" w:num="2">
            <w:col w:w="460" w:space="340"/>
            <w:col w:w="8219"/>
          </w:cols>
          <w:pgMar w:left="1440" w:top="832"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both"/>
        <w:ind w:left="200" w:right="219" w:firstLine="594"/>
        <w:spacing w:after="0" w:line="253" w:lineRule="auto"/>
        <w:rPr>
          <w:sz w:val="20"/>
          <w:szCs w:val="20"/>
          <w:color w:val="auto"/>
        </w:rPr>
      </w:pPr>
      <w:r>
        <w:rPr>
          <w:rFonts w:ascii="Arial" w:cs="Arial" w:eastAsia="Arial" w:hAnsi="Arial"/>
          <w:sz w:val="19"/>
          <w:szCs w:val="19"/>
          <w:color w:val="auto"/>
        </w:rPr>
        <w:t xml:space="preserve">This Compliance Certificate is furnished to the Administrative Agent and the Lenders pursuant to that certain Credit Agreement dated as of September 30, 2021, as amended, among Alpine Income Property OP, LP, as Borrower, the Guarantors signatory thereto, the Administrative Agent and the Lenders party thereto (the </w:t>
      </w:r>
      <w:r>
        <w:rPr>
          <w:rFonts w:ascii="Arial" w:cs="Arial" w:eastAsia="Arial" w:hAnsi="Arial"/>
          <w:sz w:val="19"/>
          <w:szCs w:val="19"/>
          <w:i w:val="1"/>
          <w:iCs w:val="1"/>
          <w:color w:val="auto"/>
        </w:rPr>
        <w:t>“Credit Agreement”</w:t>
      </w:r>
      <w:r>
        <w:rPr>
          <w:rFonts w:ascii="Arial" w:cs="Arial" w:eastAsia="Arial" w:hAnsi="Arial"/>
          <w:sz w:val="19"/>
          <w:szCs w:val="19"/>
          <w:color w:val="auto"/>
        </w:rPr>
        <w:t>). Unless otherwise defined herein, the terms used in this Compliance Certificate have the meanings ascribed thereto in the Credit Agreement</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U</w:t>
      </w:r>
      <w:r>
        <w:rPr>
          <w:rFonts w:ascii="Arial" w:cs="Arial" w:eastAsia="Arial" w:hAnsi="Arial"/>
          <w:sz w:val="13"/>
          <w:szCs w:val="13"/>
          <w:color w:val="auto"/>
        </w:rPr>
        <w:t>NDERSIGNED HEREBY CERTIFIES THAT</w:t>
      </w:r>
      <w:r>
        <w:rPr>
          <w:rFonts w:ascii="Arial" w:cs="Arial" w:eastAsia="Arial" w:hAnsi="Arial"/>
          <w:sz w:val="20"/>
          <w:szCs w:val="20"/>
          <w:color w:val="auto"/>
        </w:rPr>
        <w:t>:</w:t>
      </w:r>
    </w:p>
    <w:p>
      <w:pPr>
        <w:spacing w:after="0" w:line="191" w:lineRule="exact"/>
        <w:rPr>
          <w:sz w:val="20"/>
          <w:szCs w:val="20"/>
          <w:color w:val="auto"/>
        </w:rPr>
      </w:pPr>
    </w:p>
    <w:p>
      <w:pPr>
        <w:ind w:left="1220" w:hanging="394"/>
        <w:spacing w:after="0"/>
        <w:tabs>
          <w:tab w:leader="none" w:pos="122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 am the duly elected ____________ of Alpine Income Property OP, LP;</w:t>
      </w:r>
    </w:p>
    <w:p>
      <w:pPr>
        <w:spacing w:after="0" w:line="190" w:lineRule="exact"/>
        <w:rPr>
          <w:rFonts w:ascii="Arial" w:cs="Arial" w:eastAsia="Arial" w:hAnsi="Arial"/>
          <w:sz w:val="20"/>
          <w:szCs w:val="20"/>
          <w:color w:val="auto"/>
        </w:rPr>
      </w:pPr>
    </w:p>
    <w:p>
      <w:pPr>
        <w:jc w:val="both"/>
        <w:ind w:left="200" w:right="219" w:firstLine="626"/>
        <w:spacing w:after="0" w:line="262" w:lineRule="auto"/>
        <w:tabs>
          <w:tab w:leader="none" w:pos="122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spacing w:after="0" w:line="150" w:lineRule="exact"/>
        <w:rPr>
          <w:rFonts w:ascii="Arial" w:cs="Arial" w:eastAsia="Arial" w:hAnsi="Arial"/>
          <w:sz w:val="19"/>
          <w:szCs w:val="19"/>
          <w:color w:val="auto"/>
        </w:rPr>
      </w:pPr>
    </w:p>
    <w:p>
      <w:pPr>
        <w:jc w:val="both"/>
        <w:ind w:left="200" w:right="219" w:firstLine="626"/>
        <w:spacing w:after="0" w:line="239" w:lineRule="auto"/>
        <w:tabs>
          <w:tab w:leader="none" w:pos="122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spacing w:after="0" w:line="173" w:lineRule="exact"/>
        <w:rPr>
          <w:rFonts w:ascii="Arial" w:cs="Arial" w:eastAsia="Arial" w:hAnsi="Arial"/>
          <w:sz w:val="20"/>
          <w:szCs w:val="20"/>
          <w:color w:val="auto"/>
        </w:rPr>
      </w:pPr>
    </w:p>
    <w:p>
      <w:pPr>
        <w:jc w:val="both"/>
        <w:ind w:left="200" w:right="219" w:firstLine="626"/>
        <w:spacing w:after="0" w:line="243" w:lineRule="auto"/>
        <w:tabs>
          <w:tab w:leader="none" w:pos="122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financial statements required by Section 8.5 of the Credit Agreement and being furnished to you concurrently with this Compliance Certificate are true, correct and complete as of the date and for the periods covered thereby; and</w:t>
      </w:r>
    </w:p>
    <w:p>
      <w:pPr>
        <w:spacing w:after="0" w:line="167" w:lineRule="exact"/>
        <w:rPr>
          <w:rFonts w:ascii="Arial" w:cs="Arial" w:eastAsia="Arial" w:hAnsi="Arial"/>
          <w:sz w:val="20"/>
          <w:szCs w:val="20"/>
          <w:color w:val="auto"/>
        </w:rPr>
      </w:pPr>
    </w:p>
    <w:p>
      <w:pPr>
        <w:jc w:val="both"/>
        <w:ind w:left="200" w:right="219" w:firstLine="626"/>
        <w:spacing w:after="0" w:line="239" w:lineRule="auto"/>
        <w:tabs>
          <w:tab w:leader="none" w:pos="122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spacing w:after="0" w:line="173" w:lineRule="exact"/>
        <w:rPr>
          <w:sz w:val="20"/>
          <w:szCs w:val="20"/>
          <w:color w:val="auto"/>
        </w:rPr>
      </w:pPr>
    </w:p>
    <w:p>
      <w:pPr>
        <w:jc w:val="both"/>
        <w:ind w:left="200" w:right="219" w:firstLine="594"/>
        <w:spacing w:after="0" w:line="243" w:lineRule="auto"/>
        <w:rPr>
          <w:sz w:val="20"/>
          <w:szCs w:val="20"/>
          <w:color w:val="auto"/>
        </w:rPr>
      </w:pPr>
      <w:r>
        <w:rPr>
          <w:rFonts w:ascii="Arial" w:cs="Arial" w:eastAsia="Arial" w:hAnsi="Arial"/>
          <w:sz w:val="20"/>
          <w:szCs w:val="20"/>
          <w:color w:val="auto"/>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type w:val="continuous"/>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1420495</wp:posOffset>
            </wp:positionH>
            <wp:positionV relativeFrom="page">
              <wp:posOffset>670560</wp:posOffset>
            </wp:positionV>
            <wp:extent cx="405511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6">
                      <a:extLst>
                        <a:ext uri="{28A0092B-C50C-407E-A947-70E740481C1C}"/>
                      </a:extLst>
                    </a:blip>
                    <a:srcRect/>
                    <a:stretch>
                      <a:fillRect/>
                    </a:stretch>
                  </pic:blipFill>
                  <pic:spPr bwMode="auto">
                    <a:xfrm>
                      <a:off x="0" y="0"/>
                      <a:ext cx="4055110" cy="7620"/>
                    </a:xfrm>
                    <a:prstGeom prst="rect">
                      <a:avLst/>
                    </a:prstGeom>
                    <a:noFill/>
                  </pic:spPr>
                </pic:pic>
              </a:graphicData>
            </a:graphic>
          </wp:anchor>
        </w:drawing>
        <w:drawing>
          <wp:anchor simplePos="0" relativeHeight="251657728" behindDoc="1" locked="0" layoutInCell="0" allowOverlap="1">
            <wp:simplePos x="0" y="0"/>
            <wp:positionH relativeFrom="page">
              <wp:posOffset>1420495</wp:posOffset>
            </wp:positionH>
            <wp:positionV relativeFrom="page">
              <wp:posOffset>835660</wp:posOffset>
            </wp:positionV>
            <wp:extent cx="405511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7">
                      <a:extLst>
                        <a:ext uri="{28A0092B-C50C-407E-A947-70E740481C1C}"/>
                      </a:extLst>
                    </a:blip>
                    <a:srcRect/>
                    <a:stretch>
                      <a:fillRect/>
                    </a:stretch>
                  </pic:blipFill>
                  <pic:spPr bwMode="auto">
                    <a:xfrm>
                      <a:off x="0" y="0"/>
                      <a:ext cx="4055110" cy="7620"/>
                    </a:xfrm>
                    <a:prstGeom prst="rect">
                      <a:avLst/>
                    </a:prstGeom>
                    <a:noFill/>
                  </pic:spPr>
                </pic:pic>
              </a:graphicData>
            </a:graphic>
          </wp:anchor>
        </w:drawing>
        <w:drawing>
          <wp:anchor simplePos="0" relativeHeight="251657728" behindDoc="1" locked="0" layoutInCell="0" allowOverlap="1">
            <wp:simplePos x="0" y="0"/>
            <wp:positionH relativeFrom="page">
              <wp:posOffset>1420495</wp:posOffset>
            </wp:positionH>
            <wp:positionV relativeFrom="page">
              <wp:posOffset>1000760</wp:posOffset>
            </wp:positionV>
            <wp:extent cx="405511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8">
                      <a:extLst>
                        <a:ext uri="{28A0092B-C50C-407E-A947-70E740481C1C}"/>
                      </a:extLst>
                    </a:blip>
                    <a:srcRect/>
                    <a:stretch>
                      <a:fillRect/>
                    </a:stretch>
                  </pic:blipFill>
                  <pic:spPr bwMode="auto">
                    <a:xfrm>
                      <a:off x="0" y="0"/>
                      <a:ext cx="4055110" cy="7620"/>
                    </a:xfrm>
                    <a:prstGeom prst="rect">
                      <a:avLst/>
                    </a:prstGeom>
                    <a:noFill/>
                  </pic:spPr>
                </pic:pic>
              </a:graphicData>
            </a:graphic>
          </wp:anchor>
        </w:drawing>
        <w:drawing>
          <wp:anchor simplePos="0" relativeHeight="251657728" behindDoc="1" locked="0" layoutInCell="0" allowOverlap="1">
            <wp:simplePos x="0" y="0"/>
            <wp:positionH relativeFrom="page">
              <wp:posOffset>1420495</wp:posOffset>
            </wp:positionH>
            <wp:positionV relativeFrom="page">
              <wp:posOffset>1165225</wp:posOffset>
            </wp:positionV>
            <wp:extent cx="405511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9">
                      <a:extLst>
                        <a:ext uri="{28A0092B-C50C-407E-A947-70E740481C1C}"/>
                      </a:extLst>
                    </a:blip>
                    <a:srcRect/>
                    <a:stretch>
                      <a:fillRect/>
                    </a:stretch>
                  </pic:blipFill>
                  <pic:spPr bwMode="auto">
                    <a:xfrm>
                      <a:off x="0" y="0"/>
                      <a:ext cx="4055110" cy="7620"/>
                    </a:xfrm>
                    <a:prstGeom prst="rect">
                      <a:avLst/>
                    </a:prstGeom>
                    <a:noFill/>
                  </pic:spPr>
                </pic:pic>
              </a:graphicData>
            </a:graphic>
          </wp:anchor>
        </w:drawing>
      </w:r>
    </w:p>
    <w:p>
      <w:pPr>
        <w:spacing w:after="0" w:line="238" w:lineRule="exact"/>
        <w:rPr>
          <w:sz w:val="20"/>
          <w:szCs w:val="20"/>
          <w:color w:val="auto"/>
        </w:rPr>
      </w:pPr>
    </w:p>
    <w:p>
      <w:pPr>
        <w:ind w:left="200" w:right="219" w:firstLine="594"/>
        <w:spacing w:after="0" w:line="267" w:lineRule="auto"/>
        <w:rPr>
          <w:sz w:val="20"/>
          <w:szCs w:val="20"/>
          <w:color w:val="auto"/>
        </w:rPr>
      </w:pPr>
      <w:r>
        <w:rPr>
          <w:rFonts w:ascii="Arial" w:cs="Arial" w:eastAsia="Arial" w:hAnsi="Arial"/>
          <w:sz w:val="18"/>
          <w:szCs w:val="18"/>
          <w:color w:val="auto"/>
        </w:rPr>
        <w:t>The foregoing certifications, together with the computations set forth in Schedule I hereto and the financial statements delivered with this Certificate in support hereof, are made and delivered this ______</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day of __________________, 20___.</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28" w:lineRule="exact"/>
        <w:rPr>
          <w:sz w:val="20"/>
          <w:szCs w:val="20"/>
          <w:color w:val="auto"/>
        </w:rPr>
      </w:pPr>
    </w:p>
    <w:p>
      <w:pPr>
        <w:ind w:left="4260" w:right="339" w:hanging="189"/>
        <w:spacing w:after="0" w:line="253" w:lineRule="auto"/>
        <w:rPr>
          <w:sz w:val="20"/>
          <w:szCs w:val="20"/>
          <w:color w:val="auto"/>
        </w:rPr>
      </w:pPr>
      <w:r>
        <w:rPr>
          <w:rFonts w:ascii="Arial" w:cs="Arial" w:eastAsia="Arial" w:hAnsi="Arial"/>
          <w:sz w:val="20"/>
          <w:szCs w:val="20"/>
          <w:color w:val="auto"/>
        </w:rPr>
        <w:t>By: Alpine Income Property GP, LLC, a Delaware limited liability company, its General Partner</w:t>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Alpine Income Property Trust, Inc., a Maryland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corporation, its sole member</w:t>
      </w:r>
    </w:p>
    <w:p>
      <w:pPr>
        <w:spacing w:after="0" w:line="200" w:lineRule="exact"/>
        <w:rPr>
          <w:sz w:val="20"/>
          <w:szCs w:val="20"/>
          <w:color w:val="auto"/>
        </w:rPr>
      </w:pPr>
    </w:p>
    <w:p>
      <w:pPr>
        <w:spacing w:after="0" w:line="272"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0">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1">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2">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3">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I</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TO </w:t>
      </w:r>
      <w:r>
        <w:rPr>
          <w:rFonts w:ascii="Arial" w:cs="Arial" w:eastAsia="Arial" w:hAnsi="Arial"/>
          <w:sz w:val="19"/>
          <w:szCs w:val="19"/>
          <w:b w:val="1"/>
          <w:bCs w:val="1"/>
          <w:color w:val="auto"/>
        </w:rPr>
        <w:t>C</w:t>
      </w:r>
      <w:r>
        <w:rPr>
          <w:rFonts w:ascii="Arial" w:cs="Arial" w:eastAsia="Arial" w:hAnsi="Arial"/>
          <w:sz w:val="14"/>
          <w:szCs w:val="14"/>
          <w:b w:val="1"/>
          <w:bCs w:val="1"/>
          <w:color w:val="auto"/>
        </w:rPr>
        <w:t xml:space="preserve">OMPLIANCE </w:t>
      </w:r>
      <w:r>
        <w:rPr>
          <w:rFonts w:ascii="Arial" w:cs="Arial" w:eastAsia="Arial" w:hAnsi="Arial"/>
          <w:sz w:val="19"/>
          <w:szCs w:val="19"/>
          <w:b w:val="1"/>
          <w:bCs w:val="1"/>
          <w:color w:val="auto"/>
        </w:rPr>
        <w:t>C</w:t>
      </w:r>
      <w:r>
        <w:rPr>
          <w:rFonts w:ascii="Arial" w:cs="Arial" w:eastAsia="Arial" w:hAnsi="Arial"/>
          <w:sz w:val="14"/>
          <w:szCs w:val="14"/>
          <w:b w:val="1"/>
          <w:bCs w:val="1"/>
          <w:color w:val="auto"/>
        </w:rPr>
        <w:t>ERTIFICATE</w:t>
      </w:r>
    </w:p>
    <w:p>
      <w:pPr>
        <w:spacing w:after="0" w:line="301"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_________________________________________________</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OMPLIANCE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ALCULATIONS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9"/>
          <w:szCs w:val="19"/>
          <w:b w:val="1"/>
          <w:bCs w:val="1"/>
          <w:color w:val="auto"/>
        </w:rPr>
        <w:t>C</w:t>
      </w:r>
      <w:r>
        <w:rPr>
          <w:rFonts w:ascii="Arial" w:cs="Arial" w:eastAsia="Arial" w:hAnsi="Arial"/>
          <w:sz w:val="14"/>
          <w:szCs w:val="14"/>
          <w:b w:val="1"/>
          <w:bCs w:val="1"/>
          <w:color w:val="auto"/>
        </w:rPr>
        <w:t xml:space="preserve">REDIT </w:t>
      </w:r>
      <w:r>
        <w:rPr>
          <w:rFonts w:ascii="Arial" w:cs="Arial" w:eastAsia="Arial" w:hAnsi="Arial"/>
          <w:sz w:val="19"/>
          <w:szCs w:val="19"/>
          <w:b w:val="1"/>
          <w:bCs w:val="1"/>
          <w:color w:val="auto"/>
        </w:rPr>
        <w:t>A</w:t>
      </w:r>
      <w:r>
        <w:rPr>
          <w:rFonts w:ascii="Arial" w:cs="Arial" w:eastAsia="Arial" w:hAnsi="Arial"/>
          <w:sz w:val="14"/>
          <w:szCs w:val="14"/>
          <w:b w:val="1"/>
          <w:bCs w:val="1"/>
          <w:color w:val="auto"/>
        </w:rPr>
        <w:t>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DATED AS OF </w:t>
      </w:r>
      <w:r>
        <w:rPr>
          <w:rFonts w:ascii="Arial" w:cs="Arial" w:eastAsia="Arial" w:hAnsi="Arial"/>
          <w:sz w:val="19"/>
          <w:szCs w:val="19"/>
          <w:b w:val="1"/>
          <w:bCs w:val="1"/>
          <w:color w:val="auto"/>
        </w:rPr>
        <w:t>S</w:t>
      </w:r>
      <w:r>
        <w:rPr>
          <w:rFonts w:ascii="Arial" w:cs="Arial" w:eastAsia="Arial" w:hAnsi="Arial"/>
          <w:sz w:val="14"/>
          <w:szCs w:val="14"/>
          <w:b w:val="1"/>
          <w:bCs w:val="1"/>
          <w:color w:val="auto"/>
        </w:rPr>
        <w:t xml:space="preserve">EPTEMBER </w:t>
      </w:r>
      <w:r>
        <w:rPr>
          <w:rFonts w:ascii="Arial" w:cs="Arial" w:eastAsia="Arial" w:hAnsi="Arial"/>
          <w:sz w:val="19"/>
          <w:szCs w:val="19"/>
          <w:b w:val="1"/>
          <w:bCs w:val="1"/>
          <w:color w:val="auto"/>
        </w:rPr>
        <w:t>30, 2021,</w:t>
      </w:r>
      <w:r>
        <w:rPr>
          <w:rFonts w:ascii="Arial" w:cs="Arial" w:eastAsia="Arial" w:hAnsi="Arial"/>
          <w:sz w:val="14"/>
          <w:szCs w:val="14"/>
          <w:b w:val="1"/>
          <w:bCs w:val="1"/>
          <w:color w:val="auto"/>
        </w:rPr>
        <w:t xml:space="preserve"> AS AMENDED</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ALCULATIONS AS OF</w:t>
      </w:r>
      <w:r>
        <w:rPr>
          <w:rFonts w:ascii="Arial" w:cs="Arial" w:eastAsia="Arial" w:hAnsi="Arial"/>
          <w:sz w:val="20"/>
          <w:szCs w:val="20"/>
          <w:b w:val="1"/>
          <w:bCs w:val="1"/>
          <w:color w:val="auto"/>
        </w:rPr>
        <w:t xml:space="preserve"> 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272415</wp:posOffset>
            </wp:positionV>
            <wp:extent cx="5461635"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5461635"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288290</wp:posOffset>
            </wp:positionV>
            <wp:extent cx="5461635"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5461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right="3679" w:hanging="600"/>
        <w:spacing w:after="0" w:line="253" w:lineRule="auto"/>
        <w:tabs>
          <w:tab w:leader="none" w:pos="86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Maximum Total Indebtedness to Total Asset Value Ratio (Section 8.20(a))</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800" w:type="dxa"/>
            <w:vAlign w:val="bottom"/>
          </w:tcPr>
          <w:p>
            <w:pPr>
              <w:ind w:left="220"/>
              <w:spacing w:after="0"/>
              <w:rPr>
                <w:sz w:val="20"/>
                <w:szCs w:val="20"/>
                <w:color w:val="auto"/>
              </w:rPr>
            </w:pPr>
            <w:r>
              <w:rPr>
                <w:rFonts w:ascii="Arial" w:cs="Arial" w:eastAsia="Arial" w:hAnsi="Arial"/>
                <w:sz w:val="20"/>
                <w:szCs w:val="20"/>
                <w:color w:val="auto"/>
              </w:rPr>
              <w:t>Total Indebtedness</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8"/>
              </w:rPr>
              <w:t>$___________</w:t>
            </w: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800" w:type="dxa"/>
            <w:vAlign w:val="bottom"/>
          </w:tcPr>
          <w:p>
            <w:pPr>
              <w:ind w:left="220"/>
              <w:spacing w:after="0"/>
              <w:rPr>
                <w:sz w:val="20"/>
                <w:szCs w:val="20"/>
                <w:color w:val="auto"/>
              </w:rPr>
            </w:pPr>
            <w:r>
              <w:rPr>
                <w:rFonts w:ascii="Arial" w:cs="Arial" w:eastAsia="Arial" w:hAnsi="Arial"/>
                <w:sz w:val="20"/>
                <w:szCs w:val="20"/>
                <w:color w:val="auto"/>
              </w:rPr>
              <w:t>Total Asset Value as calculated on Exhibit A</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___________</w:t>
            </w:r>
          </w:p>
        </w:tc>
      </w:tr>
      <w:tr>
        <w:trPr>
          <w:trHeight w:val="250"/>
        </w:trPr>
        <w:tc>
          <w:tcPr>
            <w:tcW w:w="360" w:type="dxa"/>
            <w:vAlign w:val="bottom"/>
          </w:tcPr>
          <w:p>
            <w:pPr>
              <w:spacing w:after="0"/>
              <w:rPr>
                <w:sz w:val="21"/>
                <w:szCs w:val="21"/>
                <w:color w:val="auto"/>
              </w:rPr>
            </w:pPr>
          </w:p>
        </w:tc>
        <w:tc>
          <w:tcPr>
            <w:tcW w:w="4800" w:type="dxa"/>
            <w:vAlign w:val="bottom"/>
          </w:tcPr>
          <w:p>
            <w:pPr>
              <w:ind w:left="220"/>
              <w:spacing w:after="0"/>
              <w:rPr>
                <w:sz w:val="20"/>
                <w:szCs w:val="20"/>
                <w:color w:val="auto"/>
              </w:rPr>
            </w:pPr>
            <w:r>
              <w:rPr>
                <w:rFonts w:ascii="Arial" w:cs="Arial" w:eastAsia="Arial" w:hAnsi="Arial"/>
                <w:sz w:val="20"/>
                <w:szCs w:val="20"/>
                <w:color w:val="auto"/>
              </w:rPr>
              <w:t>hereto</w:t>
            </w:r>
          </w:p>
        </w:tc>
        <w:tc>
          <w:tcPr>
            <w:tcW w:w="1880" w:type="dxa"/>
            <w:vAlign w:val="bottom"/>
          </w:tcPr>
          <w:p>
            <w:pPr>
              <w:spacing w:after="0"/>
              <w:rPr>
                <w:sz w:val="21"/>
                <w:szCs w:val="2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800" w:type="dxa"/>
            <w:vAlign w:val="bottom"/>
          </w:tcPr>
          <w:p>
            <w:pPr>
              <w:ind w:left="220"/>
              <w:spacing w:after="0"/>
              <w:rPr>
                <w:sz w:val="20"/>
                <w:szCs w:val="20"/>
                <w:color w:val="auto"/>
              </w:rPr>
            </w:pPr>
            <w:r>
              <w:rPr>
                <w:rFonts w:ascii="Arial" w:cs="Arial" w:eastAsia="Arial" w:hAnsi="Arial"/>
                <w:sz w:val="20"/>
                <w:szCs w:val="20"/>
                <w:color w:val="auto"/>
              </w:rPr>
              <w:t>Ratio of Line A1 to A2</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800" w:type="dxa"/>
            <w:vAlign w:val="bottom"/>
          </w:tcPr>
          <w:p>
            <w:pPr>
              <w:ind w:left="220"/>
              <w:spacing w:after="0"/>
              <w:rPr>
                <w:sz w:val="20"/>
                <w:szCs w:val="20"/>
                <w:color w:val="auto"/>
              </w:rPr>
            </w:pPr>
            <w:r>
              <w:rPr>
                <w:rFonts w:ascii="Arial" w:cs="Arial" w:eastAsia="Arial" w:hAnsi="Arial"/>
                <w:sz w:val="20"/>
                <w:szCs w:val="20"/>
                <w:color w:val="auto"/>
              </w:rPr>
              <w:t>Line A3 must not exceed</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91"/>
              </w:rPr>
              <w:t>0.60:1.0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4800" w:type="dxa"/>
            <w:vAlign w:val="bottom"/>
          </w:tcPr>
          <w:p>
            <w:pPr>
              <w:ind w:left="220"/>
              <w:spacing w:after="0"/>
              <w:rPr>
                <w:sz w:val="20"/>
                <w:szCs w:val="20"/>
                <w:color w:val="auto"/>
              </w:rPr>
            </w:pPr>
            <w:r>
              <w:rPr>
                <w:rFonts w:ascii="Arial" w:cs="Arial" w:eastAsia="Arial" w:hAnsi="Arial"/>
                <w:sz w:val="20"/>
                <w:szCs w:val="20"/>
                <w:color w:val="auto"/>
              </w:rPr>
              <w:t>The Borrower is in compliance (circle yes or no)</w:t>
            </w:r>
          </w:p>
        </w:tc>
        <w:tc>
          <w:tcPr>
            <w:tcW w:w="1880" w:type="dxa"/>
            <w:vAlign w:val="bottom"/>
          </w:tcPr>
          <w:p>
            <w:pPr>
              <w:ind w:left="1040"/>
              <w:spacing w:after="0"/>
              <w:rPr>
                <w:sz w:val="20"/>
                <w:szCs w:val="20"/>
                <w:color w:val="auto"/>
              </w:rPr>
            </w:pPr>
            <w:r>
              <w:rPr>
                <w:rFonts w:ascii="Arial" w:cs="Arial" w:eastAsia="Arial" w:hAnsi="Arial"/>
                <w:sz w:val="20"/>
                <w:szCs w:val="20"/>
                <w:color w:val="auto"/>
              </w:rPr>
              <w:t>yes/no</w:t>
            </w:r>
          </w:p>
        </w:tc>
      </w:tr>
    </w:tbl>
    <w:p>
      <w:pPr>
        <w:spacing w:after="0" w:line="393" w:lineRule="exact"/>
        <w:rPr>
          <w:sz w:val="20"/>
          <w:szCs w:val="20"/>
          <w:color w:val="auto"/>
        </w:rPr>
      </w:pPr>
    </w:p>
    <w:p>
      <w:pPr>
        <w:ind w:left="860" w:right="3919" w:hanging="600"/>
        <w:spacing w:after="0" w:line="253" w:lineRule="auto"/>
        <w:tabs>
          <w:tab w:leader="none" w:pos="86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Maximum Secured Indebtedness to Total Asset Value Ratio (Section 8.20(b))</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800" w:type="dxa"/>
            <w:vAlign w:val="bottom"/>
          </w:tcPr>
          <w:p>
            <w:pPr>
              <w:ind w:left="220"/>
              <w:spacing w:after="0"/>
              <w:rPr>
                <w:sz w:val="20"/>
                <w:szCs w:val="20"/>
                <w:color w:val="auto"/>
              </w:rPr>
            </w:pPr>
            <w:r>
              <w:rPr>
                <w:rFonts w:ascii="Arial" w:cs="Arial" w:eastAsia="Arial" w:hAnsi="Arial"/>
                <w:sz w:val="20"/>
                <w:szCs w:val="20"/>
                <w:color w:val="auto"/>
              </w:rPr>
              <w:t>Secured Indebtedness</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8"/>
              </w:rPr>
              <w:t>$___________</w:t>
            </w: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800" w:type="dxa"/>
            <w:vAlign w:val="bottom"/>
          </w:tcPr>
          <w:p>
            <w:pPr>
              <w:ind w:left="220"/>
              <w:spacing w:after="0"/>
              <w:rPr>
                <w:sz w:val="20"/>
                <w:szCs w:val="20"/>
                <w:color w:val="auto"/>
              </w:rPr>
            </w:pPr>
            <w:r>
              <w:rPr>
                <w:rFonts w:ascii="Arial" w:cs="Arial" w:eastAsia="Arial" w:hAnsi="Arial"/>
                <w:sz w:val="20"/>
                <w:szCs w:val="20"/>
                <w:color w:val="auto"/>
              </w:rPr>
              <w:t>Total Asset Value as calculated on Exhibit A</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___________</w:t>
            </w:r>
          </w:p>
        </w:tc>
      </w:tr>
      <w:tr>
        <w:trPr>
          <w:trHeight w:val="250"/>
        </w:trPr>
        <w:tc>
          <w:tcPr>
            <w:tcW w:w="360" w:type="dxa"/>
            <w:vAlign w:val="bottom"/>
          </w:tcPr>
          <w:p>
            <w:pPr>
              <w:spacing w:after="0"/>
              <w:rPr>
                <w:sz w:val="21"/>
                <w:szCs w:val="21"/>
                <w:color w:val="auto"/>
              </w:rPr>
            </w:pPr>
          </w:p>
        </w:tc>
        <w:tc>
          <w:tcPr>
            <w:tcW w:w="4800" w:type="dxa"/>
            <w:vAlign w:val="bottom"/>
          </w:tcPr>
          <w:p>
            <w:pPr>
              <w:ind w:left="220"/>
              <w:spacing w:after="0"/>
              <w:rPr>
                <w:sz w:val="20"/>
                <w:szCs w:val="20"/>
                <w:color w:val="auto"/>
              </w:rPr>
            </w:pPr>
            <w:r>
              <w:rPr>
                <w:rFonts w:ascii="Arial" w:cs="Arial" w:eastAsia="Arial" w:hAnsi="Arial"/>
                <w:sz w:val="20"/>
                <w:szCs w:val="20"/>
                <w:color w:val="auto"/>
              </w:rPr>
              <w:t>hereto</w:t>
            </w:r>
          </w:p>
        </w:tc>
        <w:tc>
          <w:tcPr>
            <w:tcW w:w="1880" w:type="dxa"/>
            <w:vAlign w:val="bottom"/>
          </w:tcPr>
          <w:p>
            <w:pPr>
              <w:spacing w:after="0"/>
              <w:rPr>
                <w:sz w:val="21"/>
                <w:szCs w:val="2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800" w:type="dxa"/>
            <w:vAlign w:val="bottom"/>
          </w:tcPr>
          <w:p>
            <w:pPr>
              <w:ind w:left="220"/>
              <w:spacing w:after="0"/>
              <w:rPr>
                <w:sz w:val="20"/>
                <w:szCs w:val="20"/>
                <w:color w:val="auto"/>
              </w:rPr>
            </w:pPr>
            <w:r>
              <w:rPr>
                <w:rFonts w:ascii="Arial" w:cs="Arial" w:eastAsia="Arial" w:hAnsi="Arial"/>
                <w:sz w:val="20"/>
                <w:szCs w:val="20"/>
                <w:color w:val="auto"/>
              </w:rPr>
              <w:t>Ratio of Line B1 to B2</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800" w:type="dxa"/>
            <w:vAlign w:val="bottom"/>
          </w:tcPr>
          <w:p>
            <w:pPr>
              <w:ind w:left="220"/>
              <w:spacing w:after="0"/>
              <w:rPr>
                <w:sz w:val="20"/>
                <w:szCs w:val="20"/>
                <w:color w:val="auto"/>
              </w:rPr>
            </w:pPr>
            <w:r>
              <w:rPr>
                <w:rFonts w:ascii="Arial" w:cs="Arial" w:eastAsia="Arial" w:hAnsi="Arial"/>
                <w:sz w:val="20"/>
                <w:szCs w:val="20"/>
                <w:color w:val="auto"/>
              </w:rPr>
              <w:t>Line B3 must not exceed</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91"/>
              </w:rPr>
              <w:t>0.40:1.0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4800" w:type="dxa"/>
            <w:vAlign w:val="bottom"/>
          </w:tcPr>
          <w:p>
            <w:pPr>
              <w:ind w:left="220"/>
              <w:spacing w:after="0"/>
              <w:rPr>
                <w:sz w:val="20"/>
                <w:szCs w:val="20"/>
                <w:color w:val="auto"/>
              </w:rPr>
            </w:pPr>
            <w:r>
              <w:rPr>
                <w:rFonts w:ascii="Arial" w:cs="Arial" w:eastAsia="Arial" w:hAnsi="Arial"/>
                <w:sz w:val="20"/>
                <w:szCs w:val="20"/>
                <w:color w:val="auto"/>
              </w:rPr>
              <w:t>The Borrower is in compliance (circle yes or no)</w:t>
            </w:r>
          </w:p>
        </w:tc>
        <w:tc>
          <w:tcPr>
            <w:tcW w:w="1880" w:type="dxa"/>
            <w:vAlign w:val="bottom"/>
          </w:tcPr>
          <w:p>
            <w:pPr>
              <w:ind w:left="1040"/>
              <w:spacing w:after="0"/>
              <w:rPr>
                <w:sz w:val="20"/>
                <w:szCs w:val="20"/>
                <w:color w:val="auto"/>
              </w:rPr>
            </w:pPr>
            <w:r>
              <w:rPr>
                <w:rFonts w:ascii="Arial" w:cs="Arial" w:eastAsia="Arial" w:hAnsi="Arial"/>
                <w:sz w:val="20"/>
                <w:szCs w:val="20"/>
                <w:color w:val="auto"/>
              </w:rPr>
              <w:t>yes/no</w:t>
            </w:r>
          </w:p>
        </w:tc>
      </w:tr>
    </w:tbl>
    <w:p>
      <w:pPr>
        <w:spacing w:after="0" w:line="200" w:lineRule="exact"/>
        <w:rPr>
          <w:sz w:val="20"/>
          <w:szCs w:val="20"/>
          <w:color w:val="auto"/>
        </w:rPr>
      </w:pPr>
    </w:p>
    <w:p>
      <w:pPr>
        <w:spacing w:after="0" w:line="206" w:lineRule="exact"/>
        <w:rPr>
          <w:sz w:val="20"/>
          <w:szCs w:val="20"/>
          <w:color w:val="auto"/>
        </w:rPr>
      </w:pPr>
    </w:p>
    <w:p>
      <w:pPr>
        <w:ind w:left="860" w:right="3959" w:hanging="600"/>
        <w:spacing w:after="0" w:line="253" w:lineRule="auto"/>
        <w:tabs>
          <w:tab w:leader="none" w:pos="86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Minimum Adjusted EBITDA to Fixed Charges Ratio (Section 8.20(c))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443230</wp:posOffset>
            </wp:positionV>
            <wp:extent cx="5461635" cy="2349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65" w:name="page166"/>
    <w:bookmarkEnd w:id="165"/>
    <w:tbl>
      <w:tblPr>
        <w:tblLayout w:type="fixed"/>
        <w:tblInd w:w="86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1.</w:t>
            </w:r>
          </w:p>
        </w:tc>
        <w:tc>
          <w:tcPr>
            <w:tcW w:w="4800" w:type="dxa"/>
            <w:vAlign w:val="bottom"/>
          </w:tcPr>
          <w:p>
            <w:pPr>
              <w:ind w:left="160"/>
              <w:spacing w:after="0"/>
              <w:rPr>
                <w:sz w:val="20"/>
                <w:szCs w:val="20"/>
                <w:color w:val="auto"/>
              </w:rPr>
            </w:pPr>
            <w:r>
              <w:rPr>
                <w:rFonts w:ascii="Arial" w:cs="Arial" w:eastAsia="Arial" w:hAnsi="Arial"/>
                <w:sz w:val="20"/>
                <w:szCs w:val="20"/>
                <w:color w:val="auto"/>
              </w:rPr>
              <w:t>Net Income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8"/>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2.</w:t>
            </w:r>
          </w:p>
        </w:tc>
        <w:tc>
          <w:tcPr>
            <w:tcW w:w="4800" w:type="dxa"/>
            <w:vAlign w:val="bottom"/>
          </w:tcPr>
          <w:p>
            <w:pPr>
              <w:ind w:left="160"/>
              <w:spacing w:after="0"/>
              <w:rPr>
                <w:sz w:val="20"/>
                <w:szCs w:val="20"/>
                <w:color w:val="auto"/>
              </w:rPr>
            </w:pPr>
            <w:r>
              <w:rPr>
                <w:rFonts w:ascii="Arial" w:cs="Arial" w:eastAsia="Arial" w:hAnsi="Arial"/>
                <w:sz w:val="20"/>
                <w:szCs w:val="20"/>
                <w:color w:val="auto"/>
              </w:rPr>
              <w:t>Depreciation and amortization expense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3.</w:t>
            </w:r>
          </w:p>
        </w:tc>
        <w:tc>
          <w:tcPr>
            <w:tcW w:w="4800" w:type="dxa"/>
            <w:vAlign w:val="bottom"/>
          </w:tcPr>
          <w:p>
            <w:pPr>
              <w:ind w:left="160"/>
              <w:spacing w:after="0"/>
              <w:rPr>
                <w:sz w:val="20"/>
                <w:szCs w:val="20"/>
                <w:color w:val="auto"/>
              </w:rPr>
            </w:pPr>
            <w:r>
              <w:rPr>
                <w:rFonts w:ascii="Arial" w:cs="Arial" w:eastAsia="Arial" w:hAnsi="Arial"/>
                <w:sz w:val="20"/>
                <w:szCs w:val="20"/>
                <w:color w:val="auto"/>
              </w:rPr>
              <w:t>Interest Expense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4.</w:t>
            </w:r>
          </w:p>
        </w:tc>
        <w:tc>
          <w:tcPr>
            <w:tcW w:w="4800" w:type="dxa"/>
            <w:vAlign w:val="bottom"/>
          </w:tcPr>
          <w:p>
            <w:pPr>
              <w:ind w:left="160"/>
              <w:spacing w:after="0"/>
              <w:rPr>
                <w:sz w:val="20"/>
                <w:szCs w:val="20"/>
                <w:color w:val="auto"/>
              </w:rPr>
            </w:pPr>
            <w:r>
              <w:rPr>
                <w:rFonts w:ascii="Arial" w:cs="Arial" w:eastAsia="Arial" w:hAnsi="Arial"/>
                <w:sz w:val="20"/>
                <w:szCs w:val="20"/>
                <w:color w:val="auto"/>
              </w:rPr>
              <w:t>Income tax expense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5.</w:t>
            </w:r>
          </w:p>
        </w:tc>
        <w:tc>
          <w:tcPr>
            <w:tcW w:w="4800" w:type="dxa"/>
            <w:vAlign w:val="bottom"/>
          </w:tcPr>
          <w:p>
            <w:pPr>
              <w:ind w:left="160"/>
              <w:spacing w:after="0"/>
              <w:rPr>
                <w:sz w:val="20"/>
                <w:szCs w:val="20"/>
                <w:color w:val="auto"/>
              </w:rPr>
            </w:pPr>
            <w:r>
              <w:rPr>
                <w:rFonts w:ascii="Arial" w:cs="Arial" w:eastAsia="Arial" w:hAnsi="Arial"/>
                <w:sz w:val="20"/>
                <w:szCs w:val="20"/>
                <w:color w:val="auto"/>
              </w:rPr>
              <w:t>Extraordinary, unrealized or non-recurring losses</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6.</w:t>
            </w:r>
          </w:p>
        </w:tc>
        <w:tc>
          <w:tcPr>
            <w:tcW w:w="4800" w:type="dxa"/>
            <w:vAlign w:val="bottom"/>
          </w:tcPr>
          <w:p>
            <w:pPr>
              <w:ind w:left="160"/>
              <w:spacing w:after="0"/>
              <w:rPr>
                <w:sz w:val="20"/>
                <w:szCs w:val="20"/>
                <w:color w:val="auto"/>
              </w:rPr>
            </w:pPr>
            <w:r>
              <w:rPr>
                <w:rFonts w:ascii="Arial" w:cs="Arial" w:eastAsia="Arial" w:hAnsi="Arial"/>
                <w:sz w:val="20"/>
                <w:szCs w:val="20"/>
                <w:color w:val="auto"/>
              </w:rPr>
              <w:t>Non-Cash Compensation Paid in Equity Securities</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4800" w:type="dxa"/>
            <w:vAlign w:val="bottom"/>
          </w:tcPr>
          <w:p>
            <w:pPr>
              <w:ind w:left="160"/>
              <w:spacing w:after="0"/>
              <w:rPr>
                <w:sz w:val="20"/>
                <w:szCs w:val="20"/>
                <w:color w:val="auto"/>
              </w:rPr>
            </w:pPr>
            <w:r>
              <w:rPr>
                <w:rFonts w:ascii="Arial" w:cs="Arial" w:eastAsia="Arial" w:hAnsi="Arial"/>
                <w:sz w:val="20"/>
                <w:szCs w:val="20"/>
                <w:color w:val="auto"/>
              </w:rPr>
              <w:t>Extraordinary, unrealized or non-recurring gains</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4800" w:type="dxa"/>
            <w:vAlign w:val="bottom"/>
          </w:tcPr>
          <w:p>
            <w:pPr>
              <w:ind w:left="160"/>
              <w:spacing w:after="0"/>
              <w:rPr>
                <w:sz w:val="20"/>
                <w:szCs w:val="20"/>
                <w:color w:val="auto"/>
              </w:rPr>
            </w:pPr>
            <w:r>
              <w:rPr>
                <w:rFonts w:ascii="Arial" w:cs="Arial" w:eastAsia="Arial" w:hAnsi="Arial"/>
                <w:sz w:val="20"/>
                <w:szCs w:val="20"/>
                <w:color w:val="auto"/>
              </w:rPr>
              <w:t>Income tax benefits</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9.</w:t>
            </w:r>
          </w:p>
        </w:tc>
        <w:tc>
          <w:tcPr>
            <w:tcW w:w="4800" w:type="dxa"/>
            <w:vAlign w:val="bottom"/>
          </w:tcPr>
          <w:p>
            <w:pPr>
              <w:ind w:left="160"/>
              <w:spacing w:after="0"/>
              <w:rPr>
                <w:sz w:val="20"/>
                <w:szCs w:val="20"/>
                <w:color w:val="auto"/>
              </w:rPr>
            </w:pPr>
            <w:r>
              <w:rPr>
                <w:rFonts w:ascii="Arial" w:cs="Arial" w:eastAsia="Arial" w:hAnsi="Arial"/>
                <w:sz w:val="20"/>
                <w:szCs w:val="20"/>
                <w:color w:val="auto"/>
              </w:rPr>
              <w:t>Sum of Lines C2, C3, C4, C5 and C6</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10.</w:t>
            </w:r>
          </w:p>
        </w:tc>
        <w:tc>
          <w:tcPr>
            <w:tcW w:w="4800" w:type="dxa"/>
            <w:vAlign w:val="bottom"/>
          </w:tcPr>
          <w:p>
            <w:pPr>
              <w:ind w:left="160"/>
              <w:spacing w:after="0"/>
              <w:rPr>
                <w:sz w:val="20"/>
                <w:szCs w:val="20"/>
                <w:color w:val="auto"/>
              </w:rPr>
            </w:pPr>
            <w:r>
              <w:rPr>
                <w:rFonts w:ascii="Arial" w:cs="Arial" w:eastAsia="Arial" w:hAnsi="Arial"/>
                <w:sz w:val="20"/>
                <w:szCs w:val="20"/>
                <w:color w:val="auto"/>
              </w:rPr>
              <w:t>Sum of Lines C7 and C8</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05"/>
        </w:trPr>
        <w:tc>
          <w:tcPr>
            <w:tcW w:w="420" w:type="dxa"/>
            <w:vAlign w:val="bottom"/>
          </w:tcPr>
          <w:p>
            <w:pPr>
              <w:spacing w:after="0"/>
              <w:rPr>
                <w:sz w:val="20"/>
                <w:szCs w:val="20"/>
                <w:color w:val="auto"/>
              </w:rPr>
            </w:pPr>
            <w:r>
              <w:rPr>
                <w:rFonts w:ascii="Arial" w:cs="Arial" w:eastAsia="Arial" w:hAnsi="Arial"/>
                <w:sz w:val="20"/>
                <w:szCs w:val="20"/>
                <w:color w:val="auto"/>
              </w:rPr>
              <w:t>11.</w:t>
            </w:r>
          </w:p>
        </w:tc>
        <w:tc>
          <w:tcPr>
            <w:tcW w:w="4800" w:type="dxa"/>
            <w:vAlign w:val="bottom"/>
          </w:tcPr>
          <w:p>
            <w:pPr>
              <w:ind w:left="160"/>
              <w:spacing w:after="0"/>
              <w:rPr>
                <w:sz w:val="20"/>
                <w:szCs w:val="20"/>
                <w:color w:val="auto"/>
              </w:rPr>
            </w:pPr>
            <w:r>
              <w:rPr>
                <w:rFonts w:ascii="Arial" w:cs="Arial" w:eastAsia="Arial" w:hAnsi="Arial"/>
                <w:sz w:val="20"/>
                <w:szCs w:val="20"/>
                <w:color w:val="auto"/>
              </w:rPr>
              <w:t>Line C1 plus Line C9 minus Line C10</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250"/>
        </w:trPr>
        <w:tc>
          <w:tcPr>
            <w:tcW w:w="42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20"/>
                <w:szCs w:val="20"/>
                <w:i w:val="1"/>
                <w:iCs w:val="1"/>
                <w:color w:val="auto"/>
              </w:rPr>
              <w:t>(“EBITDA”</w:t>
            </w:r>
            <w:r>
              <w:rPr>
                <w:rFonts w:ascii="Arial" w:cs="Arial" w:eastAsia="Arial" w:hAnsi="Arial"/>
                <w:sz w:val="20"/>
                <w:szCs w:val="20"/>
                <w:color w:val="auto"/>
              </w:rPr>
              <w:t>)</w:t>
            </w:r>
          </w:p>
        </w:tc>
        <w:tc>
          <w:tcPr>
            <w:tcW w:w="1820" w:type="dxa"/>
            <w:vAlign w:val="bottom"/>
          </w:tcPr>
          <w:p>
            <w:pPr>
              <w:spacing w:after="0"/>
              <w:rPr>
                <w:sz w:val="21"/>
                <w:szCs w:val="21"/>
                <w:color w:val="auto"/>
              </w:rPr>
            </w:pPr>
          </w:p>
        </w:tc>
      </w:tr>
      <w:tr>
        <w:trPr>
          <w:trHeight w:val="334"/>
        </w:trPr>
        <w:tc>
          <w:tcPr>
            <w:tcW w:w="420" w:type="dxa"/>
            <w:vAlign w:val="bottom"/>
          </w:tcPr>
          <w:p>
            <w:pPr>
              <w:spacing w:after="0"/>
              <w:rPr>
                <w:sz w:val="20"/>
                <w:szCs w:val="20"/>
                <w:color w:val="auto"/>
              </w:rPr>
            </w:pPr>
            <w:r>
              <w:rPr>
                <w:rFonts w:ascii="Arial" w:cs="Arial" w:eastAsia="Arial" w:hAnsi="Arial"/>
                <w:sz w:val="20"/>
                <w:szCs w:val="20"/>
                <w:color w:val="auto"/>
              </w:rPr>
              <w:t>12.</w:t>
            </w:r>
          </w:p>
        </w:tc>
        <w:tc>
          <w:tcPr>
            <w:tcW w:w="4800" w:type="dxa"/>
            <w:vAlign w:val="bottom"/>
          </w:tcPr>
          <w:p>
            <w:pPr>
              <w:ind w:left="160"/>
              <w:spacing w:after="0"/>
              <w:rPr>
                <w:sz w:val="20"/>
                <w:szCs w:val="20"/>
                <w:color w:val="auto"/>
              </w:rPr>
            </w:pPr>
            <w:r>
              <w:rPr>
                <w:rFonts w:ascii="Arial" w:cs="Arial" w:eastAsia="Arial" w:hAnsi="Arial"/>
                <w:sz w:val="20"/>
                <w:szCs w:val="20"/>
                <w:color w:val="auto"/>
              </w:rPr>
              <w:t>Annual Capital Expenditure Reserve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13.</w:t>
            </w:r>
          </w:p>
        </w:tc>
        <w:tc>
          <w:tcPr>
            <w:tcW w:w="4800" w:type="dxa"/>
            <w:vAlign w:val="bottom"/>
          </w:tcPr>
          <w:p>
            <w:pPr>
              <w:ind w:left="160"/>
              <w:spacing w:after="0"/>
              <w:rPr>
                <w:sz w:val="20"/>
                <w:szCs w:val="20"/>
                <w:color w:val="auto"/>
              </w:rPr>
            </w:pPr>
            <w:r>
              <w:rPr>
                <w:rFonts w:ascii="Arial" w:cs="Arial" w:eastAsia="Arial" w:hAnsi="Arial"/>
                <w:sz w:val="20"/>
                <w:szCs w:val="20"/>
                <w:color w:val="auto"/>
              </w:rPr>
              <w:t>Line C11 minus Line C12 (</w:t>
            </w:r>
            <w:r>
              <w:rPr>
                <w:rFonts w:ascii="Arial" w:cs="Arial" w:eastAsia="Arial" w:hAnsi="Arial"/>
                <w:sz w:val="20"/>
                <w:szCs w:val="20"/>
                <w:i w:val="1"/>
                <w:iCs w:val="1"/>
                <w:color w:val="auto"/>
              </w:rPr>
              <w:t>“Adjusted EBITDA”</w:t>
            </w:r>
            <w:r>
              <w:rPr>
                <w:rFonts w:ascii="Arial" w:cs="Arial" w:eastAsia="Arial" w:hAnsi="Arial"/>
                <w:sz w:val="20"/>
                <w:szCs w:val="20"/>
                <w:color w:val="auto"/>
              </w:rPr>
              <w:t>)</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656"/>
        </w:trPr>
        <w:tc>
          <w:tcPr>
            <w:tcW w:w="420" w:type="dxa"/>
            <w:vAlign w:val="bottom"/>
          </w:tcPr>
          <w:p>
            <w:pPr>
              <w:spacing w:after="0"/>
              <w:rPr>
                <w:sz w:val="20"/>
                <w:szCs w:val="20"/>
                <w:color w:val="auto"/>
              </w:rPr>
            </w:pPr>
            <w:r>
              <w:rPr>
                <w:rFonts w:ascii="Arial" w:cs="Arial" w:eastAsia="Arial" w:hAnsi="Arial"/>
                <w:sz w:val="20"/>
                <w:szCs w:val="20"/>
                <w:color w:val="auto"/>
              </w:rPr>
              <w:t>14.</w:t>
            </w:r>
          </w:p>
        </w:tc>
        <w:tc>
          <w:tcPr>
            <w:tcW w:w="4800" w:type="dxa"/>
            <w:vAlign w:val="bottom"/>
          </w:tcPr>
          <w:p>
            <w:pPr>
              <w:ind w:left="160"/>
              <w:spacing w:after="0"/>
              <w:rPr>
                <w:sz w:val="20"/>
                <w:szCs w:val="20"/>
                <w:color w:val="auto"/>
              </w:rPr>
            </w:pPr>
            <w:r>
              <w:rPr>
                <w:rFonts w:ascii="Arial" w:cs="Arial" w:eastAsia="Arial" w:hAnsi="Arial"/>
                <w:sz w:val="20"/>
                <w:szCs w:val="20"/>
                <w:color w:val="auto"/>
              </w:rPr>
              <w:t>Interest Expense</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15.</w:t>
            </w:r>
          </w:p>
        </w:tc>
        <w:tc>
          <w:tcPr>
            <w:tcW w:w="4800" w:type="dxa"/>
            <w:vAlign w:val="bottom"/>
          </w:tcPr>
          <w:p>
            <w:pPr>
              <w:ind w:left="160"/>
              <w:spacing w:after="0"/>
              <w:rPr>
                <w:sz w:val="20"/>
                <w:szCs w:val="20"/>
                <w:color w:val="auto"/>
              </w:rPr>
            </w:pPr>
            <w:r>
              <w:rPr>
                <w:rFonts w:ascii="Arial" w:cs="Arial" w:eastAsia="Arial" w:hAnsi="Arial"/>
                <w:sz w:val="20"/>
                <w:szCs w:val="20"/>
                <w:color w:val="auto"/>
              </w:rPr>
              <w:t>Principal Amortization Payments</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16.</w:t>
            </w:r>
          </w:p>
        </w:tc>
        <w:tc>
          <w:tcPr>
            <w:tcW w:w="4800" w:type="dxa"/>
            <w:vAlign w:val="bottom"/>
          </w:tcPr>
          <w:p>
            <w:pPr>
              <w:ind w:left="160"/>
              <w:spacing w:after="0"/>
              <w:rPr>
                <w:sz w:val="20"/>
                <w:szCs w:val="20"/>
                <w:color w:val="auto"/>
              </w:rPr>
            </w:pPr>
            <w:r>
              <w:rPr>
                <w:rFonts w:ascii="Arial" w:cs="Arial" w:eastAsia="Arial" w:hAnsi="Arial"/>
                <w:sz w:val="20"/>
                <w:szCs w:val="20"/>
                <w:color w:val="auto"/>
              </w:rPr>
              <w:t>Dividends on Preferred Stock</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32"/>
        </w:trPr>
        <w:tc>
          <w:tcPr>
            <w:tcW w:w="420" w:type="dxa"/>
            <w:vAlign w:val="bottom"/>
          </w:tcPr>
          <w:p>
            <w:pPr>
              <w:spacing w:after="0"/>
              <w:rPr>
                <w:sz w:val="20"/>
                <w:szCs w:val="20"/>
                <w:color w:val="auto"/>
              </w:rPr>
            </w:pPr>
            <w:r>
              <w:rPr>
                <w:rFonts w:ascii="Arial" w:cs="Arial" w:eastAsia="Arial" w:hAnsi="Arial"/>
                <w:sz w:val="20"/>
                <w:szCs w:val="20"/>
                <w:color w:val="auto"/>
              </w:rPr>
              <w:t>17.</w:t>
            </w:r>
          </w:p>
        </w:tc>
        <w:tc>
          <w:tcPr>
            <w:tcW w:w="4800" w:type="dxa"/>
            <w:vAlign w:val="bottom"/>
          </w:tcPr>
          <w:p>
            <w:pPr>
              <w:ind w:left="160"/>
              <w:spacing w:after="0"/>
              <w:rPr>
                <w:sz w:val="20"/>
                <w:szCs w:val="20"/>
                <w:color w:val="auto"/>
              </w:rPr>
            </w:pPr>
            <w:r>
              <w:rPr>
                <w:rFonts w:ascii="Arial" w:cs="Arial" w:eastAsia="Arial" w:hAnsi="Arial"/>
                <w:sz w:val="20"/>
                <w:szCs w:val="20"/>
                <w:color w:val="auto"/>
              </w:rPr>
              <w:t>Income Taxes Paid</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505"/>
        </w:trPr>
        <w:tc>
          <w:tcPr>
            <w:tcW w:w="420" w:type="dxa"/>
            <w:vAlign w:val="bottom"/>
          </w:tcPr>
          <w:p>
            <w:pPr>
              <w:spacing w:after="0"/>
              <w:rPr>
                <w:sz w:val="20"/>
                <w:szCs w:val="20"/>
                <w:color w:val="auto"/>
              </w:rPr>
            </w:pPr>
            <w:r>
              <w:rPr>
                <w:rFonts w:ascii="Arial" w:cs="Arial" w:eastAsia="Arial" w:hAnsi="Arial"/>
                <w:sz w:val="20"/>
                <w:szCs w:val="20"/>
                <w:color w:val="auto"/>
              </w:rPr>
              <w:t>18.</w:t>
            </w:r>
          </w:p>
        </w:tc>
        <w:tc>
          <w:tcPr>
            <w:tcW w:w="4800" w:type="dxa"/>
            <w:vAlign w:val="bottom"/>
          </w:tcPr>
          <w:p>
            <w:pPr>
              <w:ind w:left="160"/>
              <w:spacing w:after="0"/>
              <w:rPr>
                <w:sz w:val="20"/>
                <w:szCs w:val="20"/>
                <w:color w:val="auto"/>
              </w:rPr>
            </w:pPr>
            <w:r>
              <w:rPr>
                <w:rFonts w:ascii="Arial" w:cs="Arial" w:eastAsia="Arial" w:hAnsi="Arial"/>
                <w:sz w:val="20"/>
                <w:szCs w:val="20"/>
                <w:color w:val="auto"/>
              </w:rPr>
              <w:t>Sum of Lines C14, C15, C16 and C17 (</w:t>
            </w:r>
            <w:r>
              <w:rPr>
                <w:rFonts w:ascii="Arial" w:cs="Arial" w:eastAsia="Arial" w:hAnsi="Arial"/>
                <w:sz w:val="20"/>
                <w:szCs w:val="20"/>
                <w:i w:val="1"/>
                <w:iCs w:val="1"/>
                <w:color w:val="auto"/>
              </w:rPr>
              <w:t>“Fixed</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___________</w:t>
            </w:r>
          </w:p>
        </w:tc>
      </w:tr>
      <w:tr>
        <w:trPr>
          <w:trHeight w:val="250"/>
        </w:trPr>
        <w:tc>
          <w:tcPr>
            <w:tcW w:w="42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20"/>
                <w:szCs w:val="20"/>
                <w:i w:val="1"/>
                <w:iCs w:val="1"/>
                <w:color w:val="auto"/>
              </w:rPr>
              <w:t>Charges”</w:t>
            </w:r>
            <w:r>
              <w:rPr>
                <w:rFonts w:ascii="Arial" w:cs="Arial" w:eastAsia="Arial" w:hAnsi="Arial"/>
                <w:sz w:val="20"/>
                <w:szCs w:val="20"/>
                <w:color w:val="auto"/>
              </w:rPr>
              <w:t>)</w:t>
            </w:r>
          </w:p>
        </w:tc>
        <w:tc>
          <w:tcPr>
            <w:tcW w:w="1820" w:type="dxa"/>
            <w:vAlign w:val="bottom"/>
          </w:tcPr>
          <w:p>
            <w:pPr>
              <w:spacing w:after="0"/>
              <w:rPr>
                <w:sz w:val="21"/>
                <w:szCs w:val="21"/>
                <w:color w:val="auto"/>
              </w:rPr>
            </w:pPr>
          </w:p>
        </w:tc>
      </w:tr>
      <w:tr>
        <w:trPr>
          <w:trHeight w:val="334"/>
        </w:trPr>
        <w:tc>
          <w:tcPr>
            <w:tcW w:w="420" w:type="dxa"/>
            <w:vAlign w:val="bottom"/>
          </w:tcPr>
          <w:p>
            <w:pPr>
              <w:spacing w:after="0"/>
              <w:rPr>
                <w:sz w:val="20"/>
                <w:szCs w:val="20"/>
                <w:color w:val="auto"/>
              </w:rPr>
            </w:pPr>
            <w:r>
              <w:rPr>
                <w:rFonts w:ascii="Arial" w:cs="Arial" w:eastAsia="Arial" w:hAnsi="Arial"/>
                <w:sz w:val="20"/>
                <w:szCs w:val="20"/>
                <w:color w:val="auto"/>
              </w:rPr>
              <w:t>19.</w:t>
            </w:r>
          </w:p>
        </w:tc>
        <w:tc>
          <w:tcPr>
            <w:tcW w:w="4800" w:type="dxa"/>
            <w:vAlign w:val="bottom"/>
          </w:tcPr>
          <w:p>
            <w:pPr>
              <w:ind w:left="160"/>
              <w:spacing w:after="0"/>
              <w:rPr>
                <w:sz w:val="20"/>
                <w:szCs w:val="20"/>
                <w:color w:val="auto"/>
              </w:rPr>
            </w:pPr>
            <w:r>
              <w:rPr>
                <w:rFonts w:ascii="Arial" w:cs="Arial" w:eastAsia="Arial" w:hAnsi="Arial"/>
                <w:sz w:val="20"/>
                <w:szCs w:val="20"/>
                <w:color w:val="auto"/>
              </w:rPr>
              <w:t>Ratio of Line C13 to Line C18</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____:1.0</w:t>
            </w: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66" w:name="page167"/>
    <w:bookmarkEnd w:id="166"/>
    <w:tbl>
      <w:tblPr>
        <w:tblLayout w:type="fixed"/>
        <w:tblInd w:w="860" w:type="dxa"/>
        <w:tblCellMar>
          <w:top w:w="0" w:type="dxa"/>
          <w:left w:w="0" w:type="dxa"/>
          <w:bottom w:w="0" w:type="dxa"/>
          <w:right w:w="0" w:type="dxa"/>
        </w:tblCellMar>
      </w:tblPr>
      <w:tr>
        <w:trPr>
          <w:trHeight w:val="250"/>
        </w:trPr>
        <w:tc>
          <w:tcPr>
            <w:tcW w:w="420" w:type="dxa"/>
            <w:vAlign w:val="bottom"/>
          </w:tcPr>
          <w:p>
            <w:pPr>
              <w:jc w:val="right"/>
              <w:ind w:right="81"/>
              <w:spacing w:after="0"/>
              <w:rPr>
                <w:sz w:val="20"/>
                <w:szCs w:val="20"/>
                <w:color w:val="auto"/>
              </w:rPr>
            </w:pPr>
            <w:r>
              <w:rPr>
                <w:rFonts w:ascii="Arial" w:cs="Arial" w:eastAsia="Arial" w:hAnsi="Arial"/>
                <w:sz w:val="20"/>
                <w:szCs w:val="20"/>
                <w:color w:val="auto"/>
                <w:w w:val="78"/>
              </w:rPr>
              <w:t>20.</w:t>
            </w:r>
          </w:p>
        </w:tc>
        <w:tc>
          <w:tcPr>
            <w:tcW w:w="4860" w:type="dxa"/>
            <w:vAlign w:val="bottom"/>
          </w:tcPr>
          <w:p>
            <w:pPr>
              <w:ind w:left="160"/>
              <w:spacing w:after="0"/>
              <w:rPr>
                <w:sz w:val="20"/>
                <w:szCs w:val="20"/>
                <w:color w:val="auto"/>
              </w:rPr>
            </w:pPr>
            <w:r>
              <w:rPr>
                <w:rFonts w:ascii="Arial" w:cs="Arial" w:eastAsia="Arial" w:hAnsi="Arial"/>
                <w:sz w:val="20"/>
                <w:szCs w:val="20"/>
                <w:color w:val="auto"/>
              </w:rPr>
              <w:t>Line C19 shall not be less than</w:t>
            </w:r>
          </w:p>
        </w:tc>
        <w:tc>
          <w:tcPr>
            <w:tcW w:w="1500" w:type="dxa"/>
            <w:vAlign w:val="bottom"/>
          </w:tcPr>
          <w:p>
            <w:pPr>
              <w:jc w:val="right"/>
              <w:spacing w:after="0"/>
              <w:rPr>
                <w:sz w:val="20"/>
                <w:szCs w:val="20"/>
                <w:color w:val="auto"/>
              </w:rPr>
            </w:pPr>
            <w:r>
              <w:rPr>
                <w:rFonts w:ascii="Arial" w:cs="Arial" w:eastAsia="Arial" w:hAnsi="Arial"/>
                <w:sz w:val="20"/>
                <w:szCs w:val="20"/>
                <w:color w:val="auto"/>
              </w:rPr>
              <w:t>1.50:1.0</w:t>
            </w:r>
          </w:p>
        </w:tc>
      </w:tr>
      <w:tr>
        <w:trPr>
          <w:trHeight w:val="532"/>
        </w:trPr>
        <w:tc>
          <w:tcPr>
            <w:tcW w:w="420" w:type="dxa"/>
            <w:vAlign w:val="bottom"/>
          </w:tcPr>
          <w:p>
            <w:pPr>
              <w:jc w:val="right"/>
              <w:ind w:right="81"/>
              <w:spacing w:after="0"/>
              <w:rPr>
                <w:sz w:val="20"/>
                <w:szCs w:val="20"/>
                <w:color w:val="auto"/>
              </w:rPr>
            </w:pPr>
            <w:r>
              <w:rPr>
                <w:rFonts w:ascii="Arial" w:cs="Arial" w:eastAsia="Arial" w:hAnsi="Arial"/>
                <w:sz w:val="20"/>
                <w:szCs w:val="20"/>
                <w:color w:val="auto"/>
                <w:w w:val="78"/>
              </w:rPr>
              <w:t>21.</w:t>
            </w:r>
          </w:p>
        </w:tc>
        <w:tc>
          <w:tcPr>
            <w:tcW w:w="4860" w:type="dxa"/>
            <w:vAlign w:val="bottom"/>
          </w:tcPr>
          <w:p>
            <w:pPr>
              <w:ind w:left="160"/>
              <w:spacing w:after="0"/>
              <w:rPr>
                <w:sz w:val="20"/>
                <w:szCs w:val="20"/>
                <w:color w:val="auto"/>
              </w:rPr>
            </w:pPr>
            <w:r>
              <w:rPr>
                <w:rFonts w:ascii="Arial" w:cs="Arial" w:eastAsia="Arial" w:hAnsi="Arial"/>
                <w:sz w:val="20"/>
                <w:szCs w:val="20"/>
                <w:color w:val="auto"/>
              </w:rPr>
              <w:t>The Borrower is in compliance (circle yes or no)</w:t>
            </w:r>
          </w:p>
        </w:tc>
        <w:tc>
          <w:tcPr>
            <w:tcW w:w="1500" w:type="dxa"/>
            <w:vAlign w:val="bottom"/>
          </w:tcPr>
          <w:p>
            <w:pPr>
              <w:jc w:val="center"/>
              <w:ind w:left="741"/>
              <w:spacing w:after="0"/>
              <w:rPr>
                <w:sz w:val="20"/>
                <w:szCs w:val="20"/>
                <w:color w:val="auto"/>
              </w:rPr>
            </w:pPr>
            <w:r>
              <w:rPr>
                <w:rFonts w:ascii="Arial" w:cs="Arial" w:eastAsia="Arial" w:hAnsi="Arial"/>
                <w:sz w:val="20"/>
                <w:szCs w:val="20"/>
                <w:color w:val="auto"/>
                <w:w w:val="84"/>
              </w:rPr>
              <w:t>yes/no</w:t>
            </w:r>
          </w:p>
        </w:tc>
      </w:tr>
    </w:tbl>
    <w:p>
      <w:pPr>
        <w:spacing w:after="0" w:line="200" w:lineRule="exact"/>
        <w:rPr>
          <w:sz w:val="20"/>
          <w:szCs w:val="20"/>
          <w:color w:val="auto"/>
        </w:rPr>
      </w:pPr>
    </w:p>
    <w:p>
      <w:pPr>
        <w:spacing w:after="0" w:line="206" w:lineRule="exact"/>
        <w:rPr>
          <w:sz w:val="20"/>
          <w:szCs w:val="20"/>
          <w:color w:val="auto"/>
        </w:rPr>
      </w:pPr>
    </w:p>
    <w:p>
      <w:pPr>
        <w:ind w:left="860" w:right="3639" w:hanging="600"/>
        <w:spacing w:after="0" w:line="253" w:lineRule="auto"/>
        <w:tabs>
          <w:tab w:leader="none" w:pos="86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Maximum Secured Recourse Indebtedness to Total Asset Value Ratio (Section 8.20(d))</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800" w:type="dxa"/>
            <w:vAlign w:val="bottom"/>
          </w:tcPr>
          <w:p>
            <w:pPr>
              <w:ind w:left="220"/>
              <w:spacing w:after="0"/>
              <w:rPr>
                <w:sz w:val="20"/>
                <w:szCs w:val="20"/>
                <w:color w:val="auto"/>
              </w:rPr>
            </w:pPr>
            <w:r>
              <w:rPr>
                <w:rFonts w:ascii="Arial" w:cs="Arial" w:eastAsia="Arial" w:hAnsi="Arial"/>
                <w:sz w:val="20"/>
                <w:szCs w:val="20"/>
                <w:color w:val="auto"/>
              </w:rPr>
              <w:t>Secured Recourse Indebtedness</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8"/>
              </w:rPr>
              <w:t>$___________</w:t>
            </w: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800" w:type="dxa"/>
            <w:vAlign w:val="bottom"/>
          </w:tcPr>
          <w:p>
            <w:pPr>
              <w:ind w:left="220"/>
              <w:spacing w:after="0"/>
              <w:rPr>
                <w:sz w:val="20"/>
                <w:szCs w:val="20"/>
                <w:color w:val="auto"/>
              </w:rPr>
            </w:pPr>
            <w:r>
              <w:rPr>
                <w:rFonts w:ascii="Arial" w:cs="Arial" w:eastAsia="Arial" w:hAnsi="Arial"/>
                <w:sz w:val="20"/>
                <w:szCs w:val="20"/>
                <w:color w:val="auto"/>
              </w:rPr>
              <w:t>Total Asset Value as calculated on Exhibit A</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___________</w:t>
            </w:r>
          </w:p>
        </w:tc>
      </w:tr>
      <w:tr>
        <w:trPr>
          <w:trHeight w:val="250"/>
        </w:trPr>
        <w:tc>
          <w:tcPr>
            <w:tcW w:w="360" w:type="dxa"/>
            <w:vAlign w:val="bottom"/>
          </w:tcPr>
          <w:p>
            <w:pPr>
              <w:spacing w:after="0"/>
              <w:rPr>
                <w:sz w:val="21"/>
                <w:szCs w:val="21"/>
                <w:color w:val="auto"/>
              </w:rPr>
            </w:pPr>
          </w:p>
        </w:tc>
        <w:tc>
          <w:tcPr>
            <w:tcW w:w="4800" w:type="dxa"/>
            <w:vAlign w:val="bottom"/>
          </w:tcPr>
          <w:p>
            <w:pPr>
              <w:ind w:left="220"/>
              <w:spacing w:after="0"/>
              <w:rPr>
                <w:sz w:val="20"/>
                <w:szCs w:val="20"/>
                <w:color w:val="auto"/>
              </w:rPr>
            </w:pPr>
            <w:r>
              <w:rPr>
                <w:rFonts w:ascii="Arial" w:cs="Arial" w:eastAsia="Arial" w:hAnsi="Arial"/>
                <w:sz w:val="20"/>
                <w:szCs w:val="20"/>
                <w:color w:val="auto"/>
              </w:rPr>
              <w:t>hereto</w:t>
            </w:r>
          </w:p>
        </w:tc>
        <w:tc>
          <w:tcPr>
            <w:tcW w:w="1880" w:type="dxa"/>
            <w:vAlign w:val="bottom"/>
          </w:tcPr>
          <w:p>
            <w:pPr>
              <w:spacing w:after="0"/>
              <w:rPr>
                <w:sz w:val="21"/>
                <w:szCs w:val="2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800" w:type="dxa"/>
            <w:vAlign w:val="bottom"/>
          </w:tcPr>
          <w:p>
            <w:pPr>
              <w:ind w:left="220"/>
              <w:spacing w:after="0"/>
              <w:rPr>
                <w:sz w:val="20"/>
                <w:szCs w:val="20"/>
                <w:color w:val="auto"/>
              </w:rPr>
            </w:pPr>
            <w:r>
              <w:rPr>
                <w:rFonts w:ascii="Arial" w:cs="Arial" w:eastAsia="Arial" w:hAnsi="Arial"/>
                <w:sz w:val="20"/>
                <w:szCs w:val="20"/>
                <w:color w:val="auto"/>
              </w:rPr>
              <w:t>Ratio of Line D1 to Line D2</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89"/>
              </w:rPr>
              <w:t>____:1.0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800" w:type="dxa"/>
            <w:vAlign w:val="bottom"/>
          </w:tcPr>
          <w:p>
            <w:pPr>
              <w:ind w:left="220"/>
              <w:spacing w:after="0"/>
              <w:rPr>
                <w:sz w:val="20"/>
                <w:szCs w:val="20"/>
                <w:color w:val="auto"/>
              </w:rPr>
            </w:pPr>
            <w:r>
              <w:rPr>
                <w:rFonts w:ascii="Arial" w:cs="Arial" w:eastAsia="Arial" w:hAnsi="Arial"/>
                <w:sz w:val="20"/>
                <w:szCs w:val="20"/>
                <w:color w:val="auto"/>
              </w:rPr>
              <w:t>Line D3 shall not exceed</w:t>
            </w:r>
          </w:p>
        </w:tc>
        <w:tc>
          <w:tcPr>
            <w:tcW w:w="1880" w:type="dxa"/>
            <w:vAlign w:val="bottom"/>
          </w:tcPr>
          <w:p>
            <w:pPr>
              <w:jc w:val="center"/>
              <w:ind w:left="601"/>
              <w:spacing w:after="0"/>
              <w:rPr>
                <w:sz w:val="20"/>
                <w:szCs w:val="20"/>
                <w:color w:val="auto"/>
              </w:rPr>
            </w:pPr>
            <w:r>
              <w:rPr>
                <w:rFonts w:ascii="Arial" w:cs="Arial" w:eastAsia="Arial" w:hAnsi="Arial"/>
                <w:sz w:val="20"/>
                <w:szCs w:val="20"/>
                <w:color w:val="auto"/>
                <w:w w:val="91"/>
              </w:rPr>
              <w:t>0.05:1.0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4800" w:type="dxa"/>
            <w:vAlign w:val="bottom"/>
          </w:tcPr>
          <w:p>
            <w:pPr>
              <w:ind w:left="220"/>
              <w:spacing w:after="0"/>
              <w:rPr>
                <w:sz w:val="20"/>
                <w:szCs w:val="20"/>
                <w:color w:val="auto"/>
              </w:rPr>
            </w:pPr>
            <w:r>
              <w:rPr>
                <w:rFonts w:ascii="Arial" w:cs="Arial" w:eastAsia="Arial" w:hAnsi="Arial"/>
                <w:sz w:val="20"/>
                <w:szCs w:val="20"/>
                <w:color w:val="auto"/>
              </w:rPr>
              <w:t>The Borrower is in compliance (circle yes or no)</w:t>
            </w:r>
          </w:p>
        </w:tc>
        <w:tc>
          <w:tcPr>
            <w:tcW w:w="1880" w:type="dxa"/>
            <w:vAlign w:val="bottom"/>
          </w:tcPr>
          <w:p>
            <w:pPr>
              <w:ind w:left="1040"/>
              <w:spacing w:after="0"/>
              <w:rPr>
                <w:sz w:val="20"/>
                <w:szCs w:val="20"/>
                <w:color w:val="auto"/>
              </w:rPr>
            </w:pPr>
            <w:r>
              <w:rPr>
                <w:rFonts w:ascii="Arial" w:cs="Arial" w:eastAsia="Arial" w:hAnsi="Arial"/>
                <w:sz w:val="20"/>
                <w:szCs w:val="20"/>
                <w:color w:val="auto"/>
              </w:rPr>
              <w:t>yes/no</w:t>
            </w:r>
          </w:p>
        </w:tc>
      </w:tr>
    </w:tbl>
    <w:p>
      <w:pPr>
        <w:spacing w:after="0" w:line="282" w:lineRule="exact"/>
        <w:rPr>
          <w:sz w:val="20"/>
          <w:szCs w:val="20"/>
          <w:color w:val="auto"/>
        </w:rPr>
      </w:pPr>
    </w:p>
    <w:p>
      <w:pPr>
        <w:ind w:left="860" w:right="3799" w:hanging="588"/>
        <w:spacing w:after="0" w:line="253" w:lineRule="auto"/>
        <w:tabs>
          <w:tab w:leader="none" w:pos="86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Maximum Unsecured Indebtedness to Borrowing Base Value Ratio (Section 8.20(e))</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820" w:type="dxa"/>
            <w:vAlign w:val="bottom"/>
          </w:tcPr>
          <w:p>
            <w:pPr>
              <w:ind w:left="220"/>
              <w:spacing w:after="0"/>
              <w:rPr>
                <w:sz w:val="20"/>
                <w:szCs w:val="20"/>
                <w:color w:val="auto"/>
              </w:rPr>
            </w:pPr>
            <w:r>
              <w:rPr>
                <w:rFonts w:ascii="Arial" w:cs="Arial" w:eastAsia="Arial" w:hAnsi="Arial"/>
                <w:sz w:val="20"/>
                <w:szCs w:val="20"/>
                <w:color w:val="auto"/>
              </w:rPr>
              <w:t>Total Unsecured Indebtedness</w:t>
            </w:r>
          </w:p>
        </w:tc>
        <w:tc>
          <w:tcPr>
            <w:tcW w:w="1860" w:type="dxa"/>
            <w:vAlign w:val="bottom"/>
          </w:tcPr>
          <w:p>
            <w:pPr>
              <w:jc w:val="center"/>
              <w:ind w:left="581"/>
              <w:spacing w:after="0"/>
              <w:rPr>
                <w:sz w:val="20"/>
                <w:szCs w:val="20"/>
                <w:color w:val="auto"/>
              </w:rPr>
            </w:pPr>
            <w:r>
              <w:rPr>
                <w:rFonts w:ascii="Arial" w:cs="Arial" w:eastAsia="Arial" w:hAnsi="Arial"/>
                <w:sz w:val="20"/>
                <w:szCs w:val="20"/>
                <w:color w:val="auto"/>
                <w:w w:val="88"/>
              </w:rPr>
              <w:t>$___________</w:t>
            </w: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820" w:type="dxa"/>
            <w:vAlign w:val="bottom"/>
          </w:tcPr>
          <w:p>
            <w:pPr>
              <w:ind w:left="220"/>
              <w:spacing w:after="0"/>
              <w:rPr>
                <w:sz w:val="20"/>
                <w:szCs w:val="20"/>
                <w:color w:val="auto"/>
              </w:rPr>
            </w:pPr>
            <w:r>
              <w:rPr>
                <w:rFonts w:ascii="Arial" w:cs="Arial" w:eastAsia="Arial" w:hAnsi="Arial"/>
                <w:sz w:val="20"/>
                <w:szCs w:val="20"/>
                <w:color w:val="auto"/>
              </w:rPr>
              <w:t>Borrowing Base Value as calculated on Exhibit A</w:t>
            </w:r>
          </w:p>
        </w:tc>
        <w:tc>
          <w:tcPr>
            <w:tcW w:w="1860" w:type="dxa"/>
            <w:vAlign w:val="bottom"/>
          </w:tcPr>
          <w:p>
            <w:pPr>
              <w:jc w:val="center"/>
              <w:ind w:left="581"/>
              <w:spacing w:after="0"/>
              <w:rPr>
                <w:sz w:val="20"/>
                <w:szCs w:val="20"/>
                <w:color w:val="auto"/>
              </w:rPr>
            </w:pPr>
            <w:r>
              <w:rPr>
                <w:rFonts w:ascii="Arial" w:cs="Arial" w:eastAsia="Arial" w:hAnsi="Arial"/>
                <w:sz w:val="20"/>
                <w:szCs w:val="20"/>
                <w:color w:val="auto"/>
                <w:w w:val="89"/>
              </w:rPr>
              <w:t>___________</w:t>
            </w:r>
          </w:p>
        </w:tc>
      </w:tr>
      <w:tr>
        <w:trPr>
          <w:trHeight w:val="250"/>
        </w:trPr>
        <w:tc>
          <w:tcPr>
            <w:tcW w:w="360" w:type="dxa"/>
            <w:vAlign w:val="bottom"/>
          </w:tcPr>
          <w:p>
            <w:pPr>
              <w:spacing w:after="0"/>
              <w:rPr>
                <w:sz w:val="21"/>
                <w:szCs w:val="21"/>
                <w:color w:val="auto"/>
              </w:rPr>
            </w:pPr>
          </w:p>
        </w:tc>
        <w:tc>
          <w:tcPr>
            <w:tcW w:w="4820" w:type="dxa"/>
            <w:vAlign w:val="bottom"/>
          </w:tcPr>
          <w:p>
            <w:pPr>
              <w:ind w:left="220"/>
              <w:spacing w:after="0"/>
              <w:rPr>
                <w:sz w:val="20"/>
                <w:szCs w:val="20"/>
                <w:color w:val="auto"/>
              </w:rPr>
            </w:pPr>
            <w:r>
              <w:rPr>
                <w:rFonts w:ascii="Arial" w:cs="Arial" w:eastAsia="Arial" w:hAnsi="Arial"/>
                <w:sz w:val="20"/>
                <w:szCs w:val="20"/>
                <w:color w:val="auto"/>
              </w:rPr>
              <w:t>hereto</w:t>
            </w:r>
          </w:p>
        </w:tc>
        <w:tc>
          <w:tcPr>
            <w:tcW w:w="1860" w:type="dxa"/>
            <w:vAlign w:val="bottom"/>
          </w:tcPr>
          <w:p>
            <w:pPr>
              <w:spacing w:after="0"/>
              <w:rPr>
                <w:sz w:val="21"/>
                <w:szCs w:val="2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820" w:type="dxa"/>
            <w:vAlign w:val="bottom"/>
          </w:tcPr>
          <w:p>
            <w:pPr>
              <w:ind w:left="220"/>
              <w:spacing w:after="0"/>
              <w:rPr>
                <w:sz w:val="20"/>
                <w:szCs w:val="20"/>
                <w:color w:val="auto"/>
              </w:rPr>
            </w:pPr>
            <w:r>
              <w:rPr>
                <w:rFonts w:ascii="Arial" w:cs="Arial" w:eastAsia="Arial" w:hAnsi="Arial"/>
                <w:sz w:val="20"/>
                <w:szCs w:val="20"/>
                <w:color w:val="auto"/>
              </w:rPr>
              <w:t>Ratio of Line E1 to E2</w:t>
            </w:r>
          </w:p>
        </w:tc>
        <w:tc>
          <w:tcPr>
            <w:tcW w:w="1860" w:type="dxa"/>
            <w:vAlign w:val="bottom"/>
          </w:tcPr>
          <w:p>
            <w:pPr>
              <w:jc w:val="center"/>
              <w:ind w:left="581"/>
              <w:spacing w:after="0"/>
              <w:rPr>
                <w:sz w:val="20"/>
                <w:szCs w:val="20"/>
                <w:color w:val="auto"/>
              </w:rPr>
            </w:pPr>
            <w:r>
              <w:rPr>
                <w:rFonts w:ascii="Arial" w:cs="Arial" w:eastAsia="Arial" w:hAnsi="Arial"/>
                <w:sz w:val="20"/>
                <w:szCs w:val="20"/>
                <w:color w:val="auto"/>
                <w:w w:val="89"/>
              </w:rPr>
              <w:t>____:1.0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820" w:type="dxa"/>
            <w:vAlign w:val="bottom"/>
          </w:tcPr>
          <w:p>
            <w:pPr>
              <w:ind w:left="220"/>
              <w:spacing w:after="0"/>
              <w:rPr>
                <w:sz w:val="20"/>
                <w:szCs w:val="20"/>
                <w:color w:val="auto"/>
              </w:rPr>
            </w:pPr>
            <w:r>
              <w:rPr>
                <w:rFonts w:ascii="Arial" w:cs="Arial" w:eastAsia="Arial" w:hAnsi="Arial"/>
                <w:sz w:val="20"/>
                <w:szCs w:val="20"/>
                <w:color w:val="auto"/>
              </w:rPr>
              <w:t>Line E3 must not exceed</w:t>
            </w:r>
          </w:p>
        </w:tc>
        <w:tc>
          <w:tcPr>
            <w:tcW w:w="1860" w:type="dxa"/>
            <w:vAlign w:val="bottom"/>
          </w:tcPr>
          <w:p>
            <w:pPr>
              <w:jc w:val="center"/>
              <w:ind w:left="581"/>
              <w:spacing w:after="0"/>
              <w:rPr>
                <w:sz w:val="20"/>
                <w:szCs w:val="20"/>
                <w:color w:val="auto"/>
              </w:rPr>
            </w:pPr>
            <w:r>
              <w:rPr>
                <w:rFonts w:ascii="Arial" w:cs="Arial" w:eastAsia="Arial" w:hAnsi="Arial"/>
                <w:sz w:val="20"/>
                <w:szCs w:val="20"/>
                <w:color w:val="auto"/>
                <w:w w:val="91"/>
              </w:rPr>
              <w:t>0.60:1.0</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4820" w:type="dxa"/>
            <w:vAlign w:val="bottom"/>
          </w:tcPr>
          <w:p>
            <w:pPr>
              <w:ind w:left="220"/>
              <w:spacing w:after="0"/>
              <w:rPr>
                <w:sz w:val="20"/>
                <w:szCs w:val="20"/>
                <w:color w:val="auto"/>
              </w:rPr>
            </w:pPr>
            <w:r>
              <w:rPr>
                <w:rFonts w:ascii="Arial" w:cs="Arial" w:eastAsia="Arial" w:hAnsi="Arial"/>
                <w:sz w:val="20"/>
                <w:szCs w:val="20"/>
                <w:color w:val="auto"/>
              </w:rPr>
              <w:t>The Borrower is in compliance (circle yes or no)</w:t>
            </w:r>
          </w:p>
        </w:tc>
        <w:tc>
          <w:tcPr>
            <w:tcW w:w="1860" w:type="dxa"/>
            <w:vAlign w:val="bottom"/>
          </w:tcPr>
          <w:p>
            <w:pPr>
              <w:ind w:left="1020"/>
              <w:spacing w:after="0"/>
              <w:rPr>
                <w:sz w:val="20"/>
                <w:szCs w:val="20"/>
                <w:color w:val="auto"/>
              </w:rPr>
            </w:pPr>
            <w:r>
              <w:rPr>
                <w:rFonts w:ascii="Arial" w:cs="Arial" w:eastAsia="Arial" w:hAnsi="Arial"/>
                <w:sz w:val="20"/>
                <w:szCs w:val="20"/>
                <w:color w:val="auto"/>
              </w:rPr>
              <w:t>yes/no</w:t>
            </w:r>
          </w:p>
        </w:tc>
      </w:tr>
    </w:tbl>
    <w:p>
      <w:pPr>
        <w:spacing w:after="0" w:line="200" w:lineRule="exact"/>
        <w:rPr>
          <w:sz w:val="20"/>
          <w:szCs w:val="20"/>
          <w:color w:val="auto"/>
        </w:rPr>
      </w:pPr>
    </w:p>
    <w:p>
      <w:pPr>
        <w:spacing w:after="0" w:line="206" w:lineRule="exact"/>
        <w:rPr>
          <w:sz w:val="20"/>
          <w:szCs w:val="20"/>
          <w:color w:val="auto"/>
        </w:rPr>
      </w:pPr>
    </w:p>
    <w:p>
      <w:pPr>
        <w:ind w:left="860" w:hanging="600"/>
        <w:spacing w:after="0"/>
        <w:tabs>
          <w:tab w:leader="none" w:pos="86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Tangible Net Worth (Section 8.20(f))</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580" w:type="dxa"/>
            <w:vAlign w:val="bottom"/>
          </w:tcPr>
          <w:p>
            <w:pPr>
              <w:ind w:left="220"/>
              <w:spacing w:after="0"/>
              <w:rPr>
                <w:sz w:val="20"/>
                <w:szCs w:val="20"/>
                <w:color w:val="auto"/>
              </w:rPr>
            </w:pPr>
            <w:r>
              <w:rPr>
                <w:rFonts w:ascii="Arial" w:cs="Arial" w:eastAsia="Arial" w:hAnsi="Arial"/>
                <w:sz w:val="20"/>
                <w:szCs w:val="20"/>
                <w:color w:val="auto"/>
              </w:rPr>
              <w:t>Tangible Net Worth</w:t>
            </w:r>
          </w:p>
        </w:tc>
        <w:tc>
          <w:tcPr>
            <w:tcW w:w="2100" w:type="dxa"/>
            <w:vAlign w:val="bottom"/>
          </w:tcPr>
          <w:p>
            <w:pPr>
              <w:jc w:val="center"/>
              <w:ind w:left="821"/>
              <w:spacing w:after="0"/>
              <w:rPr>
                <w:sz w:val="20"/>
                <w:szCs w:val="20"/>
                <w:color w:val="auto"/>
              </w:rPr>
            </w:pPr>
            <w:r>
              <w:rPr>
                <w:rFonts w:ascii="Arial" w:cs="Arial" w:eastAsia="Arial" w:hAnsi="Arial"/>
                <w:sz w:val="20"/>
                <w:szCs w:val="20"/>
                <w:color w:val="auto"/>
                <w:w w:val="88"/>
              </w:rPr>
              <w:t>$___________</w:t>
            </w: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580" w:type="dxa"/>
            <w:vAlign w:val="bottom"/>
          </w:tcPr>
          <w:p>
            <w:pPr>
              <w:ind w:left="220"/>
              <w:spacing w:after="0"/>
              <w:rPr>
                <w:sz w:val="20"/>
                <w:szCs w:val="20"/>
                <w:color w:val="auto"/>
              </w:rPr>
            </w:pPr>
            <w:r>
              <w:rPr>
                <w:rFonts w:ascii="Arial" w:cs="Arial" w:eastAsia="Arial" w:hAnsi="Arial"/>
                <w:sz w:val="20"/>
                <w:szCs w:val="20"/>
                <w:color w:val="auto"/>
              </w:rPr>
              <w:t>Aggregate net proceeds of Stock and Stock</w:t>
            </w:r>
          </w:p>
        </w:tc>
        <w:tc>
          <w:tcPr>
            <w:tcW w:w="2100" w:type="dxa"/>
            <w:vAlign w:val="bottom"/>
          </w:tcPr>
          <w:p>
            <w:pPr>
              <w:jc w:val="center"/>
              <w:ind w:left="821"/>
              <w:spacing w:after="0"/>
              <w:rPr>
                <w:sz w:val="20"/>
                <w:szCs w:val="20"/>
                <w:color w:val="auto"/>
              </w:rPr>
            </w:pPr>
            <w:r>
              <w:rPr>
                <w:rFonts w:ascii="Arial" w:cs="Arial" w:eastAsia="Arial" w:hAnsi="Arial"/>
                <w:sz w:val="20"/>
                <w:szCs w:val="20"/>
                <w:color w:val="auto"/>
                <w:w w:val="89"/>
              </w:rPr>
              <w:t>___________</w:t>
            </w:r>
          </w:p>
        </w:tc>
      </w:tr>
      <w:tr>
        <w:trPr>
          <w:trHeight w:val="250"/>
        </w:trPr>
        <w:tc>
          <w:tcPr>
            <w:tcW w:w="360" w:type="dxa"/>
            <w:vAlign w:val="bottom"/>
          </w:tcPr>
          <w:p>
            <w:pPr>
              <w:spacing w:after="0"/>
              <w:rPr>
                <w:sz w:val="21"/>
                <w:szCs w:val="21"/>
                <w:color w:val="auto"/>
              </w:rPr>
            </w:pPr>
          </w:p>
        </w:tc>
        <w:tc>
          <w:tcPr>
            <w:tcW w:w="4580" w:type="dxa"/>
            <w:vAlign w:val="bottom"/>
          </w:tcPr>
          <w:p>
            <w:pPr>
              <w:ind w:left="220"/>
              <w:spacing w:after="0"/>
              <w:rPr>
                <w:sz w:val="20"/>
                <w:szCs w:val="20"/>
                <w:color w:val="auto"/>
              </w:rPr>
            </w:pPr>
            <w:r>
              <w:rPr>
                <w:rFonts w:ascii="Arial" w:cs="Arial" w:eastAsia="Arial" w:hAnsi="Arial"/>
                <w:sz w:val="20"/>
                <w:szCs w:val="20"/>
                <w:color w:val="auto"/>
              </w:rPr>
              <w:t>Equivalent offerings after June 30, 2021</w:t>
            </w:r>
          </w:p>
        </w:tc>
        <w:tc>
          <w:tcPr>
            <w:tcW w:w="2100" w:type="dxa"/>
            <w:vAlign w:val="bottom"/>
          </w:tcPr>
          <w:p>
            <w:pPr>
              <w:spacing w:after="0"/>
              <w:rPr>
                <w:sz w:val="21"/>
                <w:szCs w:val="2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580" w:type="dxa"/>
            <w:vAlign w:val="bottom"/>
          </w:tcPr>
          <w:p>
            <w:pPr>
              <w:ind w:left="220"/>
              <w:spacing w:after="0"/>
              <w:rPr>
                <w:sz w:val="20"/>
                <w:szCs w:val="20"/>
                <w:color w:val="auto"/>
              </w:rPr>
            </w:pPr>
            <w:r>
              <w:rPr>
                <w:rFonts w:ascii="Arial" w:cs="Arial" w:eastAsia="Arial" w:hAnsi="Arial"/>
                <w:sz w:val="20"/>
                <w:szCs w:val="20"/>
                <w:color w:val="auto"/>
              </w:rPr>
              <w:t>75% of Line F2</w:t>
            </w:r>
          </w:p>
        </w:tc>
        <w:tc>
          <w:tcPr>
            <w:tcW w:w="2100" w:type="dxa"/>
            <w:vAlign w:val="bottom"/>
          </w:tcPr>
          <w:p>
            <w:pPr>
              <w:jc w:val="center"/>
              <w:ind w:left="821"/>
              <w:spacing w:after="0"/>
              <w:rPr>
                <w:sz w:val="20"/>
                <w:szCs w:val="20"/>
                <w:color w:val="auto"/>
              </w:rPr>
            </w:pPr>
            <w:r>
              <w:rPr>
                <w:rFonts w:ascii="Arial" w:cs="Arial" w:eastAsia="Arial" w:hAnsi="Arial"/>
                <w:sz w:val="20"/>
                <w:szCs w:val="20"/>
                <w:color w:val="auto"/>
                <w:w w:val="89"/>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580" w:type="dxa"/>
            <w:vAlign w:val="bottom"/>
          </w:tcPr>
          <w:p>
            <w:pPr>
              <w:ind w:left="220"/>
              <w:spacing w:after="0"/>
              <w:rPr>
                <w:sz w:val="20"/>
                <w:szCs w:val="20"/>
                <w:color w:val="auto"/>
              </w:rPr>
            </w:pPr>
            <w:r>
              <w:rPr>
                <w:rFonts w:ascii="Arial" w:cs="Arial" w:eastAsia="Arial" w:hAnsi="Arial"/>
                <w:sz w:val="20"/>
                <w:szCs w:val="20"/>
                <w:color w:val="auto"/>
              </w:rPr>
              <w:t>$163,830,000 plus Line F3</w:t>
            </w:r>
          </w:p>
        </w:tc>
        <w:tc>
          <w:tcPr>
            <w:tcW w:w="2100" w:type="dxa"/>
            <w:vAlign w:val="bottom"/>
          </w:tcPr>
          <w:p>
            <w:pPr>
              <w:jc w:val="center"/>
              <w:ind w:left="821"/>
              <w:spacing w:after="0"/>
              <w:rPr>
                <w:sz w:val="20"/>
                <w:szCs w:val="20"/>
                <w:color w:val="auto"/>
              </w:rPr>
            </w:pPr>
            <w:r>
              <w:rPr>
                <w:rFonts w:ascii="Arial" w:cs="Arial" w:eastAsia="Arial" w:hAnsi="Arial"/>
                <w:sz w:val="20"/>
                <w:szCs w:val="20"/>
                <w:color w:val="auto"/>
                <w:w w:val="89"/>
              </w:rPr>
              <w:t>___________</w:t>
            </w: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67" w:name="page168"/>
    <w:bookmarkEnd w:id="167"/>
    <w:p>
      <w:pPr>
        <w:ind w:left="1440" w:hanging="586"/>
        <w:spacing w:after="0"/>
        <w:tabs>
          <w:tab w:leader="none" w:pos="14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Line F1 shall not be less than Line F4</w:t>
      </w:r>
    </w:p>
    <w:p>
      <w:pPr>
        <w:spacing w:after="0" w:line="302" w:lineRule="exact"/>
        <w:rPr>
          <w:sz w:val="20"/>
          <w:szCs w:val="20"/>
          <w:color w:val="auto"/>
        </w:rPr>
      </w:pPr>
    </w:p>
    <w:p>
      <w:pPr>
        <w:ind w:left="860"/>
        <w:spacing w:after="0"/>
        <w:tabs>
          <w:tab w:leader="none" w:pos="1420" w:val="left"/>
          <w:tab w:leader="none" w:pos="70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hanging="600"/>
        <w:spacing w:after="0"/>
        <w:tabs>
          <w:tab w:leader="none" w:pos="86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Investments (Joint Ventures) (Section 8.8(i))</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280" w:type="dxa"/>
            <w:vAlign w:val="bottom"/>
          </w:tcPr>
          <w:p>
            <w:pPr>
              <w:ind w:left="220"/>
              <w:spacing w:after="0"/>
              <w:rPr>
                <w:sz w:val="20"/>
                <w:szCs w:val="20"/>
                <w:color w:val="auto"/>
              </w:rPr>
            </w:pPr>
            <w:r>
              <w:rPr>
                <w:rFonts w:ascii="Arial" w:cs="Arial" w:eastAsia="Arial" w:hAnsi="Arial"/>
                <w:sz w:val="20"/>
                <w:szCs w:val="20"/>
                <w:color w:val="auto"/>
              </w:rPr>
              <w:t>Cash Investments in Joint Ventures</w:t>
            </w:r>
          </w:p>
        </w:tc>
        <w:tc>
          <w:tcPr>
            <w:tcW w:w="2440" w:type="dxa"/>
            <w:vAlign w:val="bottom"/>
          </w:tcPr>
          <w:p>
            <w:pPr>
              <w:jc w:val="center"/>
              <w:ind w:left="1161"/>
              <w:spacing w:after="0"/>
              <w:rPr>
                <w:sz w:val="20"/>
                <w:szCs w:val="20"/>
                <w:color w:val="auto"/>
              </w:rPr>
            </w:pPr>
            <w:r>
              <w:rPr>
                <w:rFonts w:ascii="Arial" w:cs="Arial" w:eastAsia="Arial" w:hAnsi="Arial"/>
                <w:sz w:val="20"/>
                <w:szCs w:val="20"/>
                <w:color w:val="auto"/>
                <w:w w:val="88"/>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280" w:type="dxa"/>
            <w:vAlign w:val="bottom"/>
          </w:tcPr>
          <w:p>
            <w:pPr>
              <w:ind w:left="220"/>
              <w:spacing w:after="0"/>
              <w:rPr>
                <w:sz w:val="20"/>
                <w:szCs w:val="20"/>
                <w:color w:val="auto"/>
              </w:rPr>
            </w:pPr>
            <w:r>
              <w:rPr>
                <w:rFonts w:ascii="Arial" w:cs="Arial" w:eastAsia="Arial" w:hAnsi="Arial"/>
                <w:sz w:val="20"/>
                <w:szCs w:val="20"/>
                <w:color w:val="auto"/>
              </w:rPr>
              <w:t>Total Asset Value</w:t>
            </w:r>
          </w:p>
        </w:tc>
        <w:tc>
          <w:tcPr>
            <w:tcW w:w="2440" w:type="dxa"/>
            <w:vAlign w:val="bottom"/>
          </w:tcPr>
          <w:p>
            <w:pPr>
              <w:jc w:val="center"/>
              <w:ind w:left="1161"/>
              <w:spacing w:after="0"/>
              <w:rPr>
                <w:sz w:val="20"/>
                <w:szCs w:val="20"/>
                <w:color w:val="auto"/>
              </w:rPr>
            </w:pPr>
            <w:r>
              <w:rPr>
                <w:rFonts w:ascii="Arial" w:cs="Arial" w:eastAsia="Arial" w:hAnsi="Arial"/>
                <w:sz w:val="20"/>
                <w:szCs w:val="20"/>
                <w:color w:val="auto"/>
                <w:w w:val="88"/>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280" w:type="dxa"/>
            <w:vAlign w:val="bottom"/>
          </w:tcPr>
          <w:p>
            <w:pPr>
              <w:ind w:left="220"/>
              <w:spacing w:after="0"/>
              <w:rPr>
                <w:sz w:val="20"/>
                <w:szCs w:val="20"/>
                <w:color w:val="auto"/>
              </w:rPr>
            </w:pPr>
            <w:r>
              <w:rPr>
                <w:rFonts w:ascii="Arial" w:cs="Arial" w:eastAsia="Arial" w:hAnsi="Arial"/>
                <w:sz w:val="20"/>
                <w:szCs w:val="20"/>
                <w:color w:val="auto"/>
              </w:rPr>
              <w:t>Line G1 divided by Line G2</w:t>
            </w:r>
          </w:p>
        </w:tc>
        <w:tc>
          <w:tcPr>
            <w:tcW w:w="2440" w:type="dxa"/>
            <w:vAlign w:val="bottom"/>
          </w:tcPr>
          <w:p>
            <w:pPr>
              <w:jc w:val="center"/>
              <w:ind w:left="1161"/>
              <w:spacing w:after="0"/>
              <w:rPr>
                <w:sz w:val="20"/>
                <w:szCs w:val="20"/>
                <w:color w:val="auto"/>
              </w:rPr>
            </w:pPr>
            <w:r>
              <w:rPr>
                <w:rFonts w:ascii="Arial" w:cs="Arial" w:eastAsia="Arial" w:hAnsi="Arial"/>
                <w:sz w:val="20"/>
                <w:szCs w:val="20"/>
                <w:color w:val="auto"/>
                <w:w w:val="89"/>
              </w:rPr>
              <w:t>___________</w:t>
            </w:r>
          </w:p>
        </w:tc>
      </w:tr>
    </w:tbl>
    <w:p>
      <w:pPr>
        <w:spacing w:after="0" w:line="282" w:lineRule="exact"/>
        <w:rPr>
          <w:sz w:val="20"/>
          <w:szCs w:val="20"/>
          <w:color w:val="auto"/>
        </w:rPr>
      </w:pPr>
    </w:p>
    <w:p>
      <w:pPr>
        <w:ind w:left="1440" w:hanging="586"/>
        <w:spacing w:after="0"/>
        <w:tabs>
          <w:tab w:leader="none" w:pos="14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Line G3 shall not exceed 10%</w:t>
      </w:r>
    </w:p>
    <w:p>
      <w:pPr>
        <w:spacing w:after="0" w:line="302" w:lineRule="exact"/>
        <w:rPr>
          <w:sz w:val="20"/>
          <w:szCs w:val="20"/>
          <w:color w:val="auto"/>
        </w:rPr>
      </w:pPr>
    </w:p>
    <w:p>
      <w:pPr>
        <w:ind w:left="860"/>
        <w:spacing w:after="0"/>
        <w:tabs>
          <w:tab w:leader="none" w:pos="1420" w:val="left"/>
          <w:tab w:leader="none" w:pos="70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hanging="600"/>
        <w:spacing w:after="0"/>
        <w:tabs>
          <w:tab w:leader="none" w:pos="86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Investments (Assets Under Development) (Section 8.8(j))</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000" w:type="dxa"/>
            <w:vAlign w:val="bottom"/>
          </w:tcPr>
          <w:p>
            <w:pPr>
              <w:ind w:left="220"/>
              <w:spacing w:after="0"/>
              <w:rPr>
                <w:sz w:val="20"/>
                <w:szCs w:val="20"/>
                <w:color w:val="auto"/>
              </w:rPr>
            </w:pPr>
            <w:r>
              <w:rPr>
                <w:rFonts w:ascii="Arial" w:cs="Arial" w:eastAsia="Arial" w:hAnsi="Arial"/>
                <w:sz w:val="20"/>
                <w:szCs w:val="20"/>
                <w:color w:val="auto"/>
              </w:rPr>
              <w:t>Assets Under Development</w:t>
            </w:r>
          </w:p>
        </w:tc>
        <w:tc>
          <w:tcPr>
            <w:tcW w:w="2720" w:type="dxa"/>
            <w:vAlign w:val="bottom"/>
          </w:tcPr>
          <w:p>
            <w:pPr>
              <w:jc w:val="center"/>
              <w:ind w:left="1441"/>
              <w:spacing w:after="0"/>
              <w:rPr>
                <w:sz w:val="20"/>
                <w:szCs w:val="20"/>
                <w:color w:val="auto"/>
              </w:rPr>
            </w:pPr>
            <w:r>
              <w:rPr>
                <w:rFonts w:ascii="Arial" w:cs="Arial" w:eastAsia="Arial" w:hAnsi="Arial"/>
                <w:sz w:val="20"/>
                <w:szCs w:val="20"/>
                <w:color w:val="auto"/>
                <w:w w:val="88"/>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000" w:type="dxa"/>
            <w:vAlign w:val="bottom"/>
          </w:tcPr>
          <w:p>
            <w:pPr>
              <w:ind w:left="220"/>
              <w:spacing w:after="0"/>
              <w:rPr>
                <w:sz w:val="20"/>
                <w:szCs w:val="20"/>
                <w:color w:val="auto"/>
              </w:rPr>
            </w:pPr>
            <w:r>
              <w:rPr>
                <w:rFonts w:ascii="Arial" w:cs="Arial" w:eastAsia="Arial" w:hAnsi="Arial"/>
                <w:sz w:val="20"/>
                <w:szCs w:val="20"/>
                <w:color w:val="auto"/>
              </w:rPr>
              <w:t>Total Asset Value</w:t>
            </w:r>
          </w:p>
        </w:tc>
        <w:tc>
          <w:tcPr>
            <w:tcW w:w="2720" w:type="dxa"/>
            <w:vAlign w:val="bottom"/>
          </w:tcPr>
          <w:p>
            <w:pPr>
              <w:jc w:val="center"/>
              <w:ind w:left="1441"/>
              <w:spacing w:after="0"/>
              <w:rPr>
                <w:sz w:val="20"/>
                <w:szCs w:val="20"/>
                <w:color w:val="auto"/>
              </w:rPr>
            </w:pPr>
            <w:r>
              <w:rPr>
                <w:rFonts w:ascii="Arial" w:cs="Arial" w:eastAsia="Arial" w:hAnsi="Arial"/>
                <w:sz w:val="20"/>
                <w:szCs w:val="20"/>
                <w:color w:val="auto"/>
                <w:w w:val="88"/>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000" w:type="dxa"/>
            <w:vAlign w:val="bottom"/>
          </w:tcPr>
          <w:p>
            <w:pPr>
              <w:ind w:left="220"/>
              <w:spacing w:after="0"/>
              <w:rPr>
                <w:sz w:val="20"/>
                <w:szCs w:val="20"/>
                <w:color w:val="auto"/>
              </w:rPr>
            </w:pPr>
            <w:r>
              <w:rPr>
                <w:rFonts w:ascii="Arial" w:cs="Arial" w:eastAsia="Arial" w:hAnsi="Arial"/>
                <w:sz w:val="20"/>
                <w:szCs w:val="20"/>
                <w:color w:val="auto"/>
              </w:rPr>
              <w:t>Line H1 divided by Line H2</w:t>
            </w:r>
          </w:p>
        </w:tc>
        <w:tc>
          <w:tcPr>
            <w:tcW w:w="2720" w:type="dxa"/>
            <w:vAlign w:val="bottom"/>
          </w:tcPr>
          <w:p>
            <w:pPr>
              <w:jc w:val="center"/>
              <w:ind w:left="1441"/>
              <w:spacing w:after="0"/>
              <w:rPr>
                <w:sz w:val="20"/>
                <w:szCs w:val="20"/>
                <w:color w:val="auto"/>
              </w:rPr>
            </w:pPr>
            <w:r>
              <w:rPr>
                <w:rFonts w:ascii="Arial" w:cs="Arial" w:eastAsia="Arial" w:hAnsi="Arial"/>
                <w:sz w:val="20"/>
                <w:szCs w:val="20"/>
                <w:color w:val="auto"/>
                <w:w w:val="89"/>
              </w:rPr>
              <w:t>___________</w:t>
            </w:r>
          </w:p>
        </w:tc>
      </w:tr>
    </w:tbl>
    <w:p>
      <w:pPr>
        <w:spacing w:after="0" w:line="282" w:lineRule="exact"/>
        <w:rPr>
          <w:sz w:val="20"/>
          <w:szCs w:val="20"/>
          <w:color w:val="auto"/>
        </w:rPr>
      </w:pPr>
    </w:p>
    <w:p>
      <w:pPr>
        <w:ind w:left="1440" w:hanging="586"/>
        <w:spacing w:after="0"/>
        <w:tabs>
          <w:tab w:leader="none" w:pos="14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Line H3 shall not exceed 10%</w:t>
      </w:r>
    </w:p>
    <w:p>
      <w:pPr>
        <w:spacing w:after="0" w:line="302" w:lineRule="exact"/>
        <w:rPr>
          <w:sz w:val="20"/>
          <w:szCs w:val="20"/>
          <w:color w:val="auto"/>
        </w:rPr>
      </w:pPr>
    </w:p>
    <w:p>
      <w:pPr>
        <w:ind w:left="860"/>
        <w:spacing w:after="0"/>
        <w:tabs>
          <w:tab w:leader="none" w:pos="1420" w:val="left"/>
          <w:tab w:leader="none" w:pos="70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hanging="600"/>
        <w:spacing w:after="0"/>
        <w:tabs>
          <w:tab w:leader="none" w:pos="86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Investments (Stock Repurchases) (Section 8.8(k))</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040" w:type="dxa"/>
            <w:vAlign w:val="bottom"/>
          </w:tcPr>
          <w:p>
            <w:pPr>
              <w:ind w:left="220"/>
              <w:spacing w:after="0"/>
              <w:rPr>
                <w:sz w:val="20"/>
                <w:szCs w:val="20"/>
                <w:color w:val="auto"/>
              </w:rPr>
            </w:pPr>
            <w:r>
              <w:rPr>
                <w:rFonts w:ascii="Arial" w:cs="Arial" w:eastAsia="Arial" w:hAnsi="Arial"/>
                <w:sz w:val="20"/>
                <w:szCs w:val="20"/>
                <w:color w:val="auto"/>
              </w:rPr>
              <w:t>Stock Repurchases</w:t>
            </w:r>
          </w:p>
        </w:tc>
        <w:tc>
          <w:tcPr>
            <w:tcW w:w="2680" w:type="dxa"/>
            <w:vAlign w:val="bottom"/>
          </w:tcPr>
          <w:p>
            <w:pPr>
              <w:jc w:val="center"/>
              <w:ind w:left="1401"/>
              <w:spacing w:after="0"/>
              <w:rPr>
                <w:sz w:val="20"/>
                <w:szCs w:val="20"/>
                <w:color w:val="auto"/>
              </w:rPr>
            </w:pPr>
            <w:r>
              <w:rPr>
                <w:rFonts w:ascii="Arial" w:cs="Arial" w:eastAsia="Arial" w:hAnsi="Arial"/>
                <w:sz w:val="20"/>
                <w:szCs w:val="20"/>
                <w:color w:val="auto"/>
                <w:w w:val="88"/>
              </w:rPr>
              <w:t>$___________</w:t>
            </w:r>
          </w:p>
        </w:tc>
        <w:tc>
          <w:tcPr>
            <w:tcW w:w="0" w:type="dxa"/>
            <w:vAlign w:val="bottom"/>
          </w:tcPr>
          <w:p>
            <w:pPr>
              <w:spacing w:after="0"/>
              <w:rPr>
                <w:sz w:val="1"/>
                <w:szCs w:val="1"/>
                <w:color w:val="auto"/>
              </w:rPr>
            </w:pP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040" w:type="dxa"/>
            <w:vAlign w:val="bottom"/>
          </w:tcPr>
          <w:p>
            <w:pPr>
              <w:ind w:left="220"/>
              <w:spacing w:after="0"/>
              <w:rPr>
                <w:sz w:val="20"/>
                <w:szCs w:val="20"/>
                <w:color w:val="auto"/>
              </w:rPr>
            </w:pPr>
            <w:r>
              <w:rPr>
                <w:rFonts w:ascii="Arial" w:cs="Arial" w:eastAsia="Arial" w:hAnsi="Arial"/>
                <w:sz w:val="20"/>
                <w:szCs w:val="20"/>
                <w:color w:val="auto"/>
              </w:rPr>
              <w:t>Total Asset Value</w:t>
            </w:r>
          </w:p>
        </w:tc>
        <w:tc>
          <w:tcPr>
            <w:tcW w:w="2680" w:type="dxa"/>
            <w:vAlign w:val="bottom"/>
          </w:tcPr>
          <w:p>
            <w:pPr>
              <w:jc w:val="center"/>
              <w:ind w:left="1401"/>
              <w:spacing w:after="0"/>
              <w:rPr>
                <w:sz w:val="20"/>
                <w:szCs w:val="20"/>
                <w:color w:val="auto"/>
              </w:rPr>
            </w:pPr>
            <w:r>
              <w:rPr>
                <w:rFonts w:ascii="Arial" w:cs="Arial" w:eastAsia="Arial" w:hAnsi="Arial"/>
                <w:sz w:val="20"/>
                <w:szCs w:val="20"/>
                <w:color w:val="auto"/>
                <w:w w:val="88"/>
              </w:rPr>
              <w:t>$___________</w:t>
            </w:r>
          </w:p>
        </w:tc>
        <w:tc>
          <w:tcPr>
            <w:tcW w:w="0" w:type="dxa"/>
            <w:vAlign w:val="bottom"/>
          </w:tcPr>
          <w:p>
            <w:pPr>
              <w:spacing w:after="0"/>
              <w:rPr>
                <w:sz w:val="1"/>
                <w:szCs w:val="1"/>
                <w:color w:val="auto"/>
              </w:rPr>
            </w:pP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040" w:type="dxa"/>
            <w:vAlign w:val="bottom"/>
          </w:tcPr>
          <w:p>
            <w:pPr>
              <w:ind w:left="220"/>
              <w:spacing w:after="0"/>
              <w:rPr>
                <w:sz w:val="20"/>
                <w:szCs w:val="20"/>
                <w:color w:val="auto"/>
              </w:rPr>
            </w:pPr>
            <w:r>
              <w:rPr>
                <w:rFonts w:ascii="Arial" w:cs="Arial" w:eastAsia="Arial" w:hAnsi="Arial"/>
                <w:sz w:val="20"/>
                <w:szCs w:val="20"/>
                <w:color w:val="auto"/>
              </w:rPr>
              <w:t>Line I1 divided by Line I2</w:t>
            </w:r>
          </w:p>
        </w:tc>
        <w:tc>
          <w:tcPr>
            <w:tcW w:w="2680" w:type="dxa"/>
            <w:vAlign w:val="bottom"/>
          </w:tcPr>
          <w:p>
            <w:pPr>
              <w:jc w:val="center"/>
              <w:ind w:left="1401"/>
              <w:spacing w:after="0"/>
              <w:rPr>
                <w:sz w:val="20"/>
                <w:szCs w:val="20"/>
                <w:color w:val="auto"/>
              </w:rPr>
            </w:pPr>
            <w:r>
              <w:rPr>
                <w:rFonts w:ascii="Arial" w:cs="Arial" w:eastAsia="Arial" w:hAnsi="Arial"/>
                <w:sz w:val="20"/>
                <w:szCs w:val="20"/>
                <w:color w:val="auto"/>
                <w:w w:val="89"/>
              </w:rPr>
              <w:t>___________</w:t>
            </w:r>
          </w:p>
        </w:tc>
        <w:tc>
          <w:tcPr>
            <w:tcW w:w="0" w:type="dxa"/>
            <w:vAlign w:val="bottom"/>
          </w:tcPr>
          <w:p>
            <w:pPr>
              <w:spacing w:after="0"/>
              <w:rPr>
                <w:sz w:val="1"/>
                <w:szCs w:val="1"/>
                <w:color w:val="auto"/>
              </w:rPr>
            </w:pPr>
          </w:p>
        </w:tc>
      </w:tr>
      <w:tr>
        <w:trPr>
          <w:trHeight w:val="421"/>
        </w:trPr>
        <w:tc>
          <w:tcPr>
            <w:tcW w:w="360" w:type="dxa"/>
            <w:vAlign w:val="bottom"/>
            <w:vMerge w:val="restart"/>
          </w:tcPr>
          <w:p>
            <w:pPr>
              <w:jc w:val="right"/>
              <w:ind w:right="121"/>
              <w:spacing w:after="0"/>
              <w:rPr>
                <w:sz w:val="20"/>
                <w:szCs w:val="20"/>
                <w:color w:val="auto"/>
              </w:rPr>
            </w:pPr>
            <w:r>
              <w:rPr>
                <w:rFonts w:ascii="Arial" w:cs="Arial" w:eastAsia="Arial" w:hAnsi="Arial"/>
                <w:sz w:val="20"/>
                <w:szCs w:val="20"/>
                <w:color w:val="auto"/>
                <w:w w:val="71"/>
              </w:rPr>
              <w:t>4.</w:t>
            </w:r>
          </w:p>
        </w:tc>
        <w:tc>
          <w:tcPr>
            <w:tcW w:w="4040" w:type="dxa"/>
            <w:vAlign w:val="bottom"/>
            <w:vMerge w:val="restart"/>
          </w:tcPr>
          <w:p>
            <w:pPr>
              <w:ind w:left="220"/>
              <w:spacing w:after="0"/>
              <w:rPr>
                <w:sz w:val="20"/>
                <w:szCs w:val="20"/>
                <w:color w:val="auto"/>
              </w:rPr>
            </w:pPr>
            <w:r>
              <w:rPr>
                <w:rFonts w:ascii="Arial" w:cs="Arial" w:eastAsia="Arial" w:hAnsi="Arial"/>
                <w:sz w:val="20"/>
                <w:szCs w:val="20"/>
                <w:color w:val="auto"/>
              </w:rPr>
              <w:t>Line I3 shall not exceed 10%</w:t>
            </w:r>
          </w:p>
        </w:tc>
        <w:tc>
          <w:tcPr>
            <w:tcW w:w="2680" w:type="dxa"/>
            <w:vAlign w:val="bottom"/>
          </w:tcPr>
          <w:p>
            <w:pPr>
              <w:jc w:val="center"/>
              <w:ind w:left="1401"/>
              <w:spacing w:after="0"/>
              <w:rPr>
                <w:sz w:val="20"/>
                <w:szCs w:val="20"/>
                <w:color w:val="auto"/>
              </w:rPr>
            </w:pPr>
            <w:r>
              <w:rPr>
                <w:rFonts w:ascii="Arial" w:cs="Arial" w:eastAsia="Arial" w:hAnsi="Arial"/>
                <w:sz w:val="20"/>
                <w:szCs w:val="20"/>
                <w:color w:val="auto"/>
                <w:w w:val="88"/>
              </w:rPr>
              <w:t>$___________</w:t>
            </w:r>
          </w:p>
        </w:tc>
        <w:tc>
          <w:tcPr>
            <w:tcW w:w="0" w:type="dxa"/>
            <w:vAlign w:val="bottom"/>
          </w:tcPr>
          <w:p>
            <w:pPr>
              <w:spacing w:after="0"/>
              <w:rPr>
                <w:sz w:val="1"/>
                <w:szCs w:val="1"/>
                <w:color w:val="auto"/>
              </w:rPr>
            </w:pPr>
          </w:p>
        </w:tc>
      </w:tr>
      <w:tr>
        <w:trPr>
          <w:trHeight w:val="111"/>
        </w:trPr>
        <w:tc>
          <w:tcPr>
            <w:tcW w:w="360" w:type="dxa"/>
            <w:vAlign w:val="bottom"/>
            <w:vMerge w:val="continue"/>
          </w:tcPr>
          <w:p>
            <w:pPr>
              <w:spacing w:after="0"/>
              <w:rPr>
                <w:sz w:val="9"/>
                <w:szCs w:val="9"/>
                <w:color w:val="auto"/>
              </w:rPr>
            </w:pPr>
          </w:p>
        </w:tc>
        <w:tc>
          <w:tcPr>
            <w:tcW w:w="404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68" w:name="page169"/>
    <w:bookmarkEnd w:id="168"/>
    <w:p>
      <w:pPr>
        <w:ind w:left="860"/>
        <w:spacing w:after="0"/>
        <w:tabs>
          <w:tab w:leader="none" w:pos="1420" w:val="left"/>
          <w:tab w:leader="none" w:pos="70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right="3879" w:hanging="600"/>
        <w:spacing w:after="0" w:line="253" w:lineRule="auto"/>
        <w:tabs>
          <w:tab w:leader="none" w:pos="86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Aggregate Investment Limitation to Total Asset Value (Section 8.8)</w:t>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000" w:type="dxa"/>
            <w:vAlign w:val="bottom"/>
          </w:tcPr>
          <w:p>
            <w:pPr>
              <w:ind w:left="220"/>
              <w:spacing w:after="0"/>
              <w:rPr>
                <w:sz w:val="20"/>
                <w:szCs w:val="20"/>
                <w:color w:val="auto"/>
              </w:rPr>
            </w:pPr>
            <w:r>
              <w:rPr>
                <w:rFonts w:ascii="Arial" w:cs="Arial" w:eastAsia="Arial" w:hAnsi="Arial"/>
                <w:sz w:val="20"/>
                <w:szCs w:val="20"/>
                <w:color w:val="auto"/>
              </w:rPr>
              <w:t>Sum of Lines G1, H1 and I1</w:t>
            </w:r>
          </w:p>
        </w:tc>
        <w:tc>
          <w:tcPr>
            <w:tcW w:w="2720" w:type="dxa"/>
            <w:vAlign w:val="bottom"/>
          </w:tcPr>
          <w:p>
            <w:pPr>
              <w:jc w:val="center"/>
              <w:ind w:left="1421"/>
              <w:spacing w:after="0"/>
              <w:rPr>
                <w:sz w:val="20"/>
                <w:szCs w:val="20"/>
                <w:color w:val="auto"/>
              </w:rPr>
            </w:pPr>
            <w:r>
              <w:rPr>
                <w:rFonts w:ascii="Arial" w:cs="Arial" w:eastAsia="Arial" w:hAnsi="Arial"/>
                <w:sz w:val="20"/>
                <w:szCs w:val="20"/>
                <w:color w:val="auto"/>
                <w:w w:val="89"/>
              </w:rPr>
              <w:t>$___________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000" w:type="dxa"/>
            <w:vAlign w:val="bottom"/>
          </w:tcPr>
          <w:p>
            <w:pPr>
              <w:ind w:left="220"/>
              <w:spacing w:after="0"/>
              <w:rPr>
                <w:sz w:val="20"/>
                <w:szCs w:val="20"/>
                <w:color w:val="auto"/>
              </w:rPr>
            </w:pPr>
            <w:r>
              <w:rPr>
                <w:rFonts w:ascii="Arial" w:cs="Arial" w:eastAsia="Arial" w:hAnsi="Arial"/>
                <w:sz w:val="20"/>
                <w:szCs w:val="20"/>
                <w:color w:val="auto"/>
              </w:rPr>
              <w:t>Total Asset Value</w:t>
            </w:r>
          </w:p>
        </w:tc>
        <w:tc>
          <w:tcPr>
            <w:tcW w:w="2720" w:type="dxa"/>
            <w:vAlign w:val="bottom"/>
          </w:tcPr>
          <w:p>
            <w:pPr>
              <w:jc w:val="center"/>
              <w:ind w:left="1421"/>
              <w:spacing w:after="0"/>
              <w:rPr>
                <w:sz w:val="20"/>
                <w:szCs w:val="20"/>
                <w:color w:val="auto"/>
              </w:rPr>
            </w:pPr>
            <w:r>
              <w:rPr>
                <w:rFonts w:ascii="Arial" w:cs="Arial" w:eastAsia="Arial" w:hAnsi="Arial"/>
                <w:sz w:val="20"/>
                <w:szCs w:val="20"/>
                <w:color w:val="auto"/>
                <w:w w:val="89"/>
              </w:rPr>
              <w:t>____________</w:t>
            </w: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000" w:type="dxa"/>
            <w:vAlign w:val="bottom"/>
          </w:tcPr>
          <w:p>
            <w:pPr>
              <w:ind w:left="220"/>
              <w:spacing w:after="0"/>
              <w:rPr>
                <w:sz w:val="20"/>
                <w:szCs w:val="20"/>
                <w:color w:val="auto"/>
              </w:rPr>
            </w:pPr>
            <w:r>
              <w:rPr>
                <w:rFonts w:ascii="Arial" w:cs="Arial" w:eastAsia="Arial" w:hAnsi="Arial"/>
                <w:sz w:val="20"/>
                <w:szCs w:val="20"/>
                <w:color w:val="auto"/>
              </w:rPr>
              <w:t>Line J1 divided by Line J2</w:t>
            </w:r>
          </w:p>
        </w:tc>
        <w:tc>
          <w:tcPr>
            <w:tcW w:w="2720" w:type="dxa"/>
            <w:vAlign w:val="bottom"/>
          </w:tcPr>
          <w:p>
            <w:pPr>
              <w:jc w:val="center"/>
              <w:ind w:left="1421"/>
              <w:spacing w:after="0"/>
              <w:rPr>
                <w:sz w:val="20"/>
                <w:szCs w:val="20"/>
                <w:color w:val="auto"/>
              </w:rPr>
            </w:pPr>
            <w:r>
              <w:rPr>
                <w:rFonts w:ascii="Arial" w:cs="Arial" w:eastAsia="Arial" w:hAnsi="Arial"/>
                <w:sz w:val="20"/>
                <w:szCs w:val="20"/>
                <w:color w:val="auto"/>
                <w:w w:val="88"/>
              </w:rPr>
              <w:t>___________</w:t>
            </w:r>
          </w:p>
        </w:tc>
      </w:tr>
    </w:tbl>
    <w:p>
      <w:pPr>
        <w:spacing w:after="0" w:line="282" w:lineRule="exact"/>
        <w:rPr>
          <w:sz w:val="20"/>
          <w:szCs w:val="20"/>
          <w:color w:val="auto"/>
        </w:rPr>
      </w:pPr>
    </w:p>
    <w:p>
      <w:pPr>
        <w:ind w:left="1440" w:hanging="586"/>
        <w:spacing w:after="0"/>
        <w:tabs>
          <w:tab w:leader="none" w:pos="14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Line J3 shall not exceed 30%</w:t>
      </w:r>
    </w:p>
    <w:p>
      <w:pPr>
        <w:spacing w:after="0" w:line="302" w:lineRule="exact"/>
        <w:rPr>
          <w:sz w:val="20"/>
          <w:szCs w:val="20"/>
          <w:color w:val="auto"/>
        </w:rPr>
      </w:pPr>
    </w:p>
    <w:p>
      <w:pPr>
        <w:ind w:left="860"/>
        <w:spacing w:after="0"/>
        <w:tabs>
          <w:tab w:leader="none" w:pos="1420" w:val="left"/>
          <w:tab w:leader="none" w:pos="706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14" w:lineRule="exact"/>
        <w:rPr>
          <w:sz w:val="20"/>
          <w:szCs w:val="20"/>
          <w:color w:val="auto"/>
        </w:rPr>
      </w:pPr>
    </w:p>
    <w:p>
      <w:pPr>
        <w:ind w:left="860" w:hanging="600"/>
        <w:spacing w:after="0"/>
        <w:tabs>
          <w:tab w:leader="none" w:pos="860" w:val="left"/>
        </w:tabs>
        <w:numPr>
          <w:ilvl w:val="0"/>
          <w:numId w:val="164"/>
        </w:numPr>
        <w:rPr>
          <w:rFonts w:ascii="Arial" w:cs="Arial" w:eastAsia="Arial" w:hAnsi="Arial"/>
          <w:sz w:val="20"/>
          <w:szCs w:val="20"/>
          <w:color w:val="auto"/>
        </w:rPr>
      </w:pPr>
      <w:r>
        <w:rPr>
          <w:rFonts w:ascii="Arial" w:cs="Arial" w:eastAsia="Arial" w:hAnsi="Arial"/>
          <w:sz w:val="20"/>
          <w:szCs w:val="20"/>
          <w:u w:val="single" w:color="auto"/>
          <w:color w:val="auto"/>
        </w:rPr>
        <w:t>Restricted Payments (Section 8.25(a))</w:t>
      </w:r>
    </w:p>
    <w:p>
      <w:pPr>
        <w:spacing w:after="0" w:line="29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1.</w:t>
            </w:r>
          </w:p>
        </w:tc>
        <w:tc>
          <w:tcPr>
            <w:tcW w:w="4940" w:type="dxa"/>
            <w:vAlign w:val="bottom"/>
          </w:tcPr>
          <w:p>
            <w:pPr>
              <w:ind w:left="220"/>
              <w:spacing w:after="0"/>
              <w:rPr>
                <w:sz w:val="20"/>
                <w:szCs w:val="20"/>
                <w:color w:val="auto"/>
              </w:rPr>
            </w:pPr>
            <w:r>
              <w:rPr>
                <w:rFonts w:ascii="Arial" w:cs="Arial" w:eastAsia="Arial" w:hAnsi="Arial"/>
                <w:sz w:val="20"/>
                <w:szCs w:val="20"/>
                <w:color w:val="auto"/>
              </w:rPr>
              <w:t>Aggregate amount of cash distributions made by</w:t>
            </w:r>
          </w:p>
        </w:tc>
        <w:tc>
          <w:tcPr>
            <w:tcW w:w="1800" w:type="dxa"/>
            <w:vAlign w:val="bottom"/>
          </w:tcPr>
          <w:p>
            <w:pPr>
              <w:jc w:val="right"/>
              <w:spacing w:after="0"/>
              <w:rPr>
                <w:sz w:val="20"/>
                <w:szCs w:val="20"/>
                <w:color w:val="auto"/>
              </w:rPr>
            </w:pPr>
            <w:r>
              <w:rPr>
                <w:rFonts w:ascii="Arial" w:cs="Arial" w:eastAsia="Arial" w:hAnsi="Arial"/>
                <w:sz w:val="20"/>
                <w:szCs w:val="20"/>
                <w:color w:val="auto"/>
              </w:rPr>
              <w:t>$___________</w:t>
            </w: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940" w:type="dxa"/>
            <w:vAlign w:val="bottom"/>
          </w:tcPr>
          <w:p>
            <w:pPr>
              <w:ind w:left="220"/>
              <w:spacing w:after="0"/>
              <w:rPr>
                <w:sz w:val="20"/>
                <w:szCs w:val="20"/>
                <w:color w:val="auto"/>
              </w:rPr>
            </w:pPr>
            <w:r>
              <w:rPr>
                <w:rFonts w:ascii="Arial" w:cs="Arial" w:eastAsia="Arial" w:hAnsi="Arial"/>
                <w:sz w:val="20"/>
                <w:szCs w:val="20"/>
                <w:color w:val="auto"/>
              </w:rPr>
              <w:t>the Parent to its equity holders during such period</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4940" w:type="dxa"/>
            <w:vAlign w:val="bottom"/>
          </w:tcPr>
          <w:p>
            <w:pPr>
              <w:ind w:left="220"/>
              <w:spacing w:after="0"/>
              <w:rPr>
                <w:sz w:val="20"/>
                <w:szCs w:val="20"/>
                <w:color w:val="auto"/>
              </w:rPr>
            </w:pPr>
            <w:r>
              <w:rPr>
                <w:rFonts w:ascii="Arial" w:cs="Arial" w:eastAsia="Arial" w:hAnsi="Arial"/>
                <w:sz w:val="20"/>
                <w:szCs w:val="20"/>
                <w:color w:val="auto"/>
              </w:rPr>
              <w:t>Parent’s Adjusted FFO for such period</w:t>
            </w:r>
          </w:p>
        </w:tc>
        <w:tc>
          <w:tcPr>
            <w:tcW w:w="180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4940" w:type="dxa"/>
            <w:vAlign w:val="bottom"/>
          </w:tcPr>
          <w:p>
            <w:pPr>
              <w:ind w:left="220"/>
              <w:spacing w:after="0"/>
              <w:rPr>
                <w:sz w:val="20"/>
                <w:szCs w:val="20"/>
                <w:color w:val="auto"/>
              </w:rPr>
            </w:pPr>
            <w:r>
              <w:rPr>
                <w:rFonts w:ascii="Arial" w:cs="Arial" w:eastAsia="Arial" w:hAnsi="Arial"/>
                <w:sz w:val="20"/>
                <w:szCs w:val="20"/>
                <w:color w:val="auto"/>
              </w:rPr>
              <w:t>95% of Line K2</w:t>
            </w:r>
          </w:p>
        </w:tc>
        <w:tc>
          <w:tcPr>
            <w:tcW w:w="180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505"/>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4940" w:type="dxa"/>
            <w:vAlign w:val="bottom"/>
          </w:tcPr>
          <w:p>
            <w:pPr>
              <w:ind w:left="220"/>
              <w:spacing w:after="0"/>
              <w:rPr>
                <w:sz w:val="20"/>
                <w:szCs w:val="20"/>
                <w:color w:val="auto"/>
              </w:rPr>
            </w:pPr>
            <w:r>
              <w:rPr>
                <w:rFonts w:ascii="Arial" w:cs="Arial" w:eastAsia="Arial" w:hAnsi="Arial"/>
                <w:sz w:val="20"/>
                <w:szCs w:val="20"/>
                <w:color w:val="auto"/>
              </w:rPr>
              <w:t>Amount necessary for the Parent to be able to make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tcPr>
          <w:p>
            <w:pPr>
              <w:ind w:left="220"/>
              <w:spacing w:after="0" w:line="223" w:lineRule="exact"/>
              <w:rPr>
                <w:sz w:val="20"/>
                <w:szCs w:val="20"/>
                <w:color w:val="auto"/>
              </w:rPr>
            </w:pPr>
            <w:r>
              <w:rPr>
                <w:rFonts w:ascii="Arial" w:cs="Arial" w:eastAsia="Arial" w:hAnsi="Arial"/>
                <w:sz w:val="20"/>
                <w:szCs w:val="20"/>
                <w:color w:val="auto"/>
              </w:rPr>
              <w:t>distributions required to maintain its status as a</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tcPr>
          <w:p>
            <w:pPr>
              <w:ind w:left="220"/>
              <w:spacing w:after="0" w:line="223" w:lineRule="exact"/>
              <w:rPr>
                <w:sz w:val="20"/>
                <w:szCs w:val="20"/>
                <w:color w:val="auto"/>
              </w:rPr>
            </w:pPr>
            <w:r>
              <w:rPr>
                <w:rFonts w:ascii="Arial" w:cs="Arial" w:eastAsia="Arial" w:hAnsi="Arial"/>
                <w:sz w:val="20"/>
                <w:szCs w:val="20"/>
                <w:color w:val="auto"/>
              </w:rPr>
              <w:t>REIT (i.e., to satisfy the distribution requirements</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940" w:type="dxa"/>
            <w:vAlign w:val="bottom"/>
          </w:tcPr>
          <w:p>
            <w:pPr>
              <w:ind w:left="220"/>
              <w:spacing w:after="0"/>
              <w:rPr>
                <w:sz w:val="20"/>
                <w:szCs w:val="20"/>
                <w:color w:val="auto"/>
              </w:rPr>
            </w:pPr>
            <w:r>
              <w:rPr>
                <w:rFonts w:ascii="Arial" w:cs="Arial" w:eastAsia="Arial" w:hAnsi="Arial"/>
                <w:sz w:val="20"/>
                <w:szCs w:val="20"/>
                <w:color w:val="auto"/>
              </w:rPr>
              <w:t>set forth in Section 4981 of the Code)</w:t>
            </w:r>
          </w:p>
        </w:tc>
        <w:tc>
          <w:tcPr>
            <w:tcW w:w="1800" w:type="dxa"/>
            <w:vAlign w:val="bottom"/>
            <w:vMerge w:val="restart"/>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4940" w:type="dxa"/>
            <w:vAlign w:val="bottom"/>
          </w:tcPr>
          <w:p>
            <w:pPr>
              <w:ind w:left="220"/>
              <w:spacing w:after="0"/>
              <w:rPr>
                <w:sz w:val="20"/>
                <w:szCs w:val="20"/>
                <w:color w:val="auto"/>
              </w:rPr>
            </w:pPr>
            <w:r>
              <w:rPr>
                <w:rFonts w:ascii="Arial" w:cs="Arial" w:eastAsia="Arial" w:hAnsi="Arial"/>
                <w:sz w:val="20"/>
                <w:szCs w:val="20"/>
                <w:color w:val="auto"/>
              </w:rPr>
              <w:t>Greater of Line K3 and Line K4</w:t>
            </w:r>
          </w:p>
        </w:tc>
        <w:tc>
          <w:tcPr>
            <w:tcW w:w="1800" w:type="dxa"/>
            <w:vAlign w:val="bottom"/>
          </w:tcPr>
          <w:p>
            <w:pPr>
              <w:jc w:val="right"/>
              <w:spacing w:after="0"/>
              <w:rPr>
                <w:sz w:val="20"/>
                <w:szCs w:val="20"/>
                <w:color w:val="auto"/>
              </w:rPr>
            </w:pPr>
            <w:r>
              <w:rPr>
                <w:rFonts w:ascii="Arial" w:cs="Arial" w:eastAsia="Arial" w:hAnsi="Arial"/>
                <w:sz w:val="20"/>
                <w:szCs w:val="20"/>
                <w:color w:val="auto"/>
              </w:rPr>
              <w:t>____________</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440" w:hanging="586"/>
        <w:spacing w:after="0"/>
        <w:tabs>
          <w:tab w:leader="none" w:pos="14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Line K1 shall not exceed Line K5</w:t>
      </w:r>
    </w:p>
    <w:p>
      <w:pPr>
        <w:spacing w:after="0" w:line="302" w:lineRule="exact"/>
        <w:rPr>
          <w:sz w:val="20"/>
          <w:szCs w:val="20"/>
          <w:color w:val="auto"/>
        </w:rPr>
      </w:pPr>
    </w:p>
    <w:p>
      <w:pPr>
        <w:ind w:left="860"/>
        <w:spacing w:after="0"/>
        <w:tabs>
          <w:tab w:leader="none" w:pos="1420" w:val="left"/>
          <w:tab w:leader="none" w:pos="710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TO </w:t>
      </w:r>
      <w:r>
        <w:rPr>
          <w:rFonts w:ascii="Arial" w:cs="Arial" w:eastAsia="Arial" w:hAnsi="Arial"/>
          <w:sz w:val="19"/>
          <w:szCs w:val="19"/>
          <w:b w:val="1"/>
          <w:bCs w:val="1"/>
          <w:color w:val="auto"/>
        </w:rPr>
        <w:t>C</w:t>
      </w:r>
      <w:r>
        <w:rPr>
          <w:rFonts w:ascii="Arial" w:cs="Arial" w:eastAsia="Arial" w:hAnsi="Arial"/>
          <w:sz w:val="14"/>
          <w:szCs w:val="14"/>
          <w:b w:val="1"/>
          <w:bCs w:val="1"/>
          <w:color w:val="auto"/>
        </w:rPr>
        <w:t xml:space="preserve">OMPLIANCE </w:t>
      </w:r>
      <w:r>
        <w:rPr>
          <w:rFonts w:ascii="Arial" w:cs="Arial" w:eastAsia="Arial" w:hAnsi="Arial"/>
          <w:sz w:val="19"/>
          <w:szCs w:val="19"/>
          <w:b w:val="1"/>
          <w:bCs w:val="1"/>
          <w:color w:val="auto"/>
        </w:rPr>
        <w:t>C</w:t>
      </w:r>
      <w:r>
        <w:rPr>
          <w:rFonts w:ascii="Arial" w:cs="Arial" w:eastAsia="Arial" w:hAnsi="Arial"/>
          <w:sz w:val="14"/>
          <w:szCs w:val="14"/>
          <w:b w:val="1"/>
          <w:bCs w:val="1"/>
          <w:color w:val="auto"/>
        </w:rPr>
        <w:t>ERTIFICATE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LPINE </w:t>
      </w:r>
      <w:r>
        <w:rPr>
          <w:rFonts w:ascii="Arial" w:cs="Arial" w:eastAsia="Arial" w:hAnsi="Arial"/>
          <w:sz w:val="19"/>
          <w:szCs w:val="19"/>
          <w:b w:val="1"/>
          <w:bCs w:val="1"/>
          <w:color w:val="auto"/>
        </w:rPr>
        <w:t>I</w:t>
      </w:r>
      <w:r>
        <w:rPr>
          <w:rFonts w:ascii="Arial" w:cs="Arial" w:eastAsia="Arial" w:hAnsi="Arial"/>
          <w:sz w:val="14"/>
          <w:szCs w:val="14"/>
          <w:b w:val="1"/>
          <w:bCs w:val="1"/>
          <w:color w:val="auto"/>
        </w:rPr>
        <w:t xml:space="preserve">NCOME </w:t>
      </w:r>
      <w:r>
        <w:rPr>
          <w:rFonts w:ascii="Arial" w:cs="Arial" w:eastAsia="Arial" w:hAnsi="Arial"/>
          <w:sz w:val="19"/>
          <w:szCs w:val="19"/>
          <w:b w:val="1"/>
          <w:bCs w:val="1"/>
          <w:color w:val="auto"/>
        </w:rPr>
        <w:t>P</w:t>
      </w:r>
      <w:r>
        <w:rPr>
          <w:rFonts w:ascii="Arial" w:cs="Arial" w:eastAsia="Arial" w:hAnsi="Arial"/>
          <w:sz w:val="14"/>
          <w:szCs w:val="14"/>
          <w:b w:val="1"/>
          <w:bCs w:val="1"/>
          <w:color w:val="auto"/>
        </w:rPr>
        <w:t xml:space="preserve">ROPERTY </w:t>
      </w:r>
      <w:r>
        <w:rPr>
          <w:rFonts w:ascii="Arial" w:cs="Arial" w:eastAsia="Arial" w:hAnsi="Arial"/>
          <w:sz w:val="19"/>
          <w:szCs w:val="19"/>
          <w:b w:val="1"/>
          <w:bCs w:val="1"/>
          <w:color w:val="auto"/>
        </w:rPr>
        <w:t>OP, LP</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This Exhibit A, with a calculation date of __________,______, is attached to Schedule I to the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Compliance Certificate of Alpine Income Property OP, LP dated ___________, 2021, as amended, and</w:t>
      </w:r>
    </w:p>
    <w:p>
      <w:pPr>
        <w:spacing w:after="0" w:line="16"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18"/>
          <w:szCs w:val="18"/>
          <w:color w:val="auto"/>
        </w:rPr>
        <w:t>delivered to KeyBank National Association, as Administrative Agent, and the Lenders party to the Credit Agreement, as amended, referred to therein. The undersigned hereby certifies that the following is a true, correct and complete calculation of Total Asset Value for Rolling Period most recently ended:</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[Insert Calculation]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28" w:lineRule="exact"/>
        <w:rPr>
          <w:sz w:val="20"/>
          <w:szCs w:val="20"/>
          <w:color w:val="auto"/>
        </w:rPr>
      </w:pPr>
    </w:p>
    <w:p>
      <w:pPr>
        <w:ind w:left="4260" w:right="339" w:hanging="189"/>
        <w:spacing w:after="0" w:line="253" w:lineRule="auto"/>
        <w:rPr>
          <w:sz w:val="20"/>
          <w:szCs w:val="20"/>
          <w:color w:val="auto"/>
        </w:rPr>
      </w:pPr>
      <w:r>
        <w:rPr>
          <w:rFonts w:ascii="Arial" w:cs="Arial" w:eastAsia="Arial" w:hAnsi="Arial"/>
          <w:sz w:val="20"/>
          <w:szCs w:val="20"/>
          <w:color w:val="auto"/>
        </w:rPr>
        <w:t>By: Alpine Income Property GP, LLC, a Delaware limited liability company, its General Partner</w:t>
      </w:r>
    </w:p>
    <w:p>
      <w:pPr>
        <w:spacing w:after="0" w:line="18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 Alpine Income Property Trust, Inc., a Maryland</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corporation, its sole member</w:t>
      </w:r>
    </w:p>
    <w:p>
      <w:pPr>
        <w:spacing w:after="0" w:line="200" w:lineRule="exact"/>
        <w:rPr>
          <w:sz w:val="20"/>
          <w:szCs w:val="20"/>
          <w:color w:val="auto"/>
        </w:rPr>
      </w:pPr>
    </w:p>
    <w:p>
      <w:pPr>
        <w:spacing w:after="0" w:line="259"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1">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-31115</wp:posOffset>
            </wp:positionV>
            <wp:extent cx="1901825"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2">
                      <a:extLst>
                        <a:ext uri="{28A0092B-C50C-407E-A947-70E740481C1C}"/>
                      </a:extLst>
                    </a:blip>
                    <a:srcRect/>
                    <a:stretch>
                      <a:fillRect/>
                    </a:stretch>
                  </pic:blipFill>
                  <pic:spPr bwMode="auto">
                    <a:xfrm>
                      <a:off x="0" y="0"/>
                      <a:ext cx="1901825" cy="7620"/>
                    </a:xfrm>
                    <a:prstGeom prst="rect">
                      <a:avLst/>
                    </a:prstGeom>
                    <a:noFill/>
                  </pic:spPr>
                </pic:pic>
              </a:graphicData>
            </a:graphic>
          </wp:anchor>
        </w:drawing>
      </w:r>
    </w:p>
    <w:p>
      <w:pPr>
        <w:spacing w:after="0" w:line="1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-31115</wp:posOffset>
            </wp:positionV>
            <wp:extent cx="196469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3">
                      <a:extLst>
                        <a:ext uri="{28A0092B-C50C-407E-A947-70E740481C1C}"/>
                      </a:extLst>
                    </a:blip>
                    <a:srcRect/>
                    <a:stretch>
                      <a:fillRect/>
                    </a:stretch>
                  </pic:blipFill>
                  <pic:spPr bwMode="auto">
                    <a:xfrm>
                      <a:off x="0" y="0"/>
                      <a:ext cx="1964690" cy="762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70" w:name="page171"/>
    <w:bookmarkEnd w:id="170"/>
    <w:p>
      <w:pPr>
        <w:jc w:val="center"/>
        <w:ind w:right="320"/>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I</w:t>
      </w:r>
    </w:p>
    <w:p>
      <w:pPr>
        <w:spacing w:after="0" w:line="1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 xml:space="preserve">TO </w:t>
      </w:r>
      <w:r>
        <w:rPr>
          <w:rFonts w:ascii="Arial" w:cs="Arial" w:eastAsia="Arial" w:hAnsi="Arial"/>
          <w:sz w:val="19"/>
          <w:szCs w:val="19"/>
          <w:b w:val="1"/>
          <w:bCs w:val="1"/>
          <w:color w:val="auto"/>
        </w:rPr>
        <w:t>C</w:t>
      </w:r>
      <w:r>
        <w:rPr>
          <w:rFonts w:ascii="Arial" w:cs="Arial" w:eastAsia="Arial" w:hAnsi="Arial"/>
          <w:sz w:val="14"/>
          <w:szCs w:val="14"/>
          <w:b w:val="1"/>
          <w:bCs w:val="1"/>
          <w:color w:val="auto"/>
        </w:rPr>
        <w:t xml:space="preserve">OMPLIANCE </w:t>
      </w:r>
      <w:r>
        <w:rPr>
          <w:rFonts w:ascii="Arial" w:cs="Arial" w:eastAsia="Arial" w:hAnsi="Arial"/>
          <w:sz w:val="19"/>
          <w:szCs w:val="19"/>
          <w:b w:val="1"/>
          <w:bCs w:val="1"/>
          <w:color w:val="auto"/>
        </w:rPr>
        <w:t>C</w:t>
      </w:r>
      <w:r>
        <w:rPr>
          <w:rFonts w:ascii="Arial" w:cs="Arial" w:eastAsia="Arial" w:hAnsi="Arial"/>
          <w:sz w:val="14"/>
          <w:szCs w:val="14"/>
          <w:b w:val="1"/>
          <w:bCs w:val="1"/>
          <w:color w:val="auto"/>
        </w:rPr>
        <w:t>ERTIFICATE</w:t>
      </w:r>
    </w:p>
    <w:p>
      <w:pPr>
        <w:spacing w:after="0" w:line="4"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LPINE </w:t>
      </w:r>
      <w:r>
        <w:rPr>
          <w:rFonts w:ascii="Arial" w:cs="Arial" w:eastAsia="Arial" w:hAnsi="Arial"/>
          <w:sz w:val="19"/>
          <w:szCs w:val="19"/>
          <w:b w:val="1"/>
          <w:bCs w:val="1"/>
          <w:color w:val="auto"/>
        </w:rPr>
        <w:t>I</w:t>
      </w:r>
      <w:r>
        <w:rPr>
          <w:rFonts w:ascii="Arial" w:cs="Arial" w:eastAsia="Arial" w:hAnsi="Arial"/>
          <w:sz w:val="14"/>
          <w:szCs w:val="14"/>
          <w:b w:val="1"/>
          <w:bCs w:val="1"/>
          <w:color w:val="auto"/>
        </w:rPr>
        <w:t xml:space="preserve">NCOME </w:t>
      </w:r>
      <w:r>
        <w:rPr>
          <w:rFonts w:ascii="Arial" w:cs="Arial" w:eastAsia="Arial" w:hAnsi="Arial"/>
          <w:sz w:val="19"/>
          <w:szCs w:val="19"/>
          <w:b w:val="1"/>
          <w:bCs w:val="1"/>
          <w:color w:val="auto"/>
        </w:rPr>
        <w:t>P</w:t>
      </w:r>
      <w:r>
        <w:rPr>
          <w:rFonts w:ascii="Arial" w:cs="Arial" w:eastAsia="Arial" w:hAnsi="Arial"/>
          <w:sz w:val="14"/>
          <w:szCs w:val="14"/>
          <w:b w:val="1"/>
          <w:bCs w:val="1"/>
          <w:color w:val="auto"/>
        </w:rPr>
        <w:t xml:space="preserve">ROPERTY </w:t>
      </w:r>
      <w:r>
        <w:rPr>
          <w:rFonts w:ascii="Arial" w:cs="Arial" w:eastAsia="Arial" w:hAnsi="Arial"/>
          <w:sz w:val="19"/>
          <w:szCs w:val="19"/>
          <w:b w:val="1"/>
          <w:bCs w:val="1"/>
          <w:color w:val="auto"/>
        </w:rPr>
        <w:t>OP, LP</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This Exhibit B, with a calculation date of __________,______, is attached to Schedule I to 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Compliance Certificate of Alpine Income Property OP, LP dated _________, 2021, as amended, and</w:t>
      </w:r>
    </w:p>
    <w:p>
      <w:pPr>
        <w:jc w:val="both"/>
        <w:ind w:left="200" w:right="520"/>
        <w:spacing w:after="0" w:line="274" w:lineRule="auto"/>
        <w:rPr>
          <w:sz w:val="20"/>
          <w:szCs w:val="20"/>
          <w:color w:val="auto"/>
        </w:rPr>
      </w:pPr>
      <w:r>
        <w:rPr>
          <w:rFonts w:ascii="Arial" w:cs="Arial" w:eastAsia="Arial" w:hAnsi="Arial"/>
          <w:sz w:val="18"/>
          <w:szCs w:val="18"/>
          <w:color w:val="auto"/>
        </w:rPr>
        <w:t>delivered to KeyBank National Association, as Administrative Agent, and the Lenders party to the Credit Agreement, as amended, referred to therein. The undersigned hereby certifies that the following is a true, correct and complete calculation of Property NOI for all Properties for Rolling Period most recently ended:</w:t>
      </w:r>
    </w:p>
    <w:p>
      <w:pPr>
        <w:spacing w:after="0" w:line="363" w:lineRule="exact"/>
        <w:rPr>
          <w:sz w:val="20"/>
          <w:szCs w:val="20"/>
          <w:color w:val="auto"/>
        </w:rPr>
      </w:pPr>
    </w:p>
    <w:tbl>
      <w:tblPr>
        <w:tblLayout w:type="fixed"/>
        <w:tblInd w:w="210" w:type="dxa"/>
        <w:tblCellMar>
          <w:top w:w="0" w:type="dxa"/>
          <w:left w:w="0" w:type="dxa"/>
          <w:bottom w:w="0" w:type="dxa"/>
          <w:right w:w="0" w:type="dxa"/>
        </w:tblCellMar>
      </w:tblPr>
      <w:tr>
        <w:trPr>
          <w:trHeight w:val="136"/>
        </w:trPr>
        <w:tc>
          <w:tcPr>
            <w:tcW w:w="100" w:type="dxa"/>
            <w:vAlign w:val="bottom"/>
            <w:tcBorders>
              <w:top w:val="single" w:sz="8" w:color="auto"/>
              <w:left w:val="single" w:sz="8" w:color="auto"/>
            </w:tcBorders>
          </w:tcPr>
          <w:p>
            <w:pPr>
              <w:spacing w:after="0"/>
              <w:rPr>
                <w:sz w:val="11"/>
                <w:szCs w:val="11"/>
                <w:color w:val="auto"/>
              </w:rPr>
            </w:pPr>
          </w:p>
        </w:tc>
        <w:tc>
          <w:tcPr>
            <w:tcW w:w="840" w:type="dxa"/>
            <w:vAlign w:val="bottom"/>
            <w:tcBorders>
              <w:top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ROPERTY</w:t>
            </w:r>
          </w:p>
        </w:tc>
        <w:tc>
          <w:tcPr>
            <w:tcW w:w="900" w:type="dxa"/>
            <w:vAlign w:val="bottom"/>
            <w:tcBorders>
              <w:top w:val="single" w:sz="8" w:color="auto"/>
              <w:right w:val="single" w:sz="8" w:color="auto"/>
            </w:tcBorders>
            <w:gridSpan w:val="4"/>
          </w:tcPr>
          <w:p>
            <w:pPr>
              <w:ind w:left="80"/>
              <w:spacing w:after="0" w:line="136" w:lineRule="exact"/>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ROPERTY</w:t>
            </w:r>
          </w:p>
        </w:tc>
        <w:tc>
          <w:tcPr>
            <w:tcW w:w="660" w:type="dxa"/>
            <w:vAlign w:val="bottom"/>
            <w:tcBorders>
              <w:top w:val="single" w:sz="8" w:color="auto"/>
              <w:right w:val="single" w:sz="8" w:color="auto"/>
            </w:tcBorders>
            <w:gridSpan w:val="3"/>
          </w:tcPr>
          <w:p>
            <w:pPr>
              <w:ind w:left="80"/>
              <w:spacing w:after="0" w:line="136" w:lineRule="exact"/>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INUS</w:t>
            </w: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right w:val="single" w:sz="8" w:color="auto"/>
            </w:tcBorders>
            <w:gridSpan w:val="5"/>
          </w:tcPr>
          <w:p>
            <w:pPr>
              <w:spacing w:after="0" w:line="136" w:lineRule="exact"/>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ROPERTY</w:t>
            </w:r>
            <w:r>
              <w:rPr>
                <w:rFonts w:ascii="Arial" w:cs="Arial" w:eastAsia="Arial" w:hAnsi="Arial"/>
                <w:sz w:val="13"/>
                <w:szCs w:val="13"/>
                <w:color w:val="auto"/>
              </w:rPr>
              <w:t xml:space="preserve"> E</w:t>
            </w:r>
            <w:r>
              <w:rPr>
                <w:rFonts w:ascii="Arial" w:cs="Arial" w:eastAsia="Arial" w:hAnsi="Arial"/>
                <w:sz w:val="8"/>
                <w:szCs w:val="8"/>
                <w:color w:val="auto"/>
              </w:rPr>
              <w:t>XPENSES</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right w:val="single" w:sz="8" w:color="auto"/>
            </w:tcBorders>
            <w:gridSpan w:val="2"/>
          </w:tcPr>
          <w:p>
            <w:pPr>
              <w:spacing w:after="0" w:line="136" w:lineRule="exact"/>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INUS</w:t>
            </w:r>
          </w:p>
        </w:tc>
        <w:tc>
          <w:tcPr>
            <w:tcW w:w="1120" w:type="dxa"/>
            <w:vAlign w:val="bottom"/>
            <w:tcBorders>
              <w:top w:val="single" w:sz="8" w:color="auto"/>
              <w:right w:val="single" w:sz="8" w:color="auto"/>
            </w:tcBorders>
            <w:gridSpan w:val="5"/>
          </w:tcPr>
          <w:p>
            <w:pPr>
              <w:ind w:left="80"/>
              <w:spacing w:after="0" w:line="136" w:lineRule="exact"/>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NNUAL</w:t>
            </w:r>
            <w:r>
              <w:rPr>
                <w:rFonts w:ascii="Arial" w:cs="Arial" w:eastAsia="Arial" w:hAnsi="Arial"/>
                <w:sz w:val="13"/>
                <w:szCs w:val="13"/>
                <w:color w:val="auto"/>
              </w:rPr>
              <w:t xml:space="preserve"> C</w:t>
            </w:r>
            <w:r>
              <w:rPr>
                <w:rFonts w:ascii="Arial" w:cs="Arial" w:eastAsia="Arial" w:hAnsi="Arial"/>
                <w:sz w:val="8"/>
                <w:szCs w:val="8"/>
                <w:color w:val="auto"/>
              </w:rPr>
              <w:t>APITAL</w:t>
            </w:r>
          </w:p>
        </w:tc>
        <w:tc>
          <w:tcPr>
            <w:tcW w:w="680" w:type="dxa"/>
            <w:vAlign w:val="bottom"/>
            <w:tcBorders>
              <w:top w:val="single" w:sz="8" w:color="auto"/>
              <w:right w:val="single" w:sz="8" w:color="auto"/>
            </w:tcBorders>
            <w:gridSpan w:val="3"/>
          </w:tcPr>
          <w:p>
            <w:pPr>
              <w:ind w:left="60"/>
              <w:spacing w:after="0" w:line="136" w:lineRule="exact"/>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INUS</w:t>
            </w: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right w:val="single" w:sz="8" w:color="auto"/>
            </w:tcBorders>
            <w:gridSpan w:val="4"/>
          </w:tcPr>
          <w:p>
            <w:pPr>
              <w:spacing w:after="0" w:line="136" w:lineRule="exact"/>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REATER OF</w:t>
            </w:r>
            <w:r>
              <w:rPr>
                <w:rFonts w:ascii="Arial" w:cs="Arial" w:eastAsia="Arial" w:hAnsi="Arial"/>
                <w:sz w:val="13"/>
                <w:szCs w:val="13"/>
                <w:color w:val="auto"/>
              </w:rPr>
              <w:t xml:space="preserve"> 3% </w:t>
            </w:r>
            <w:r>
              <w:rPr>
                <w:rFonts w:ascii="Arial" w:cs="Arial" w:eastAsia="Arial" w:hAnsi="Arial"/>
                <w:sz w:val="8"/>
                <w:szCs w:val="8"/>
                <w:color w:val="auto"/>
              </w:rPr>
              <w:t>OF</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9"/>
                <w:szCs w:val="9"/>
                <w:color w:val="auto"/>
              </w:rPr>
              <w:t>EQUALS</w:t>
            </w:r>
          </w:p>
        </w:tc>
        <w:tc>
          <w:tcPr>
            <w:tcW w:w="920" w:type="dxa"/>
            <w:vAlign w:val="bottom"/>
            <w:tcBorders>
              <w:top w:val="single" w:sz="8" w:color="auto"/>
              <w:right w:val="single" w:sz="8" w:color="auto"/>
            </w:tcBorders>
            <w:gridSpan w:val="3"/>
          </w:tcPr>
          <w:p>
            <w:pPr>
              <w:ind w:left="60"/>
              <w:spacing w:after="0" w:line="136" w:lineRule="exact"/>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ROPERTY</w:t>
            </w:r>
            <w:r>
              <w:rPr>
                <w:rFonts w:ascii="Arial" w:cs="Arial" w:eastAsia="Arial" w:hAnsi="Arial"/>
                <w:sz w:val="13"/>
                <w:szCs w:val="13"/>
                <w:color w:val="auto"/>
              </w:rPr>
              <w:t xml:space="preserve"> NOI</w:t>
            </w:r>
          </w:p>
        </w:tc>
      </w:tr>
      <w:tr>
        <w:trPr>
          <w:trHeight w:val="116"/>
        </w:trPr>
        <w:tc>
          <w:tcPr>
            <w:tcW w:w="100" w:type="dxa"/>
            <w:vAlign w:val="bottom"/>
            <w:tcBorders>
              <w:left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NCOME</w:t>
            </w:r>
          </w:p>
        </w:tc>
        <w:tc>
          <w:tcPr>
            <w:tcW w:w="100" w:type="dxa"/>
            <w:vAlign w:val="bottom"/>
            <w:tcBorders>
              <w:top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bottom w:val="single" w:sz="8" w:color="auto"/>
            </w:tcBorders>
            <w:gridSpan w:val="2"/>
          </w:tcPr>
          <w:p>
            <w:pPr>
              <w:spacing w:after="0" w:line="116" w:lineRule="exact"/>
              <w:rPr>
                <w:sz w:val="20"/>
                <w:szCs w:val="20"/>
                <w:color w:val="auto"/>
              </w:rPr>
            </w:pPr>
            <w:r>
              <w:rPr>
                <w:rFonts w:ascii="Arial" w:cs="Arial" w:eastAsia="Arial" w:hAnsi="Arial"/>
                <w:sz w:val="13"/>
                <w:szCs w:val="13"/>
                <w:color w:val="auto"/>
                <w:w w:val="97"/>
              </w:rPr>
              <w:t>(</w:t>
            </w:r>
            <w:r>
              <w:rPr>
                <w:rFonts w:ascii="Arial" w:cs="Arial" w:eastAsia="Arial" w:hAnsi="Arial"/>
                <w:sz w:val="8"/>
                <w:szCs w:val="8"/>
                <w:color w:val="auto"/>
                <w:w w:val="97"/>
              </w:rPr>
              <w:t>WITHOUT</w:t>
            </w:r>
            <w:r>
              <w:rPr>
                <w:rFonts w:ascii="Arial" w:cs="Arial" w:eastAsia="Arial" w:hAnsi="Arial"/>
                <w:sz w:val="13"/>
                <w:szCs w:val="13"/>
                <w:color w:val="auto"/>
                <w:w w:val="97"/>
              </w:rPr>
              <w:t xml:space="preserve"> C</w:t>
            </w:r>
            <w:r>
              <w:rPr>
                <w:rFonts w:ascii="Arial" w:cs="Arial" w:eastAsia="Arial" w:hAnsi="Arial"/>
                <w:sz w:val="8"/>
                <w:szCs w:val="8"/>
                <w:color w:val="auto"/>
                <w:w w:val="97"/>
              </w:rPr>
              <w:t>AP</w:t>
            </w:r>
            <w:r>
              <w:rPr>
                <w:rFonts w:ascii="Arial" w:cs="Arial" w:eastAsia="Arial" w:hAnsi="Arial"/>
                <w:sz w:val="13"/>
                <w:szCs w:val="13"/>
                <w:color w:val="auto"/>
                <w:w w:val="97"/>
              </w:rPr>
              <w:t>. E</w:t>
            </w:r>
            <w:r>
              <w:rPr>
                <w:rFonts w:ascii="Arial" w:cs="Arial" w:eastAsia="Arial" w:hAnsi="Arial"/>
                <w:sz w:val="8"/>
                <w:szCs w:val="8"/>
                <w:color w:val="auto"/>
                <w:w w:val="97"/>
              </w:rPr>
              <w:t>X</w:t>
            </w:r>
            <w:r>
              <w:rPr>
                <w:rFonts w:ascii="Arial" w:cs="Arial" w:eastAsia="Arial" w:hAnsi="Arial"/>
                <w:sz w:val="13"/>
                <w:szCs w:val="13"/>
                <w:color w:val="auto"/>
                <w:w w:val="97"/>
              </w:rPr>
              <w:t>.</w:t>
            </w:r>
          </w:p>
        </w:tc>
        <w:tc>
          <w:tcPr>
            <w:tcW w:w="2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bottom w:val="single" w:sz="8" w:color="auto"/>
            </w:tcBorders>
            <w:gridSpan w:val="2"/>
          </w:tcPr>
          <w:p>
            <w:pPr>
              <w:spacing w:after="0" w:line="116" w:lineRule="exact"/>
              <w:rPr>
                <w:sz w:val="20"/>
                <w:szCs w:val="20"/>
                <w:color w:val="auto"/>
              </w:rPr>
            </w:pPr>
            <w:r>
              <w:rPr>
                <w:rFonts w:ascii="Arial" w:cs="Arial" w:eastAsia="Arial" w:hAnsi="Arial"/>
                <w:sz w:val="13"/>
                <w:szCs w:val="13"/>
                <w:color w:val="auto"/>
                <w:w w:val="99"/>
              </w:rPr>
              <w:t>E</w:t>
            </w:r>
            <w:r>
              <w:rPr>
                <w:rFonts w:ascii="Arial" w:cs="Arial" w:eastAsia="Arial" w:hAnsi="Arial"/>
                <w:sz w:val="8"/>
                <w:szCs w:val="8"/>
                <w:color w:val="auto"/>
                <w:w w:val="99"/>
              </w:rPr>
              <w:t>XPENDITURE</w:t>
            </w:r>
          </w:p>
        </w:tc>
        <w:tc>
          <w:tcPr>
            <w:tcW w:w="20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94"/>
              </w:rPr>
              <w:t>RENTS OR ACTUAL</w:t>
            </w:r>
          </w:p>
        </w:tc>
        <w:tc>
          <w:tcPr>
            <w:tcW w:w="100" w:type="dxa"/>
            <w:vAlign w:val="bottom"/>
            <w:tcBorders>
              <w:top w:val="single" w:sz="8" w:color="auto"/>
            </w:tcBorders>
            <w:gridSpan w:val="2"/>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r>
      <w:tr>
        <w:trPr>
          <w:trHeight w:val="116"/>
        </w:trPr>
        <w:tc>
          <w:tcPr>
            <w:tcW w:w="10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16" w:lineRule="exact"/>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ESERVE OR</w:t>
            </w: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spacing w:after="0" w:line="116" w:lineRule="exact"/>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ESERVE</w:t>
            </w:r>
          </w:p>
        </w:tc>
        <w:tc>
          <w:tcPr>
            <w:tcW w:w="420" w:type="dxa"/>
            <w:vAlign w:val="bottom"/>
            <w:tcBorders>
              <w:right w:val="single" w:sz="8" w:color="auto"/>
            </w:tcBorders>
            <w:gridSpan w:val="2"/>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right w:val="single" w:sz="8" w:color="auto"/>
            </w:tcBorders>
            <w:gridSpan w:val="4"/>
          </w:tcPr>
          <w:p>
            <w:pPr>
              <w:spacing w:after="0"/>
              <w:rPr>
                <w:sz w:val="20"/>
                <w:szCs w:val="20"/>
                <w:color w:val="auto"/>
              </w:rPr>
            </w:pPr>
            <w:r>
              <w:rPr>
                <w:rFonts w:ascii="Arial" w:cs="Arial" w:eastAsia="Arial" w:hAnsi="Arial"/>
                <w:sz w:val="9"/>
                <w:szCs w:val="9"/>
                <w:color w:val="auto"/>
              </w:rPr>
              <w:t>MANAGEMENT FEES</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r>
      <w:tr>
        <w:trPr>
          <w:trHeight w:val="121"/>
        </w:trPr>
        <w:tc>
          <w:tcPr>
            <w:tcW w:w="100" w:type="dxa"/>
            <w:vAlign w:val="bottom"/>
            <w:tcBorders>
              <w:left w:val="single" w:sz="8" w:color="auto"/>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top w:val="single" w:sz="8" w:color="auto"/>
              <w:bottom w:val="single" w:sz="8" w:color="auto"/>
            </w:tcBorders>
            <w:gridSpan w:val="2"/>
          </w:tcPr>
          <w:p>
            <w:pPr>
              <w:spacing w:after="0" w:line="116" w:lineRule="exact"/>
              <w:rPr>
                <w:sz w:val="20"/>
                <w:szCs w:val="20"/>
                <w:color w:val="auto"/>
              </w:rPr>
            </w:pPr>
            <w:r>
              <w:rPr>
                <w:rFonts w:ascii="Arial" w:cs="Arial" w:eastAsia="Arial" w:hAnsi="Arial"/>
                <w:sz w:val="13"/>
                <w:szCs w:val="13"/>
                <w:color w:val="auto"/>
                <w:w w:val="87"/>
              </w:rPr>
              <w:t>M</w:t>
            </w:r>
            <w:r>
              <w:rPr>
                <w:rFonts w:ascii="Arial" w:cs="Arial" w:eastAsia="Arial" w:hAnsi="Arial"/>
                <w:sz w:val="8"/>
                <w:szCs w:val="8"/>
                <w:color w:val="auto"/>
                <w:w w:val="87"/>
              </w:rPr>
              <w:t>ANAGEMENT</w:t>
            </w:r>
          </w:p>
        </w:tc>
        <w:tc>
          <w:tcPr>
            <w:tcW w:w="520" w:type="dxa"/>
            <w:vAlign w:val="bottom"/>
            <w:tcBorders>
              <w:bottom w:val="single" w:sz="8" w:color="auto"/>
              <w:right w:val="single" w:sz="8" w:color="auto"/>
            </w:tcBorders>
            <w:gridSpan w:val="3"/>
          </w:tcPr>
          <w:p>
            <w:pPr>
              <w:ind w:left="140"/>
              <w:spacing w:after="0" w:line="116" w:lineRule="exact"/>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EES</w:t>
            </w:r>
            <w:r>
              <w:rPr>
                <w:rFonts w:ascii="Arial" w:cs="Arial" w:eastAsia="Arial" w:hAnsi="Arial"/>
                <w:sz w:val="13"/>
                <w:szCs w:val="13"/>
                <w:color w:val="auto"/>
              </w:rPr>
              <w:t>)</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r>
      <w:tr>
        <w:trPr>
          <w:trHeight w:val="136"/>
        </w:trPr>
        <w:tc>
          <w:tcPr>
            <w:tcW w:w="10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gridSpan w:val="4"/>
          </w:tcPr>
          <w:p>
            <w:pPr>
              <w:ind w:left="80"/>
              <w:spacing w:after="0" w:line="136" w:lineRule="exact"/>
              <w:rPr>
                <w:sz w:val="20"/>
                <w:szCs w:val="20"/>
                <w:color w:val="auto"/>
              </w:rPr>
            </w:pPr>
            <w:r>
              <w:rPr>
                <w:rFonts w:ascii="Arial" w:cs="Arial" w:eastAsia="Arial" w:hAnsi="Arial"/>
                <w:sz w:val="13"/>
                <w:szCs w:val="13"/>
                <w:color w:val="auto"/>
              </w:rPr>
              <w:t>$________</w:t>
            </w:r>
          </w:p>
        </w:tc>
        <w:tc>
          <w:tcPr>
            <w:tcW w:w="400" w:type="dxa"/>
            <w:vAlign w:val="bottom"/>
            <w:tcBorders>
              <w:bottom w:val="single" w:sz="8" w:color="auto"/>
            </w:tcBorders>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gridSpan w:val="4"/>
          </w:tcPr>
          <w:p>
            <w:pPr>
              <w:ind w:left="80"/>
              <w:spacing w:after="0" w:line="136" w:lineRule="exact"/>
              <w:rPr>
                <w:sz w:val="20"/>
                <w:szCs w:val="20"/>
                <w:color w:val="auto"/>
              </w:rPr>
            </w:pPr>
            <w:r>
              <w:rPr>
                <w:rFonts w:ascii="Arial" w:cs="Arial" w:eastAsia="Arial" w:hAnsi="Arial"/>
                <w:sz w:val="13"/>
                <w:szCs w:val="13"/>
                <w:color w:val="auto"/>
              </w:rPr>
              <w:t>$___________</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line="136" w:lineRule="exact"/>
              <w:rPr>
                <w:sz w:val="20"/>
                <w:szCs w:val="20"/>
                <w:color w:val="auto"/>
              </w:rPr>
            </w:pPr>
            <w:r>
              <w:rPr>
                <w:rFonts w:ascii="Arial" w:cs="Arial" w:eastAsia="Arial" w:hAnsi="Arial"/>
                <w:sz w:val="13"/>
                <w:szCs w:val="13"/>
                <w:color w:val="auto"/>
              </w:rPr>
              <w:t>$________</w:t>
            </w:r>
          </w:p>
        </w:tc>
        <w:tc>
          <w:tcPr>
            <w:tcW w:w="120" w:type="dxa"/>
            <w:vAlign w:val="bottom"/>
            <w:tcBorders>
              <w:bottom w:val="single" w:sz="8" w:color="auto"/>
              <w:right w:val="single" w:sz="8" w:color="auto"/>
            </w:tcBorders>
          </w:tcPr>
          <w:p>
            <w:pPr>
              <w:spacing w:after="0"/>
              <w:rPr>
                <w:sz w:val="11"/>
                <w:szCs w:val="11"/>
                <w:color w:val="auto"/>
              </w:rPr>
            </w:pPr>
          </w:p>
        </w:tc>
      </w:tr>
      <w:tr>
        <w:trPr>
          <w:trHeight w:val="129"/>
        </w:trPr>
        <w:tc>
          <w:tcPr>
            <w:tcW w:w="10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$________</w:t>
            </w:r>
          </w:p>
        </w:tc>
        <w:tc>
          <w:tcPr>
            <w:tcW w:w="40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$___________</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rPr>
              <w:t>$________</w:t>
            </w:r>
          </w:p>
        </w:tc>
        <w:tc>
          <w:tcPr>
            <w:tcW w:w="120" w:type="dxa"/>
            <w:vAlign w:val="bottom"/>
            <w:tcBorders>
              <w:bottom w:val="single" w:sz="8" w:color="auto"/>
              <w:right w:val="single" w:sz="8" w:color="auto"/>
            </w:tcBorders>
          </w:tcPr>
          <w:p>
            <w:pPr>
              <w:spacing w:after="0"/>
              <w:rPr>
                <w:sz w:val="11"/>
                <w:szCs w:val="11"/>
                <w:color w:val="auto"/>
              </w:rPr>
            </w:pPr>
          </w:p>
        </w:tc>
      </w:tr>
      <w:tr>
        <w:trPr>
          <w:trHeight w:val="129"/>
        </w:trPr>
        <w:tc>
          <w:tcPr>
            <w:tcW w:w="10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$________</w:t>
            </w:r>
          </w:p>
        </w:tc>
        <w:tc>
          <w:tcPr>
            <w:tcW w:w="40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$___________</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rPr>
              <w:t>$________</w:t>
            </w:r>
          </w:p>
        </w:tc>
        <w:tc>
          <w:tcPr>
            <w:tcW w:w="120" w:type="dxa"/>
            <w:vAlign w:val="bottom"/>
            <w:tcBorders>
              <w:bottom w:val="single" w:sz="8" w:color="auto"/>
              <w:right w:val="single" w:sz="8" w:color="auto"/>
            </w:tcBorders>
          </w:tcPr>
          <w:p>
            <w:pPr>
              <w:spacing w:after="0"/>
              <w:rPr>
                <w:sz w:val="11"/>
                <w:szCs w:val="11"/>
                <w:color w:val="auto"/>
              </w:rPr>
            </w:pPr>
          </w:p>
        </w:tc>
      </w:tr>
      <w:tr>
        <w:trPr>
          <w:trHeight w:val="129"/>
        </w:trPr>
        <w:tc>
          <w:tcPr>
            <w:tcW w:w="100" w:type="dxa"/>
            <w:vAlign w:val="bottom"/>
            <w:tcBorders>
              <w:left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w:t>
            </w:r>
          </w:p>
        </w:tc>
        <w:tc>
          <w:tcPr>
            <w:tcW w:w="40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gridSpan w:val="4"/>
          </w:tcPr>
          <w:p>
            <w:pPr>
              <w:ind w:left="80"/>
              <w:spacing w:after="0" w:line="129" w:lineRule="exact"/>
              <w:rPr>
                <w:sz w:val="20"/>
                <w:szCs w:val="20"/>
                <w:color w:val="auto"/>
              </w:rPr>
            </w:pPr>
            <w:r>
              <w:rPr>
                <w:rFonts w:ascii="Arial" w:cs="Arial" w:eastAsia="Arial" w:hAnsi="Arial"/>
                <w:sz w:val="13"/>
                <w:szCs w:val="13"/>
                <w:color w:val="auto"/>
              </w:rPr>
              <w:t>$___________</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3"/>
                <w:szCs w:val="13"/>
                <w:color w:val="auto"/>
              </w:rPr>
              <w:t>$________</w:t>
            </w:r>
          </w:p>
        </w:tc>
        <w:tc>
          <w:tcPr>
            <w:tcW w:w="120" w:type="dxa"/>
            <w:vAlign w:val="bottom"/>
            <w:tcBorders>
              <w:bottom w:val="single" w:sz="8" w:color="auto"/>
              <w:right w:val="single" w:sz="8" w:color="auto"/>
            </w:tcBorders>
          </w:tcPr>
          <w:p>
            <w:pPr>
              <w:spacing w:after="0"/>
              <w:rPr>
                <w:sz w:val="11"/>
                <w:szCs w:val="11"/>
                <w:color w:val="auto"/>
              </w:rPr>
            </w:pPr>
          </w:p>
        </w:tc>
      </w:tr>
    </w:tbl>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3660" w:type="dxa"/>
            <w:vAlign w:val="bottom"/>
          </w:tcPr>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OTAL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NOI </w:t>
            </w:r>
            <w:r>
              <w:rPr>
                <w:rFonts w:ascii="Arial" w:cs="Arial" w:eastAsia="Arial" w:hAnsi="Arial"/>
                <w:sz w:val="13"/>
                <w:szCs w:val="13"/>
                <w:b w:val="1"/>
                <w:bCs w:val="1"/>
                <w:color w:val="auto"/>
              </w:rPr>
              <w:t>FOR ALL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ROPERTIES</w:t>
            </w:r>
            <w:r>
              <w:rPr>
                <w:rFonts w:ascii="Arial" w:cs="Arial" w:eastAsia="Arial" w:hAnsi="Arial"/>
                <w:sz w:val="20"/>
                <w:szCs w:val="20"/>
                <w:b w:val="1"/>
                <w:bCs w:val="1"/>
                <w:color w:val="auto"/>
              </w:rPr>
              <w:t>:</w:t>
            </w:r>
          </w:p>
        </w:tc>
        <w:tc>
          <w:tcPr>
            <w:tcW w:w="4060" w:type="dxa"/>
            <w:vAlign w:val="bottom"/>
            <w:gridSpan w:val="4"/>
          </w:tcPr>
          <w:p>
            <w:pPr>
              <w:ind w:left="2280"/>
              <w:spacing w:after="0"/>
              <w:rPr>
                <w:sz w:val="20"/>
                <w:szCs w:val="20"/>
                <w:color w:val="auto"/>
              </w:rPr>
            </w:pPr>
            <w:r>
              <w:rPr>
                <w:rFonts w:ascii="Arial" w:cs="Arial" w:eastAsia="Arial" w:hAnsi="Arial"/>
                <w:sz w:val="20"/>
                <w:szCs w:val="20"/>
                <w:b w:val="1"/>
                <w:bCs w:val="1"/>
                <w:color w:val="auto"/>
              </w:rPr>
              <w:t>$_____________</w:t>
            </w: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446"/>
        </w:trPr>
        <w:tc>
          <w:tcPr>
            <w:tcW w:w="3660" w:type="dxa"/>
            <w:vAlign w:val="bottom"/>
          </w:tcPr>
          <w:p>
            <w:pPr>
              <w:spacing w:after="0"/>
              <w:rPr>
                <w:sz w:val="24"/>
                <w:szCs w:val="24"/>
                <w:color w:val="auto"/>
              </w:rPr>
            </w:pPr>
          </w:p>
        </w:tc>
        <w:tc>
          <w:tcPr>
            <w:tcW w:w="4940" w:type="dxa"/>
            <w:vAlign w:val="bottom"/>
            <w:gridSpan w:val="6"/>
          </w:tcPr>
          <w:p>
            <w:pPr>
              <w:ind w:left="2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tc>
      </w:tr>
      <w:tr>
        <w:trPr>
          <w:trHeight w:val="430"/>
        </w:trPr>
        <w:tc>
          <w:tcPr>
            <w:tcW w:w="3660" w:type="dxa"/>
            <w:vAlign w:val="bottom"/>
          </w:tcPr>
          <w:p>
            <w:pPr>
              <w:spacing w:after="0"/>
              <w:rPr>
                <w:sz w:val="24"/>
                <w:szCs w:val="24"/>
                <w:color w:val="auto"/>
              </w:rPr>
            </w:pPr>
          </w:p>
        </w:tc>
        <w:tc>
          <w:tcPr>
            <w:tcW w:w="4940" w:type="dxa"/>
            <w:vAlign w:val="bottom"/>
            <w:gridSpan w:val="6"/>
          </w:tcPr>
          <w:p>
            <w:pPr>
              <w:ind w:left="200"/>
              <w:spacing w:after="0"/>
              <w:rPr>
                <w:sz w:val="20"/>
                <w:szCs w:val="20"/>
                <w:color w:val="auto"/>
              </w:rPr>
            </w:pPr>
            <w:r>
              <w:rPr>
                <w:rFonts w:ascii="Arial" w:cs="Arial" w:eastAsia="Arial" w:hAnsi="Arial"/>
                <w:sz w:val="20"/>
                <w:szCs w:val="20"/>
                <w:color w:val="auto"/>
                <w:w w:val="94"/>
              </w:rPr>
              <w:t>By: Alpine Income Property GP, LLC, a Delaware limited</w:t>
            </w:r>
          </w:p>
        </w:tc>
      </w:tr>
      <w:tr>
        <w:trPr>
          <w:trHeight w:val="250"/>
        </w:trPr>
        <w:tc>
          <w:tcPr>
            <w:tcW w:w="3660" w:type="dxa"/>
            <w:vAlign w:val="bottom"/>
          </w:tcPr>
          <w:p>
            <w:pPr>
              <w:spacing w:after="0"/>
              <w:rPr>
                <w:sz w:val="21"/>
                <w:szCs w:val="21"/>
                <w:color w:val="auto"/>
              </w:rPr>
            </w:pPr>
          </w:p>
        </w:tc>
        <w:tc>
          <w:tcPr>
            <w:tcW w:w="4940" w:type="dxa"/>
            <w:vAlign w:val="bottom"/>
            <w:gridSpan w:val="6"/>
          </w:tcPr>
          <w:p>
            <w:pPr>
              <w:ind w:left="400"/>
              <w:spacing w:after="0"/>
              <w:rPr>
                <w:sz w:val="20"/>
                <w:szCs w:val="20"/>
                <w:color w:val="auto"/>
              </w:rPr>
            </w:pPr>
            <w:r>
              <w:rPr>
                <w:rFonts w:ascii="Arial" w:cs="Arial" w:eastAsia="Arial" w:hAnsi="Arial"/>
                <w:sz w:val="20"/>
                <w:szCs w:val="20"/>
                <w:color w:val="auto"/>
              </w:rPr>
              <w:t>liability company, its General Partner</w:t>
            </w:r>
          </w:p>
        </w:tc>
      </w:tr>
      <w:tr>
        <w:trPr>
          <w:trHeight w:val="418"/>
        </w:trPr>
        <w:tc>
          <w:tcPr>
            <w:tcW w:w="3660" w:type="dxa"/>
            <w:vAlign w:val="bottom"/>
          </w:tcPr>
          <w:p>
            <w:pPr>
              <w:spacing w:after="0"/>
              <w:rPr>
                <w:sz w:val="24"/>
                <w:szCs w:val="24"/>
                <w:color w:val="auto"/>
              </w:rPr>
            </w:pPr>
          </w:p>
        </w:tc>
        <w:tc>
          <w:tcPr>
            <w:tcW w:w="4940" w:type="dxa"/>
            <w:vAlign w:val="bottom"/>
            <w:gridSpan w:val="6"/>
          </w:tcPr>
          <w:p>
            <w:pPr>
              <w:ind w:left="200"/>
              <w:spacing w:after="0"/>
              <w:rPr>
                <w:sz w:val="20"/>
                <w:szCs w:val="20"/>
                <w:color w:val="auto"/>
              </w:rPr>
            </w:pPr>
            <w:r>
              <w:rPr>
                <w:rFonts w:ascii="Arial" w:cs="Arial" w:eastAsia="Arial" w:hAnsi="Arial"/>
                <w:sz w:val="20"/>
                <w:szCs w:val="20"/>
                <w:color w:val="auto"/>
              </w:rPr>
              <w:t>By: Alpine Income Property Trust, Inc., a Maryland</w:t>
            </w:r>
          </w:p>
        </w:tc>
      </w:tr>
      <w:tr>
        <w:trPr>
          <w:trHeight w:val="250"/>
        </w:trPr>
        <w:tc>
          <w:tcPr>
            <w:tcW w:w="3660" w:type="dxa"/>
            <w:vAlign w:val="bottom"/>
          </w:tcPr>
          <w:p>
            <w:pPr>
              <w:spacing w:after="0"/>
              <w:rPr>
                <w:sz w:val="21"/>
                <w:szCs w:val="21"/>
                <w:color w:val="auto"/>
              </w:rPr>
            </w:pPr>
          </w:p>
        </w:tc>
        <w:tc>
          <w:tcPr>
            <w:tcW w:w="4940" w:type="dxa"/>
            <w:vAlign w:val="bottom"/>
            <w:gridSpan w:val="6"/>
          </w:tcPr>
          <w:p>
            <w:pPr>
              <w:ind w:left="400"/>
              <w:spacing w:after="0"/>
              <w:rPr>
                <w:sz w:val="20"/>
                <w:szCs w:val="20"/>
                <w:color w:val="auto"/>
              </w:rPr>
            </w:pPr>
            <w:r>
              <w:rPr>
                <w:rFonts w:ascii="Arial" w:cs="Arial" w:eastAsia="Arial" w:hAnsi="Arial"/>
                <w:sz w:val="20"/>
                <w:szCs w:val="20"/>
                <w:color w:val="auto"/>
              </w:rPr>
              <w:t>corporation, its sole member</w:t>
            </w:r>
          </w:p>
        </w:tc>
      </w:tr>
      <w:tr>
        <w:trPr>
          <w:trHeight w:val="635"/>
        </w:trPr>
        <w:tc>
          <w:tcPr>
            <w:tcW w:w="366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20"/>
                <w:szCs w:val="20"/>
                <w:color w:val="auto"/>
                <w:w w:val="89"/>
              </w:rPr>
              <w:t>By:</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40"/>
        </w:trPr>
        <w:tc>
          <w:tcPr>
            <w:tcW w:w="3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20"/>
                <w:szCs w:val="20"/>
                <w:color w:val="auto"/>
                <w:w w:val="88"/>
              </w:rPr>
              <w:t>Name:</w:t>
            </w:r>
          </w:p>
        </w:tc>
        <w:tc>
          <w:tcPr>
            <w:tcW w:w="2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20"/>
                <w:szCs w:val="20"/>
                <w:color w:val="auto"/>
                <w:w w:val="92"/>
              </w:rPr>
              <w:t>Title:</w:t>
            </w:r>
          </w:p>
        </w:tc>
        <w:tc>
          <w:tcPr>
            <w:tcW w:w="3100" w:type="dxa"/>
            <w:vAlign w:val="bottom"/>
            <w:tcBorders>
              <w:bottom w:val="single" w:sz="8" w:color="auto"/>
            </w:tcBorders>
            <w:gridSpan w:val="2"/>
          </w:tcPr>
          <w:p>
            <w:pPr>
              <w:spacing w:after="0"/>
              <w:rPr>
                <w:sz w:val="20"/>
                <w:szCs w:val="20"/>
                <w:color w:val="auto"/>
              </w:rPr>
            </w:pPr>
          </w:p>
        </w:tc>
        <w:tc>
          <w:tcPr>
            <w:tcW w:w="880" w:type="dxa"/>
            <w:vAlign w:val="bottom"/>
            <w:gridSpan w:val="2"/>
          </w:tcPr>
          <w:p>
            <w:pPr>
              <w:spacing w:after="0"/>
              <w:rPr>
                <w:sz w:val="20"/>
                <w:szCs w:val="20"/>
                <w:color w:val="auto"/>
              </w:rPr>
            </w:pPr>
          </w:p>
        </w:tc>
      </w:tr>
      <w:tr>
        <w:trPr>
          <w:trHeight w:val="634"/>
        </w:trPr>
        <w:tc>
          <w:tcPr>
            <w:tcW w:w="3660" w:type="dxa"/>
            <w:vAlign w:val="bottom"/>
          </w:tcPr>
          <w:p>
            <w:pPr>
              <w:spacing w:after="0"/>
              <w:rPr>
                <w:sz w:val="24"/>
                <w:szCs w:val="24"/>
                <w:color w:val="auto"/>
              </w:rPr>
            </w:pPr>
          </w:p>
        </w:tc>
        <w:tc>
          <w:tcPr>
            <w:tcW w:w="4940" w:type="dxa"/>
            <w:vAlign w:val="bottom"/>
            <w:gridSpan w:val="6"/>
          </w:tcPr>
          <w:p>
            <w:pPr>
              <w:ind w:left="200"/>
              <w:spacing w:after="0"/>
              <w:rPr>
                <w:sz w:val="20"/>
                <w:szCs w:val="20"/>
                <w:color w:val="auto"/>
              </w:rPr>
            </w:pPr>
            <w:r>
              <w:rPr>
                <w:rFonts w:ascii="Arial" w:cs="Arial" w:eastAsia="Arial" w:hAnsi="Arial"/>
                <w:sz w:val="16"/>
                <w:szCs w:val="16"/>
                <w:color w:val="auto"/>
              </w:rPr>
              <w:t>[Exhibit E-7]</w:t>
            </w:r>
          </w:p>
        </w:tc>
      </w:tr>
      <w:tr>
        <w:trPr>
          <w:trHeight w:val="736"/>
        </w:trPr>
        <w:tc>
          <w:tcPr>
            <w:tcW w:w="3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320"/>
          </w:cols>
          <w:pgMar w:left="1440" w:top="832" w:right="11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SSIGNMENT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CCEPTANCE</w:t>
      </w:r>
    </w:p>
    <w:p>
      <w:pPr>
        <w:spacing w:after="0" w:line="296" w:lineRule="exact"/>
        <w:rPr>
          <w:sz w:val="20"/>
          <w:szCs w:val="20"/>
          <w:color w:val="auto"/>
        </w:rPr>
      </w:pPr>
    </w:p>
    <w:p>
      <w:pPr>
        <w:ind w:left="3200"/>
        <w:spacing w:after="0"/>
        <w:rPr>
          <w:sz w:val="20"/>
          <w:szCs w:val="20"/>
          <w:color w:val="auto"/>
        </w:rPr>
      </w:pPr>
      <w:r>
        <w:rPr>
          <w:rFonts w:ascii="Arial" w:cs="Arial" w:eastAsia="Arial" w:hAnsi="Arial"/>
          <w:sz w:val="20"/>
          <w:szCs w:val="20"/>
          <w:color w:val="auto"/>
        </w:rPr>
        <w:t>Dated _____________, _______</w:t>
      </w:r>
    </w:p>
    <w:p>
      <w:pPr>
        <w:spacing w:after="0" w:line="154"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color w:val="auto"/>
        </w:rPr>
        <w:t xml:space="preserve">Reference is made to the Credit Agreement dated as of September 30, 2021, as extended, renewed, amended or restated from time to time, the </w:t>
      </w:r>
      <w:r>
        <w:rPr>
          <w:rFonts w:ascii="Arial" w:cs="Arial" w:eastAsia="Arial" w:hAnsi="Arial"/>
          <w:sz w:val="20"/>
          <w:szCs w:val="20"/>
          <w:i w:val="1"/>
          <w:iCs w:val="1"/>
          <w:color w:val="auto"/>
        </w:rPr>
        <w:t>“Credit Agreement”</w:t>
      </w:r>
      <w:r>
        <w:rPr>
          <w:rFonts w:ascii="Arial" w:cs="Arial" w:eastAsia="Arial" w:hAnsi="Arial"/>
          <w:sz w:val="20"/>
          <w:szCs w:val="20"/>
          <w:color w:val="auto"/>
        </w:rPr>
        <w:t xml:space="preserve">) among Alpine Income Property OP, LP, the Guarantors from time to time party thereto, the Lenders and KeyBank National Association, as Administrative Agent (the </w:t>
      </w:r>
      <w:r>
        <w:rPr>
          <w:rFonts w:ascii="Arial" w:cs="Arial" w:eastAsia="Arial" w:hAnsi="Arial"/>
          <w:sz w:val="20"/>
          <w:szCs w:val="20"/>
          <w:i w:val="1"/>
          <w:iCs w:val="1"/>
          <w:color w:val="auto"/>
        </w:rPr>
        <w:t>“Administrative Agent”</w:t>
      </w:r>
      <w:r>
        <w:rPr>
          <w:rFonts w:ascii="Arial" w:cs="Arial" w:eastAsia="Arial" w:hAnsi="Arial"/>
          <w:sz w:val="20"/>
          <w:szCs w:val="20"/>
          <w:color w:val="auto"/>
        </w:rPr>
        <w:t>). Terms defined in the Credit Agreement are used herein with the same meaning.</w:t>
      </w:r>
    </w:p>
    <w:p>
      <w:pPr>
        <w:spacing w:after="0" w:line="172" w:lineRule="exact"/>
        <w:rPr>
          <w:sz w:val="20"/>
          <w:szCs w:val="20"/>
          <w:color w:val="auto"/>
        </w:rPr>
      </w:pPr>
    </w:p>
    <w:p>
      <w:pPr>
        <w:ind w:left="800"/>
        <w:spacing w:after="0"/>
        <w:tabs>
          <w:tab w:leader="none" w:pos="6480" w:val="left"/>
          <w:tab w:leader="none" w:pos="7140" w:val="left"/>
          <w:tab w:leader="none" w:pos="8500" w:val="left"/>
        </w:tabs>
        <w:rPr>
          <w:sz w:val="20"/>
          <w:szCs w:val="20"/>
          <w:color w:val="auto"/>
        </w:rPr>
      </w:pPr>
      <w:r>
        <w:rPr>
          <w:rFonts w:ascii="Arial" w:cs="Arial" w:eastAsia="Arial" w:hAnsi="Arial"/>
          <w:sz w:val="18"/>
          <w:szCs w:val="18"/>
          <w:color w:val="auto"/>
        </w:rPr>
        <w:t>______________________________________________________</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20"/>
          <w:szCs w:val="20"/>
          <w:i w:val="1"/>
          <w:iCs w:val="1"/>
          <w:color w:val="auto"/>
        </w:rPr>
        <w:t>“Assignor”</w:t>
      </w:r>
      <w:r>
        <w:rPr>
          <w:rFonts w:ascii="Arial" w:cs="Arial" w:eastAsia="Arial" w:hAnsi="Arial"/>
          <w:sz w:val="20"/>
          <w:szCs w:val="20"/>
          <w:color w:val="auto"/>
        </w:rPr>
        <w:t>)</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_________________________ (the </w:t>
      </w:r>
      <w:r>
        <w:rPr>
          <w:rFonts w:ascii="Arial" w:cs="Arial" w:eastAsia="Arial" w:hAnsi="Arial"/>
          <w:sz w:val="20"/>
          <w:szCs w:val="20"/>
          <w:i w:val="1"/>
          <w:iCs w:val="1"/>
          <w:color w:val="auto"/>
        </w:rPr>
        <w:t>“Assignee”</w:t>
      </w:r>
      <w:r>
        <w:rPr>
          <w:rFonts w:ascii="Arial" w:cs="Arial" w:eastAsia="Arial" w:hAnsi="Arial"/>
          <w:sz w:val="20"/>
          <w:szCs w:val="20"/>
          <w:color w:val="auto"/>
        </w:rPr>
        <w:t>) agree as follows:</w:t>
      </w:r>
    </w:p>
    <w:p>
      <w:pPr>
        <w:spacing w:after="0" w:line="175" w:lineRule="exact"/>
        <w:rPr>
          <w:sz w:val="20"/>
          <w:szCs w:val="20"/>
          <w:color w:val="auto"/>
        </w:rPr>
      </w:pPr>
    </w:p>
    <w:p>
      <w:pPr>
        <w:jc w:val="both"/>
        <w:ind w:left="800" w:right="219" w:firstLine="739"/>
        <w:spacing w:after="0" w:line="237" w:lineRule="auto"/>
        <w:tabs>
          <w:tab w:leader="none" w:pos="198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Term Loan Commitments as in effect on the Effective Date and the Loans, if any, owing to the Assignor on the Effective Date</w:t>
      </w:r>
    </w:p>
    <w:p>
      <w:pPr>
        <w:spacing w:after="0" w:line="172" w:lineRule="exact"/>
        <w:rPr>
          <w:rFonts w:ascii="Arial" w:cs="Arial" w:eastAsia="Arial" w:hAnsi="Arial"/>
          <w:sz w:val="20"/>
          <w:szCs w:val="20"/>
          <w:color w:val="auto"/>
        </w:rPr>
      </w:pPr>
    </w:p>
    <w:p>
      <w:pPr>
        <w:jc w:val="both"/>
        <w:ind w:left="800" w:right="219" w:firstLine="739"/>
        <w:spacing w:after="0" w:line="263" w:lineRule="auto"/>
        <w:tabs>
          <w:tab w:leader="none" w:pos="198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spacing w:after="0" w:line="157" w:lineRule="exact"/>
        <w:rPr>
          <w:rFonts w:ascii="Arial" w:cs="Arial" w:eastAsia="Arial" w:hAnsi="Arial"/>
          <w:sz w:val="18"/>
          <w:szCs w:val="18"/>
          <w:color w:val="auto"/>
        </w:rPr>
      </w:pPr>
    </w:p>
    <w:p>
      <w:pPr>
        <w:jc w:val="both"/>
        <w:ind w:left="800" w:right="219" w:firstLine="739"/>
        <w:spacing w:after="0" w:line="248" w:lineRule="auto"/>
        <w:tabs>
          <w:tab w:leader="none" w:pos="198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72" w:name="page173"/>
    <w:bookmarkEnd w:id="172"/>
    <w:p>
      <w:pPr>
        <w:jc w:val="both"/>
        <w:ind w:left="800" w:right="219"/>
        <w:spacing w:after="0" w:line="253" w:lineRule="auto"/>
        <w:rPr>
          <w:sz w:val="20"/>
          <w:szCs w:val="20"/>
          <w:color w:val="auto"/>
        </w:rPr>
      </w:pPr>
      <w:r>
        <w:rPr>
          <w:rFonts w:ascii="Arial" w:cs="Arial" w:eastAsia="Arial" w:hAnsi="Arial"/>
          <w:sz w:val="19"/>
          <w:szCs w:val="19"/>
          <w:color w:val="auto"/>
        </w:rPr>
        <w:t>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spacing w:after="0" w:line="160" w:lineRule="exact"/>
        <w:rPr>
          <w:sz w:val="20"/>
          <w:szCs w:val="20"/>
          <w:color w:val="auto"/>
        </w:rPr>
      </w:pPr>
    </w:p>
    <w:p>
      <w:pPr>
        <w:jc w:val="both"/>
        <w:ind w:left="800" w:right="219" w:firstLine="739"/>
        <w:spacing w:after="0" w:line="251" w:lineRule="auto"/>
        <w:tabs>
          <w:tab w:leader="none" w:pos="198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spacing w:after="0" w:line="163" w:lineRule="exact"/>
        <w:rPr>
          <w:rFonts w:ascii="Arial" w:cs="Arial" w:eastAsia="Arial" w:hAnsi="Arial"/>
          <w:sz w:val="19"/>
          <w:szCs w:val="19"/>
          <w:color w:val="auto"/>
        </w:rPr>
      </w:pPr>
    </w:p>
    <w:p>
      <w:pPr>
        <w:jc w:val="both"/>
        <w:ind w:left="800" w:right="219" w:firstLine="739"/>
        <w:spacing w:after="0" w:line="239" w:lineRule="auto"/>
        <w:tabs>
          <w:tab w:leader="none" w:pos="198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The effective date for this Assignment and Acceptance shall be </w:t>
      </w:r>
      <w:r>
        <w:rPr>
          <w:rFonts w:ascii="Arial" w:cs="Arial" w:eastAsia="Arial" w:hAnsi="Arial"/>
          <w:sz w:val="20"/>
          <w:szCs w:val="20"/>
          <w:u w:val="single" w:color="auto"/>
          <w:color w:val="auto"/>
        </w:rPr>
        <w:t>___________</w:t>
      </w:r>
      <w:r>
        <w:rPr>
          <w:rFonts w:ascii="Arial" w:cs="Arial" w:eastAsia="Arial" w:hAnsi="Arial"/>
          <w:sz w:val="20"/>
          <w:szCs w:val="20"/>
          <w:color w:val="auto"/>
        </w:rPr>
        <w:t xml:space="preserve"> (the </w:t>
      </w:r>
      <w:r>
        <w:rPr>
          <w:rFonts w:ascii="Arial" w:cs="Arial" w:eastAsia="Arial" w:hAnsi="Arial"/>
          <w:sz w:val="20"/>
          <w:szCs w:val="20"/>
          <w:i w:val="1"/>
          <w:iCs w:val="1"/>
          <w:color w:val="auto"/>
        </w:rPr>
        <w:t>“Effective Date”</w:t>
      </w:r>
      <w:r>
        <w:rPr>
          <w:rFonts w:ascii="Arial" w:cs="Arial" w:eastAsia="Arial" w:hAnsi="Arial"/>
          <w:sz w:val="20"/>
          <w:szCs w:val="20"/>
          <w:color w:val="auto"/>
        </w:rPr>
        <w:t>). Following the execution of this Assignment and Acceptance, it will be delivered</w:t>
      </w:r>
      <w:r>
        <w:rPr>
          <w:rFonts w:ascii="Arial" w:cs="Arial" w:eastAsia="Arial" w:hAnsi="Arial"/>
          <w:sz w:val="20"/>
          <w:szCs w:val="20"/>
          <w:i w:val="1"/>
          <w:iCs w:val="1"/>
          <w:color w:val="auto"/>
        </w:rPr>
        <w:t xml:space="preserve"> </w:t>
      </w:r>
      <w:r>
        <w:rPr>
          <w:rFonts w:ascii="Arial" w:cs="Arial" w:eastAsia="Arial" w:hAnsi="Arial"/>
          <w:sz w:val="20"/>
          <w:szCs w:val="20"/>
          <w:color w:val="auto"/>
        </w:rPr>
        <w:t>to the Administrative Agent for acceptance and recording by the Administrative Agent and, if required, the Borrower.</w:t>
      </w:r>
    </w:p>
    <w:p>
      <w:pPr>
        <w:spacing w:after="0" w:line="173" w:lineRule="exact"/>
        <w:rPr>
          <w:rFonts w:ascii="Arial" w:cs="Arial" w:eastAsia="Arial" w:hAnsi="Arial"/>
          <w:sz w:val="20"/>
          <w:szCs w:val="20"/>
          <w:color w:val="auto"/>
        </w:rPr>
      </w:pPr>
    </w:p>
    <w:p>
      <w:pPr>
        <w:jc w:val="both"/>
        <w:ind w:left="800" w:right="219" w:firstLine="739"/>
        <w:spacing w:after="0" w:line="238" w:lineRule="auto"/>
        <w:tabs>
          <w:tab w:leader="none" w:pos="198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71" w:lineRule="exact"/>
        <w:rPr>
          <w:rFonts w:ascii="Arial" w:cs="Arial" w:eastAsia="Arial" w:hAnsi="Arial"/>
          <w:sz w:val="20"/>
          <w:szCs w:val="20"/>
          <w:color w:val="auto"/>
        </w:rPr>
      </w:pPr>
    </w:p>
    <w:p>
      <w:pPr>
        <w:jc w:val="both"/>
        <w:ind w:left="800" w:right="219" w:firstLine="739"/>
        <w:spacing w:after="0" w:line="237" w:lineRule="auto"/>
        <w:tabs>
          <w:tab w:leader="none" w:pos="1988" w:val="left"/>
        </w:tabs>
        <w:numPr>
          <w:ilvl w:val="0"/>
          <w:numId w:val="167"/>
        </w:numPr>
        <w:rPr>
          <w:rFonts w:ascii="Arial" w:cs="Arial" w:eastAsia="Arial" w:hAnsi="Arial"/>
          <w:sz w:val="20"/>
          <w:szCs w:val="20"/>
          <w:color w:val="auto"/>
        </w:rPr>
      </w:pPr>
      <w:r>
        <w:rPr>
          <w:rFonts w:ascii="Arial" w:cs="Arial" w:eastAsia="Arial" w:hAnsi="Arial"/>
          <w:sz w:val="20"/>
          <w:szCs w:val="20"/>
          <w:color w:val="auto"/>
        </w:rPr>
        <w:t>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73" w:name="page174"/>
    <w:bookmarkEnd w:id="173"/>
    <w:p>
      <w:pPr>
        <w:ind w:left="800" w:right="219" w:firstLine="739"/>
        <w:spacing w:after="0" w:line="253" w:lineRule="auto"/>
        <w:tabs>
          <w:tab w:leader="none" w:pos="198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This Assignment and Acceptance shall be governed by, and construed in accordance with, the internal laws of the State of New York.</w:t>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SSIGNOR</w:t>
      </w:r>
      <w:r>
        <w:rPr>
          <w:rFonts w:ascii="Arial" w:cs="Arial" w:eastAsia="Arial" w:hAnsi="Arial"/>
          <w:sz w:val="20"/>
          <w:szCs w:val="20"/>
          <w:color w:val="auto"/>
        </w:rPr>
        <w:t xml:space="preserve"> L</w:t>
      </w:r>
      <w:r>
        <w:rPr>
          <w:rFonts w:ascii="Arial" w:cs="Arial" w:eastAsia="Arial" w:hAnsi="Arial"/>
          <w:sz w:val="13"/>
          <w:szCs w:val="13"/>
          <w:color w:val="auto"/>
        </w:rPr>
        <w:t>ENDER</w:t>
      </w:r>
      <w:r>
        <w:rPr>
          <w:rFonts w:ascii="Arial" w:cs="Arial" w:eastAsia="Arial" w:hAnsi="Arial"/>
          <w:sz w:val="20"/>
          <w:szCs w:val="20"/>
          <w:color w:val="auto"/>
        </w:rPr>
        <w:t>]</w:t>
      </w:r>
    </w:p>
    <w:p>
      <w:pPr>
        <w:spacing w:after="0" w:line="200" w:lineRule="exact"/>
        <w:rPr>
          <w:sz w:val="20"/>
          <w:szCs w:val="20"/>
          <w:color w:val="auto"/>
        </w:rPr>
      </w:pPr>
    </w:p>
    <w:p>
      <w:pPr>
        <w:spacing w:after="0" w:line="35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-31115</wp:posOffset>
            </wp:positionV>
            <wp:extent cx="230251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7">
                      <a:extLst>
                        <a:ext uri="{28A0092B-C50C-407E-A947-70E740481C1C}"/>
                      </a:extLst>
                    </a:blip>
                    <a:srcRect/>
                    <a:stretch>
                      <a:fillRect/>
                    </a:stretch>
                  </pic:blipFill>
                  <pic:spPr bwMode="auto">
                    <a:xfrm>
                      <a:off x="0" y="0"/>
                      <a:ext cx="2302510" cy="7620"/>
                    </a:xfrm>
                    <a:prstGeom prst="rect">
                      <a:avLst/>
                    </a:prstGeom>
                    <a:noFill/>
                  </pic:spPr>
                </pic:pic>
              </a:graphicData>
            </a:graphic>
          </wp:anchor>
        </w:drawing>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-31115</wp:posOffset>
            </wp:positionV>
            <wp:extent cx="2035175"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8">
                      <a:extLst>
                        <a:ext uri="{28A0092B-C50C-407E-A947-70E740481C1C}"/>
                      </a:extLst>
                    </a:blip>
                    <a:srcRect/>
                    <a:stretch>
                      <a:fillRect/>
                    </a:stretch>
                  </pic:blipFill>
                  <pic:spPr bwMode="auto">
                    <a:xfrm>
                      <a:off x="0" y="0"/>
                      <a:ext cx="2035175" cy="7620"/>
                    </a:xfrm>
                    <a:prstGeom prst="rect">
                      <a:avLst/>
                    </a:prstGeom>
                    <a:noFill/>
                  </pic:spPr>
                </pic:pic>
              </a:graphicData>
            </a:graphic>
          </wp:anchor>
        </w:drawing>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-31115</wp:posOffset>
            </wp:positionV>
            <wp:extent cx="2090420"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9">
                      <a:extLst>
                        <a:ext uri="{28A0092B-C50C-407E-A947-70E740481C1C}"/>
                      </a:extLst>
                    </a:blip>
                    <a:srcRect/>
                    <a:stretch>
                      <a:fillRect/>
                    </a:stretch>
                  </pic:blipFill>
                  <pic:spPr bwMode="auto">
                    <a:xfrm>
                      <a:off x="0" y="0"/>
                      <a:ext cx="2090420" cy="7620"/>
                    </a:xfrm>
                    <a:prstGeom prst="rect">
                      <a:avLst/>
                    </a:prstGeom>
                    <a:noFill/>
                  </pic:spPr>
                </pic:pic>
              </a:graphicData>
            </a:graphic>
          </wp:anchor>
        </w:drawing>
      </w:r>
    </w:p>
    <w:p>
      <w:pPr>
        <w:spacing w:after="0" w:line="20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SSIGNEE</w:t>
      </w:r>
      <w:r>
        <w:rPr>
          <w:rFonts w:ascii="Arial" w:cs="Arial" w:eastAsia="Arial" w:hAnsi="Arial"/>
          <w:sz w:val="20"/>
          <w:szCs w:val="20"/>
          <w:color w:val="auto"/>
        </w:rPr>
        <w:t xml:space="preserve"> L</w:t>
      </w:r>
      <w:r>
        <w:rPr>
          <w:rFonts w:ascii="Arial" w:cs="Arial" w:eastAsia="Arial" w:hAnsi="Arial"/>
          <w:sz w:val="13"/>
          <w:szCs w:val="13"/>
          <w:color w:val="auto"/>
        </w:rPr>
        <w:t>ENDER</w:t>
      </w:r>
      <w:r>
        <w:rPr>
          <w:rFonts w:ascii="Arial" w:cs="Arial" w:eastAsia="Arial" w:hAnsi="Arial"/>
          <w:sz w:val="20"/>
          <w:szCs w:val="20"/>
          <w:color w:val="auto"/>
        </w:rPr>
        <w:t>]</w:t>
      </w:r>
    </w:p>
    <w:p>
      <w:pPr>
        <w:spacing w:after="0" w:line="200" w:lineRule="exact"/>
        <w:rPr>
          <w:sz w:val="20"/>
          <w:szCs w:val="20"/>
          <w:color w:val="auto"/>
        </w:rPr>
      </w:pPr>
    </w:p>
    <w:p>
      <w:pPr>
        <w:spacing w:after="0" w:line="362"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-31115</wp:posOffset>
            </wp:positionV>
            <wp:extent cx="230251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0">
                      <a:extLst>
                        <a:ext uri="{28A0092B-C50C-407E-A947-70E740481C1C}"/>
                      </a:extLst>
                    </a:blip>
                    <a:srcRect/>
                    <a:stretch>
                      <a:fillRect/>
                    </a:stretch>
                  </pic:blipFill>
                  <pic:spPr bwMode="auto">
                    <a:xfrm>
                      <a:off x="0" y="0"/>
                      <a:ext cx="2302510" cy="7620"/>
                    </a:xfrm>
                    <a:prstGeom prst="rect">
                      <a:avLst/>
                    </a:prstGeom>
                    <a:noFill/>
                  </pic:spPr>
                </pic:pic>
              </a:graphicData>
            </a:graphic>
          </wp:anchor>
        </w:drawing>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-31115</wp:posOffset>
            </wp:positionV>
            <wp:extent cx="2035175"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1">
                      <a:extLst>
                        <a:ext uri="{28A0092B-C50C-407E-A947-70E740481C1C}"/>
                      </a:extLst>
                    </a:blip>
                    <a:srcRect/>
                    <a:stretch>
                      <a:fillRect/>
                    </a:stretch>
                  </pic:blipFill>
                  <pic:spPr bwMode="auto">
                    <a:xfrm>
                      <a:off x="0" y="0"/>
                      <a:ext cx="2035175" cy="7620"/>
                    </a:xfrm>
                    <a:prstGeom prst="rect">
                      <a:avLst/>
                    </a:prstGeom>
                    <a:noFill/>
                  </pic:spPr>
                </pic:pic>
              </a:graphicData>
            </a:graphic>
          </wp:anchor>
        </w:drawing>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-31115</wp:posOffset>
            </wp:positionV>
            <wp:extent cx="209042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2">
                      <a:extLst>
                        <a:ext uri="{28A0092B-C50C-407E-A947-70E740481C1C}"/>
                      </a:extLst>
                    </a:blip>
                    <a:srcRect/>
                    <a:stretch>
                      <a:fillRect/>
                    </a:stretch>
                  </pic:blipFill>
                  <pic:spPr bwMode="auto">
                    <a:xfrm>
                      <a:off x="0" y="0"/>
                      <a:ext cx="2090420" cy="7620"/>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Accepted and consented this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____ day of _____________</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-31115</wp:posOffset>
            </wp:positionV>
            <wp:extent cx="2019935"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3">
                      <a:extLst>
                        <a:ext uri="{28A0092B-C50C-407E-A947-70E740481C1C}"/>
                      </a:extLst>
                    </a:blip>
                    <a:srcRect/>
                    <a:stretch>
                      <a:fillRect/>
                    </a:stretch>
                  </pic:blipFill>
                  <pic:spPr bwMode="auto">
                    <a:xfrm>
                      <a:off x="0" y="0"/>
                      <a:ext cx="201993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-31115</wp:posOffset>
            </wp:positionV>
            <wp:extent cx="1682115"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4">
                      <a:extLst>
                        <a:ext uri="{28A0092B-C50C-407E-A947-70E740481C1C}"/>
                      </a:extLst>
                    </a:blip>
                    <a:srcRect/>
                    <a:stretch>
                      <a:fillRect/>
                    </a:stretch>
                  </pic:blipFill>
                  <pic:spPr bwMode="auto">
                    <a:xfrm>
                      <a:off x="0" y="0"/>
                      <a:ext cx="168211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-31115</wp:posOffset>
            </wp:positionV>
            <wp:extent cx="1736725" cy="76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5">
                      <a:extLst>
                        <a:ext uri="{28A0092B-C50C-407E-A947-70E740481C1C}"/>
                      </a:extLst>
                    </a:blip>
                    <a:srcRect/>
                    <a:stretch>
                      <a:fillRect/>
                    </a:stretch>
                  </pic:blipFill>
                  <pic:spPr bwMode="auto">
                    <a:xfrm>
                      <a:off x="0" y="0"/>
                      <a:ext cx="1736725" cy="7620"/>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Accepted and consented to by the Administrative Agent this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___ day of _________</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 as Administrative Agent</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-31115</wp:posOffset>
            </wp:positionV>
            <wp:extent cx="2019935" cy="76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6">
                      <a:extLst>
                        <a:ext uri="{28A0092B-C50C-407E-A947-70E740481C1C}"/>
                      </a:extLst>
                    </a:blip>
                    <a:srcRect/>
                    <a:stretch>
                      <a:fillRect/>
                    </a:stretch>
                  </pic:blipFill>
                  <pic:spPr bwMode="auto">
                    <a:xfrm>
                      <a:off x="0" y="0"/>
                      <a:ext cx="201993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-31115</wp:posOffset>
            </wp:positionV>
            <wp:extent cx="1682115"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7">
                      <a:extLst>
                        <a:ext uri="{28A0092B-C50C-407E-A947-70E740481C1C}"/>
                      </a:extLst>
                    </a:blip>
                    <a:srcRect/>
                    <a:stretch>
                      <a:fillRect/>
                    </a:stretch>
                  </pic:blipFill>
                  <pic:spPr bwMode="auto">
                    <a:xfrm>
                      <a:off x="0" y="0"/>
                      <a:ext cx="168211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-31115</wp:posOffset>
            </wp:positionV>
            <wp:extent cx="1736725"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8">
                      <a:extLst>
                        <a:ext uri="{28A0092B-C50C-407E-A947-70E740481C1C}"/>
                      </a:extLst>
                    </a:blip>
                    <a:srcRect/>
                    <a:stretch>
                      <a:fillRect/>
                    </a:stretch>
                  </pic:blipFill>
                  <pic:spPr bwMode="auto">
                    <a:xfrm>
                      <a:off x="0" y="0"/>
                      <a:ext cx="1736725" cy="762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9">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NNEX</w:t>
      </w:r>
      <w:r>
        <w:rPr>
          <w:rFonts w:ascii="Arial" w:cs="Arial" w:eastAsia="Arial" w:hAnsi="Arial"/>
          <w:sz w:val="20"/>
          <w:szCs w:val="20"/>
          <w:b w:val="1"/>
          <w:bCs w:val="1"/>
          <w:color w:val="auto"/>
        </w:rPr>
        <w:t xml:space="preserv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TO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SSIGNMENT AND </w:t>
      </w:r>
      <w:r>
        <w:rPr>
          <w:rFonts w:ascii="Arial" w:cs="Arial" w:eastAsia="Arial" w:hAnsi="Arial"/>
          <w:sz w:val="19"/>
          <w:szCs w:val="19"/>
          <w:b w:val="1"/>
          <w:bCs w:val="1"/>
          <w:color w:val="auto"/>
        </w:rPr>
        <w:t>A</w:t>
      </w:r>
      <w:r>
        <w:rPr>
          <w:rFonts w:ascii="Arial" w:cs="Arial" w:eastAsia="Arial" w:hAnsi="Arial"/>
          <w:sz w:val="14"/>
          <w:szCs w:val="14"/>
          <w:b w:val="1"/>
          <w:bCs w:val="1"/>
          <w:color w:val="auto"/>
        </w:rPr>
        <w:t>CCEPTANCE</w:t>
      </w:r>
    </w:p>
    <w:p>
      <w:pPr>
        <w:spacing w:after="0" w:line="322" w:lineRule="exact"/>
        <w:rPr>
          <w:sz w:val="20"/>
          <w:szCs w:val="20"/>
          <w:color w:val="auto"/>
        </w:rPr>
      </w:pPr>
    </w:p>
    <w:p>
      <w:pPr>
        <w:ind w:left="200" w:right="219" w:firstLine="594"/>
        <w:spacing w:after="0" w:line="279" w:lineRule="auto"/>
        <w:rPr>
          <w:sz w:val="20"/>
          <w:szCs w:val="20"/>
          <w:color w:val="auto"/>
        </w:rPr>
      </w:pPr>
      <w:r>
        <w:rPr>
          <w:rFonts w:ascii="Arial" w:cs="Arial" w:eastAsia="Arial" w:hAnsi="Arial"/>
          <w:sz w:val="19"/>
          <w:szCs w:val="19"/>
          <w:color w:val="auto"/>
        </w:rPr>
        <w:t>The assignee hereby purchases and assumes from the assignor the following interest in and to all of the Assignor’s rights and obligations under the Credit Agreement as of the effective date.</w:t>
      </w:r>
    </w:p>
    <w:p>
      <w:pPr>
        <w:spacing w:after="0" w:line="35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20"/>
                <w:szCs w:val="20"/>
                <w:color w:val="auto"/>
                <w:w w:val="98"/>
              </w:rPr>
              <w:t>A</w:t>
            </w:r>
            <w:r>
              <w:rPr>
                <w:rFonts w:ascii="Arial" w:cs="Arial" w:eastAsia="Arial" w:hAnsi="Arial"/>
                <w:sz w:val="13"/>
                <w:szCs w:val="13"/>
                <w:color w:val="auto"/>
                <w:w w:val="98"/>
              </w:rPr>
              <w:t>GGREGATE</w:t>
            </w:r>
          </w:p>
        </w:tc>
        <w:tc>
          <w:tcPr>
            <w:tcW w:w="2280" w:type="dxa"/>
            <w:vAlign w:val="bottom"/>
          </w:tcPr>
          <w:p>
            <w:pPr>
              <w:jc w:val="center"/>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MOUNT OF</w:t>
            </w:r>
          </w:p>
        </w:tc>
        <w:tc>
          <w:tcPr>
            <w:tcW w:w="216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2240" w:type="dxa"/>
            <w:vAlign w:val="bottom"/>
          </w:tcPr>
          <w:p>
            <w:pPr>
              <w:jc w:val="center"/>
              <w:spacing w:after="0" w:line="223" w:lineRule="exact"/>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OMMITMENT</w:t>
            </w:r>
            <w:r>
              <w:rPr>
                <w:rFonts w:ascii="Arial" w:cs="Arial" w:eastAsia="Arial" w:hAnsi="Arial"/>
                <w:sz w:val="20"/>
                <w:szCs w:val="20"/>
                <w:color w:val="auto"/>
              </w:rPr>
              <w:t>/L</w:t>
            </w:r>
            <w:r>
              <w:rPr>
                <w:rFonts w:ascii="Arial" w:cs="Arial" w:eastAsia="Arial" w:hAnsi="Arial"/>
                <w:sz w:val="13"/>
                <w:szCs w:val="13"/>
                <w:color w:val="auto"/>
              </w:rPr>
              <w:t>OANS</w:t>
            </w:r>
          </w:p>
        </w:tc>
        <w:tc>
          <w:tcPr>
            <w:tcW w:w="2280" w:type="dxa"/>
            <w:vAlign w:val="bottom"/>
          </w:tcPr>
          <w:p>
            <w:pPr>
              <w:jc w:val="center"/>
              <w:spacing w:after="0" w:line="223" w:lineRule="exact"/>
              <w:rPr>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OMMITMENT</w:t>
            </w:r>
            <w:r>
              <w:rPr>
                <w:rFonts w:ascii="Arial" w:cs="Arial" w:eastAsia="Arial" w:hAnsi="Arial"/>
                <w:sz w:val="20"/>
                <w:szCs w:val="20"/>
                <w:color w:val="auto"/>
              </w:rPr>
              <w:t>/L</w:t>
            </w:r>
            <w:r>
              <w:rPr>
                <w:rFonts w:ascii="Arial" w:cs="Arial" w:eastAsia="Arial" w:hAnsi="Arial"/>
                <w:sz w:val="13"/>
                <w:szCs w:val="13"/>
                <w:color w:val="auto"/>
              </w:rPr>
              <w:t>OANS</w:t>
            </w:r>
          </w:p>
        </w:tc>
        <w:tc>
          <w:tcPr>
            <w:tcW w:w="2160" w:type="dxa"/>
            <w:vAlign w:val="bottom"/>
          </w:tcPr>
          <w:p>
            <w:pPr>
              <w:jc w:val="center"/>
              <w:ind w:left="311"/>
              <w:spacing w:after="0" w:line="223" w:lineRule="exact"/>
              <w:rPr>
                <w:sz w:val="20"/>
                <w:szCs w:val="20"/>
                <w:color w:val="auto"/>
              </w:rPr>
            </w:pPr>
            <w:r>
              <w:rPr>
                <w:rFonts w:ascii="Arial" w:cs="Arial" w:eastAsia="Arial" w:hAnsi="Arial"/>
                <w:sz w:val="20"/>
                <w:szCs w:val="20"/>
                <w:color w:val="auto"/>
                <w:w w:val="97"/>
              </w:rPr>
              <w:t>P</w:t>
            </w:r>
            <w:r>
              <w:rPr>
                <w:rFonts w:ascii="Arial" w:cs="Arial" w:eastAsia="Arial" w:hAnsi="Arial"/>
                <w:sz w:val="13"/>
                <w:szCs w:val="13"/>
                <w:color w:val="auto"/>
                <w:w w:val="97"/>
              </w:rPr>
              <w:t>ERCENTAGE</w:t>
            </w:r>
            <w:r>
              <w:rPr>
                <w:rFonts w:ascii="Arial" w:cs="Arial" w:eastAsia="Arial" w:hAnsi="Arial"/>
                <w:sz w:val="20"/>
                <w:szCs w:val="20"/>
                <w:color w:val="auto"/>
                <w:w w:val="97"/>
              </w:rPr>
              <w:t xml:space="preserve"> A</w:t>
            </w:r>
            <w:r>
              <w:rPr>
                <w:rFonts w:ascii="Arial" w:cs="Arial" w:eastAsia="Arial" w:hAnsi="Arial"/>
                <w:sz w:val="13"/>
                <w:szCs w:val="13"/>
                <w:color w:val="auto"/>
                <w:w w:val="97"/>
              </w:rPr>
              <w:t>SSIGNED</w:t>
            </w:r>
          </w:p>
        </w:tc>
      </w:tr>
      <w:tr>
        <w:trPr>
          <w:trHeight w:val="250"/>
        </w:trPr>
        <w:tc>
          <w:tcPr>
            <w:tcW w:w="2040" w:type="dxa"/>
            <w:vAlign w:val="bottom"/>
          </w:tcPr>
          <w:p>
            <w:pPr>
              <w:ind w:left="280"/>
              <w:spacing w:after="0"/>
              <w:rPr>
                <w:sz w:val="20"/>
                <w:szCs w:val="20"/>
                <w:color w:val="auto"/>
              </w:rPr>
            </w:pPr>
            <w:r>
              <w:rPr>
                <w:rFonts w:ascii="Arial" w:cs="Arial" w:eastAsia="Arial" w:hAnsi="Arial"/>
                <w:sz w:val="20"/>
                <w:szCs w:val="20"/>
                <w:color w:val="auto"/>
              </w:rPr>
              <w:t>F</w:t>
            </w:r>
            <w:r>
              <w:rPr>
                <w:rFonts w:ascii="Arial" w:cs="Arial" w:eastAsia="Arial" w:hAnsi="Arial"/>
                <w:sz w:val="13"/>
                <w:szCs w:val="13"/>
                <w:color w:val="auto"/>
              </w:rPr>
              <w:t>ACILITY</w:t>
            </w:r>
            <w:r>
              <w:rPr>
                <w:rFonts w:ascii="Arial" w:cs="Arial" w:eastAsia="Arial" w:hAnsi="Arial"/>
                <w:sz w:val="20"/>
                <w:szCs w:val="20"/>
                <w:color w:val="auto"/>
              </w:rPr>
              <w:t xml:space="preserve"> A</w:t>
            </w:r>
            <w:r>
              <w:rPr>
                <w:rFonts w:ascii="Arial" w:cs="Arial" w:eastAsia="Arial" w:hAnsi="Arial"/>
                <w:sz w:val="13"/>
                <w:szCs w:val="13"/>
                <w:color w:val="auto"/>
              </w:rPr>
              <w:t>SSIGNED</w:t>
            </w:r>
          </w:p>
        </w:tc>
        <w:tc>
          <w:tcPr>
            <w:tcW w:w="2240" w:type="dxa"/>
            <w:vAlign w:val="bottom"/>
          </w:tcPr>
          <w:p>
            <w:pPr>
              <w:jc w:val="center"/>
              <w:spacing w:after="0"/>
              <w:rPr>
                <w:sz w:val="20"/>
                <w:szCs w:val="20"/>
                <w:color w:val="auto"/>
              </w:rPr>
            </w:pPr>
            <w:r>
              <w:rPr>
                <w:rFonts w:ascii="Arial" w:cs="Arial" w:eastAsia="Arial" w:hAnsi="Arial"/>
                <w:sz w:val="14"/>
                <w:szCs w:val="14"/>
                <w:color w:val="auto"/>
                <w:w w:val="99"/>
              </w:rPr>
              <w:t xml:space="preserve">FOR </w:t>
            </w:r>
            <w:r>
              <w:rPr>
                <w:rFonts w:ascii="Arial" w:cs="Arial" w:eastAsia="Arial" w:hAnsi="Arial"/>
                <w:sz w:val="19"/>
                <w:szCs w:val="19"/>
                <w:color w:val="auto"/>
                <w:w w:val="99"/>
              </w:rPr>
              <w:t>A</w:t>
            </w:r>
            <w:r>
              <w:rPr>
                <w:rFonts w:ascii="Arial" w:cs="Arial" w:eastAsia="Arial" w:hAnsi="Arial"/>
                <w:sz w:val="14"/>
                <w:szCs w:val="14"/>
                <w:color w:val="auto"/>
                <w:w w:val="99"/>
              </w:rPr>
              <w:t xml:space="preserve">LL </w:t>
            </w:r>
            <w:r>
              <w:rPr>
                <w:rFonts w:ascii="Arial" w:cs="Arial" w:eastAsia="Arial" w:hAnsi="Arial"/>
                <w:sz w:val="19"/>
                <w:szCs w:val="19"/>
                <w:color w:val="auto"/>
                <w:w w:val="99"/>
              </w:rPr>
              <w:t>L</w:t>
            </w:r>
            <w:r>
              <w:rPr>
                <w:rFonts w:ascii="Arial" w:cs="Arial" w:eastAsia="Arial" w:hAnsi="Arial"/>
                <w:sz w:val="14"/>
                <w:szCs w:val="14"/>
                <w:color w:val="auto"/>
                <w:w w:val="99"/>
              </w:rPr>
              <w:t>ENDERS</w:t>
            </w:r>
          </w:p>
        </w:tc>
        <w:tc>
          <w:tcPr>
            <w:tcW w:w="2280" w:type="dxa"/>
            <w:vAlign w:val="bottom"/>
          </w:tcPr>
          <w:p>
            <w:pPr>
              <w:jc w:val="center"/>
              <w:spacing w:after="0"/>
              <w:rPr>
                <w:sz w:val="20"/>
                <w:szCs w:val="20"/>
                <w:color w:val="auto"/>
              </w:rPr>
            </w:pPr>
            <w:r>
              <w:rPr>
                <w:rFonts w:ascii="Arial" w:cs="Arial" w:eastAsia="Arial" w:hAnsi="Arial"/>
                <w:sz w:val="20"/>
                <w:szCs w:val="20"/>
                <w:color w:val="auto"/>
                <w:w w:val="97"/>
              </w:rPr>
              <w:t>A</w:t>
            </w:r>
            <w:r>
              <w:rPr>
                <w:rFonts w:ascii="Arial" w:cs="Arial" w:eastAsia="Arial" w:hAnsi="Arial"/>
                <w:sz w:val="13"/>
                <w:szCs w:val="13"/>
                <w:color w:val="auto"/>
                <w:w w:val="97"/>
              </w:rPr>
              <w:t>SSIGNED</w:t>
            </w:r>
          </w:p>
        </w:tc>
        <w:tc>
          <w:tcPr>
            <w:tcW w:w="2160" w:type="dxa"/>
            <w:vAlign w:val="bottom"/>
          </w:tcPr>
          <w:p>
            <w:pPr>
              <w:jc w:val="center"/>
              <w:ind w:left="311"/>
              <w:spacing w:after="0"/>
              <w:rPr>
                <w:sz w:val="20"/>
                <w:szCs w:val="20"/>
                <w:color w:val="auto"/>
              </w:rPr>
            </w:pPr>
            <w:r>
              <w:rPr>
                <w:rFonts w:ascii="Arial" w:cs="Arial" w:eastAsia="Arial" w:hAnsi="Arial"/>
                <w:sz w:val="14"/>
                <w:szCs w:val="14"/>
                <w:color w:val="auto"/>
                <w:w w:val="98"/>
              </w:rPr>
              <w:t xml:space="preserve">OF </w:t>
            </w:r>
            <w:r>
              <w:rPr>
                <w:rFonts w:ascii="Arial" w:cs="Arial" w:eastAsia="Arial" w:hAnsi="Arial"/>
                <w:sz w:val="19"/>
                <w:szCs w:val="19"/>
                <w:color w:val="auto"/>
                <w:w w:val="98"/>
              </w:rPr>
              <w:t>C</w:t>
            </w:r>
            <w:r>
              <w:rPr>
                <w:rFonts w:ascii="Arial" w:cs="Arial" w:eastAsia="Arial" w:hAnsi="Arial"/>
                <w:sz w:val="14"/>
                <w:szCs w:val="14"/>
                <w:color w:val="auto"/>
                <w:w w:val="98"/>
              </w:rPr>
              <w:t>OMMITMENT</w:t>
            </w:r>
            <w:r>
              <w:rPr>
                <w:rFonts w:ascii="Arial" w:cs="Arial" w:eastAsia="Arial" w:hAnsi="Arial"/>
                <w:sz w:val="19"/>
                <w:szCs w:val="19"/>
                <w:color w:val="auto"/>
                <w:w w:val="98"/>
              </w:rPr>
              <w:t>/L</w:t>
            </w:r>
            <w:r>
              <w:rPr>
                <w:rFonts w:ascii="Arial" w:cs="Arial" w:eastAsia="Arial" w:hAnsi="Arial"/>
                <w:sz w:val="14"/>
                <w:szCs w:val="14"/>
                <w:color w:val="auto"/>
                <w:w w:val="98"/>
              </w:rPr>
              <w:t>OANS</w:t>
            </w:r>
          </w:p>
        </w:tc>
      </w:tr>
      <w:tr>
        <w:trPr>
          <w:trHeight w:val="458"/>
        </w:trPr>
        <w:tc>
          <w:tcPr>
            <w:tcW w:w="2040" w:type="dxa"/>
            <w:vAlign w:val="bottom"/>
          </w:tcPr>
          <w:p>
            <w:pPr>
              <w:spacing w:after="0"/>
              <w:rPr>
                <w:sz w:val="20"/>
                <w:szCs w:val="20"/>
                <w:color w:val="auto"/>
              </w:rPr>
            </w:pPr>
            <w:r>
              <w:rPr>
                <w:rFonts w:ascii="Arial" w:cs="Arial" w:eastAsia="Arial" w:hAnsi="Arial"/>
                <w:sz w:val="20"/>
                <w:szCs w:val="20"/>
                <w:color w:val="auto"/>
              </w:rPr>
              <w:t>Term Loan</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$____________</w:t>
            </w:r>
          </w:p>
        </w:tc>
        <w:tc>
          <w:tcPr>
            <w:tcW w:w="2280" w:type="dxa"/>
            <w:vAlign w:val="bottom"/>
          </w:tcPr>
          <w:p>
            <w:pPr>
              <w:jc w:val="center"/>
              <w:spacing w:after="0"/>
              <w:rPr>
                <w:sz w:val="20"/>
                <w:szCs w:val="20"/>
                <w:color w:val="auto"/>
              </w:rPr>
            </w:pPr>
            <w:r>
              <w:rPr>
                <w:rFonts w:ascii="Arial" w:cs="Arial" w:eastAsia="Arial" w:hAnsi="Arial"/>
                <w:sz w:val="20"/>
                <w:szCs w:val="20"/>
                <w:color w:val="auto"/>
                <w:w w:val="89"/>
              </w:rPr>
              <w:t>$____________</w:t>
            </w:r>
          </w:p>
        </w:tc>
        <w:tc>
          <w:tcPr>
            <w:tcW w:w="2160" w:type="dxa"/>
            <w:vAlign w:val="bottom"/>
          </w:tcPr>
          <w:p>
            <w:pPr>
              <w:jc w:val="center"/>
              <w:ind w:left="331"/>
              <w:spacing w:after="0"/>
              <w:rPr>
                <w:sz w:val="20"/>
                <w:szCs w:val="20"/>
                <w:color w:val="auto"/>
              </w:rPr>
            </w:pPr>
            <w:r>
              <w:rPr>
                <w:rFonts w:ascii="Arial" w:cs="Arial" w:eastAsia="Arial" w:hAnsi="Arial"/>
                <w:sz w:val="20"/>
                <w:szCs w:val="20"/>
                <w:color w:val="auto"/>
                <w:w w:val="89"/>
              </w:rPr>
              <w:t>_____%</w:t>
            </w:r>
          </w:p>
        </w:tc>
      </w:tr>
    </w:tbl>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0">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G</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DDITIONAL</w:t>
      </w:r>
      <w:r>
        <w:rPr>
          <w:rFonts w:ascii="Arial" w:cs="Arial" w:eastAsia="Arial" w:hAnsi="Arial"/>
          <w:sz w:val="20"/>
          <w:szCs w:val="20"/>
          <w:b w:val="1"/>
          <w:bCs w:val="1"/>
          <w:color w:val="auto"/>
        </w:rPr>
        <w:t xml:space="preserve"> G</w:t>
      </w:r>
      <w:r>
        <w:rPr>
          <w:rFonts w:ascii="Arial" w:cs="Arial" w:eastAsia="Arial" w:hAnsi="Arial"/>
          <w:sz w:val="13"/>
          <w:szCs w:val="13"/>
          <w:b w:val="1"/>
          <w:bCs w:val="1"/>
          <w:color w:val="auto"/>
        </w:rPr>
        <w:t>UARANTOR</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UPPLEMENT</w:t>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______________, ___</w:t>
      </w:r>
    </w:p>
    <w:p>
      <w:pPr>
        <w:spacing w:after="0" w:line="209" w:lineRule="exact"/>
        <w:rPr>
          <w:sz w:val="20"/>
          <w:szCs w:val="20"/>
          <w:color w:val="auto"/>
        </w:rPr>
      </w:pPr>
    </w:p>
    <w:p>
      <w:pPr>
        <w:jc w:val="both"/>
        <w:ind w:left="200" w:right="3779"/>
        <w:spacing w:after="0" w:line="237" w:lineRule="auto"/>
        <w:rPr>
          <w:sz w:val="20"/>
          <w:szCs w:val="20"/>
          <w:color w:val="auto"/>
        </w:rPr>
      </w:pPr>
      <w:r>
        <w:rPr>
          <w:rFonts w:ascii="Arial" w:cs="Arial" w:eastAsia="Arial" w:hAnsi="Arial"/>
          <w:sz w:val="20"/>
          <w:szCs w:val="20"/>
          <w:color w:val="auto"/>
        </w:rPr>
        <w:t xml:space="preserve">KeyBank National Association, as Administrative Agent for the Lenders named in the Credit Agreement dated as of September 30, 2021, among Alpine Income Property OP, LP, as Borrower, the Guarantors signatories thereto, the Lenders from time to time party thereto, and the Administrative Agent (the </w:t>
      </w:r>
      <w:r>
        <w:rPr>
          <w:rFonts w:ascii="Arial" w:cs="Arial" w:eastAsia="Arial" w:hAnsi="Arial"/>
          <w:sz w:val="20"/>
          <w:szCs w:val="20"/>
          <w:i w:val="1"/>
          <w:iCs w:val="1"/>
          <w:color w:val="auto"/>
        </w:rPr>
        <w:t>“Credit Agreement”</w:t>
      </w:r>
      <w:r>
        <w:rPr>
          <w:rFonts w:ascii="Arial" w:cs="Arial" w:eastAsia="Arial" w:hAnsi="Arial"/>
          <w:sz w:val="20"/>
          <w:szCs w:val="20"/>
          <w:color w:val="auto"/>
        </w:rPr>
        <w: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191" w:lineRule="exact"/>
        <w:rPr>
          <w:sz w:val="20"/>
          <w:szCs w:val="20"/>
          <w:color w:val="auto"/>
        </w:rPr>
      </w:pPr>
    </w:p>
    <w:p>
      <w:pPr>
        <w:jc w:val="both"/>
        <w:ind w:left="200" w:right="219" w:firstLine="594"/>
        <w:spacing w:after="0" w:line="279" w:lineRule="auto"/>
        <w:rPr>
          <w:sz w:val="20"/>
          <w:szCs w:val="20"/>
          <w:color w:val="auto"/>
        </w:rPr>
      </w:pPr>
      <w:r>
        <w:rPr>
          <w:rFonts w:ascii="Arial" w:cs="Arial" w:eastAsia="Arial" w:hAnsi="Arial"/>
          <w:sz w:val="19"/>
          <w:szCs w:val="19"/>
          <w:color w:val="auto"/>
        </w:rPr>
        <w:t>Reference is made to the Credit Agreement described above. Terms not defined herein which are defined in the Credit Agreement shall have for the purposes hereof the meaning provided therein.</w:t>
      </w:r>
    </w:p>
    <w:p>
      <w:pPr>
        <w:spacing w:after="0" w:line="130" w:lineRule="exact"/>
        <w:rPr>
          <w:sz w:val="20"/>
          <w:szCs w:val="20"/>
          <w:color w:val="auto"/>
        </w:rPr>
      </w:pPr>
    </w:p>
    <w:p>
      <w:pPr>
        <w:jc w:val="both"/>
        <w:ind w:left="200" w:right="219" w:firstLine="594"/>
        <w:spacing w:after="0" w:line="272"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[name of Subsidiary Guarantor]</w:t>
      </w:r>
      <w:r>
        <w:rPr>
          <w:rFonts w:ascii="Arial" w:cs="Arial" w:eastAsia="Arial" w:hAnsi="Arial"/>
          <w:sz w:val="18"/>
          <w:szCs w:val="18"/>
          <w:color w:val="auto"/>
        </w:rPr>
        <w:t xml:space="preserve">, a </w:t>
      </w:r>
      <w:r>
        <w:rPr>
          <w:rFonts w:ascii="Arial" w:cs="Arial" w:eastAsia="Arial" w:hAnsi="Arial"/>
          <w:sz w:val="18"/>
          <w:szCs w:val="18"/>
          <w:b w:val="1"/>
          <w:bCs w:val="1"/>
          <w:color w:val="auto"/>
        </w:rPr>
        <w:t>[jurisdiction of incorporation 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hereby elects to be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purposes of the Credit Agreement, effective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spacing w:after="0" w:line="145"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spacing w:after="0" w:line="173" w:lineRule="exact"/>
        <w:rPr>
          <w:sz w:val="20"/>
          <w:szCs w:val="20"/>
          <w:color w:val="auto"/>
        </w:rPr>
      </w:pPr>
    </w:p>
    <w:p>
      <w:pPr>
        <w:jc w:val="both"/>
        <w:ind w:left="200" w:right="219" w:firstLine="594"/>
        <w:spacing w:after="0" w:line="238" w:lineRule="auto"/>
        <w:rPr>
          <w:sz w:val="20"/>
          <w:szCs w:val="20"/>
          <w:color w:val="auto"/>
        </w:rPr>
      </w:pPr>
      <w:r>
        <w:rPr>
          <w:rFonts w:ascii="Arial" w:cs="Arial" w:eastAsia="Arial" w:hAnsi="Arial"/>
          <w:sz w:val="20"/>
          <w:szCs w:val="20"/>
          <w:color w:val="auto"/>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spacing w:after="0" w:line="17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Very truly yours,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AME OF</w:t>
      </w:r>
      <w:r>
        <w:rPr>
          <w:rFonts w:ascii="Arial" w:cs="Arial" w:eastAsia="Arial" w:hAnsi="Arial"/>
          <w:sz w:val="20"/>
          <w:szCs w:val="20"/>
          <w:color w:val="auto"/>
        </w:rPr>
        <w:t xml:space="preserve"> S</w:t>
      </w:r>
      <w:r>
        <w:rPr>
          <w:rFonts w:ascii="Arial" w:cs="Arial" w:eastAsia="Arial" w:hAnsi="Arial"/>
          <w:sz w:val="13"/>
          <w:szCs w:val="13"/>
          <w:color w:val="auto"/>
        </w:rPr>
        <w:t>UBSIDIARY</w:t>
      </w:r>
      <w:r>
        <w:rPr>
          <w:rFonts w:ascii="Arial" w:cs="Arial" w:eastAsia="Arial" w:hAnsi="Arial"/>
          <w:sz w:val="20"/>
          <w:szCs w:val="20"/>
          <w:color w:val="auto"/>
        </w:rPr>
        <w:t xml:space="preserve"> G</w:t>
      </w:r>
      <w:r>
        <w:rPr>
          <w:rFonts w:ascii="Arial" w:cs="Arial" w:eastAsia="Arial" w:hAnsi="Arial"/>
          <w:sz w:val="13"/>
          <w:szCs w:val="13"/>
          <w:color w:val="auto"/>
        </w:rPr>
        <w:t>UARANTOR</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-31115</wp:posOffset>
            </wp:positionV>
            <wp:extent cx="192532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1">
                      <a:extLst>
                        <a:ext uri="{28A0092B-C50C-407E-A947-70E740481C1C}"/>
                      </a:extLst>
                    </a:blip>
                    <a:srcRect/>
                    <a:stretch>
                      <a:fillRect/>
                    </a:stretch>
                  </pic:blipFill>
                  <pic:spPr bwMode="auto">
                    <a:xfrm>
                      <a:off x="0" y="0"/>
                      <a:ext cx="1925320"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3068320</wp:posOffset>
            </wp:positionH>
            <wp:positionV relativeFrom="paragraph">
              <wp:posOffset>-31115</wp:posOffset>
            </wp:positionV>
            <wp:extent cx="1776095"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2">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20"/>
          <w:szCs w:val="20"/>
          <w:color w:val="auto"/>
        </w:rPr>
        <w:t>Title________________________________</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H</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OMMITMENT</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MOUNT</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NCREASE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EQUEST</w:t>
      </w:r>
    </w:p>
    <w:p>
      <w:pPr>
        <w:spacing w:after="0" w:line="296"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_______________, ____</w:t>
      </w:r>
    </w:p>
    <w:p>
      <w:pPr>
        <w:spacing w:after="0" w:line="200" w:lineRule="exact"/>
        <w:rPr>
          <w:sz w:val="20"/>
          <w:szCs w:val="20"/>
          <w:color w:val="auto"/>
        </w:rPr>
      </w:pPr>
    </w:p>
    <w:p>
      <w:pPr>
        <w:spacing w:after="0" w:line="325" w:lineRule="exact"/>
        <w:rPr>
          <w:sz w:val="20"/>
          <w:szCs w:val="20"/>
          <w:color w:val="auto"/>
        </w:rPr>
      </w:pPr>
    </w:p>
    <w:p>
      <w:pPr>
        <w:jc w:val="both"/>
        <w:ind w:left="800" w:right="219" w:hanging="599"/>
        <w:spacing w:after="0" w:line="256" w:lineRule="auto"/>
        <w:tabs>
          <w:tab w:leader="none" w:pos="7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 xml:space="preserve">KeyBank National Association, as Administrative Agent for the Lenders parties to the Credit Agreement dated as of September 30, 2021 (as extended, renewed, amended or restated from time to time, the </w:t>
      </w:r>
      <w:r>
        <w:rPr>
          <w:rFonts w:ascii="Arial" w:cs="Arial" w:eastAsia="Arial" w:hAnsi="Arial"/>
          <w:sz w:val="19"/>
          <w:szCs w:val="19"/>
          <w:i w:val="1"/>
          <w:iCs w:val="1"/>
          <w:color w:val="auto"/>
        </w:rPr>
        <w:t>“Credit Agreement”</w:t>
      </w:r>
      <w:r>
        <w:rPr>
          <w:rFonts w:ascii="Arial" w:cs="Arial" w:eastAsia="Arial" w:hAnsi="Arial"/>
          <w:sz w:val="19"/>
          <w:szCs w:val="19"/>
          <w:color w:val="auto"/>
        </w:rPr>
        <w:t>), among Alpine Income Property OP, LP, the Guarantors which are signatories thereto, certain Lenders parties thereto, and the Administrative Agent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191" w:lineRule="exact"/>
        <w:rPr>
          <w:sz w:val="20"/>
          <w:szCs w:val="20"/>
          <w:color w:val="auto"/>
        </w:rPr>
      </w:pPr>
    </w:p>
    <w:p>
      <w:pPr>
        <w:jc w:val="both"/>
        <w:ind w:left="200" w:right="219" w:firstLine="594"/>
        <w:spacing w:after="0" w:line="280" w:lineRule="auto"/>
        <w:rPr>
          <w:sz w:val="20"/>
          <w:szCs w:val="20"/>
          <w:color w:val="auto"/>
        </w:rPr>
      </w:pPr>
      <w:r>
        <w:rPr>
          <w:rFonts w:ascii="Arial" w:cs="Arial" w:eastAsia="Arial" w:hAnsi="Arial"/>
          <w:sz w:val="17"/>
          <w:szCs w:val="17"/>
          <w:color w:val="auto"/>
        </w:rPr>
        <w:t xml:space="preserve">The undersigned, Alpine Income Property OP, LP (the </w:t>
      </w:r>
      <w:r>
        <w:rPr>
          <w:rFonts w:ascii="Arial" w:cs="Arial" w:eastAsia="Arial" w:hAnsi="Arial"/>
          <w:sz w:val="17"/>
          <w:szCs w:val="17"/>
          <w:i w:val="1"/>
          <w:iCs w:val="1"/>
          <w:color w:val="auto"/>
        </w:rPr>
        <w:t>“Borrower”</w:t>
      </w:r>
      <w:r>
        <w:rPr>
          <w:rFonts w:ascii="Arial" w:cs="Arial" w:eastAsia="Arial" w:hAnsi="Arial"/>
          <w:sz w:val="17"/>
          <w:szCs w:val="17"/>
          <w:color w:val="auto"/>
        </w:rPr>
        <w:t xml:space="preserve">) hereby refers to the Credit Agreement and requests that the Administrative Agent consent to an increase in the aggregate Commitments (the </w:t>
      </w:r>
      <w:r>
        <w:rPr>
          <w:rFonts w:ascii="Arial" w:cs="Arial" w:eastAsia="Arial" w:hAnsi="Arial"/>
          <w:sz w:val="17"/>
          <w:szCs w:val="17"/>
          <w:i w:val="1"/>
          <w:iCs w:val="1"/>
          <w:color w:val="auto"/>
        </w:rPr>
        <w:t>“Commitment Increase”</w:t>
      </w:r>
      <w:r>
        <w:rPr>
          <w:rFonts w:ascii="Arial" w:cs="Arial" w:eastAsia="Arial" w:hAnsi="Arial"/>
          <w:sz w:val="17"/>
          <w:szCs w:val="17"/>
          <w:color w:val="auto"/>
        </w:rPr>
        <w:t>), in accordance with Section 1.15 of the Credit Agreement, to be effected by</w:t>
      </w:r>
    </w:p>
    <w:p>
      <w:pPr>
        <w:jc w:val="both"/>
        <w:ind w:left="200" w:right="219"/>
        <w:spacing w:after="0" w:line="274" w:lineRule="auto"/>
        <w:rPr>
          <w:sz w:val="20"/>
          <w:szCs w:val="20"/>
          <w:color w:val="auto"/>
        </w:rPr>
      </w:pPr>
      <w:r>
        <w:rPr>
          <w:rFonts w:ascii="Arial" w:cs="Arial" w:eastAsia="Arial" w:hAnsi="Arial"/>
          <w:sz w:val="18"/>
          <w:szCs w:val="18"/>
          <w:b w:val="1"/>
          <w:bCs w:val="1"/>
          <w:color w:val="auto"/>
        </w:rPr>
        <w:t xml:space="preserve">[an increase in the Commitment of [name of existing Lender]] [the addition of [name of new Lender] (the </w:t>
      </w:r>
      <w:r>
        <w:rPr>
          <w:rFonts w:ascii="Arial" w:cs="Arial" w:eastAsia="Arial" w:hAnsi="Arial"/>
          <w:sz w:val="18"/>
          <w:szCs w:val="18"/>
          <w:b w:val="1"/>
          <w:bCs w:val="1"/>
          <w:i w:val="1"/>
          <w:iCs w:val="1"/>
          <w:color w:val="auto"/>
        </w:rPr>
        <w:t>“New Lender”</w:t>
      </w:r>
      <w:r>
        <w:rPr>
          <w:rFonts w:ascii="Arial" w:cs="Arial" w:eastAsia="Arial" w:hAnsi="Arial"/>
          <w:sz w:val="18"/>
          <w:szCs w:val="18"/>
          <w:b w:val="1"/>
          <w:bCs w:val="1"/>
          <w:color w:val="auto"/>
        </w:rPr>
        <w:t>) as a Lender under the terms of the Credit Agreement]</w:t>
      </w:r>
      <w:r>
        <w:rPr>
          <w:rFonts w:ascii="Arial" w:cs="Arial" w:eastAsia="Arial" w:hAnsi="Arial"/>
          <w:sz w:val="18"/>
          <w:szCs w:val="18"/>
          <w:color w:val="auto"/>
        </w:rPr>
        <w:t>. Capitalized terms used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without definition shall have the same meanings herein as such terms have in the Credit Agreement.</w:t>
      </w:r>
    </w:p>
    <w:p>
      <w:pPr>
        <w:spacing w:after="0" w:line="135" w:lineRule="exact"/>
        <w:rPr>
          <w:sz w:val="20"/>
          <w:szCs w:val="20"/>
          <w:color w:val="auto"/>
        </w:rPr>
      </w:pPr>
    </w:p>
    <w:p>
      <w:pPr>
        <w:jc w:val="both"/>
        <w:ind w:left="200" w:right="219" w:firstLine="594"/>
        <w:spacing w:after="0" w:line="260" w:lineRule="auto"/>
        <w:rPr>
          <w:sz w:val="20"/>
          <w:szCs w:val="20"/>
          <w:color w:val="auto"/>
        </w:rPr>
      </w:pPr>
      <w:r>
        <w:rPr>
          <w:rFonts w:ascii="Arial" w:cs="Arial" w:eastAsia="Arial" w:hAnsi="Arial"/>
          <w:sz w:val="20"/>
          <w:szCs w:val="20"/>
          <w:color w:val="auto"/>
        </w:rPr>
        <w:t xml:space="preserve">After giving effect to such Commitment Increase, the Commitment of the </w:t>
      </w:r>
      <w:r>
        <w:rPr>
          <w:rFonts w:ascii="Arial" w:cs="Arial" w:eastAsia="Arial" w:hAnsi="Arial"/>
          <w:sz w:val="20"/>
          <w:szCs w:val="20"/>
          <w:b w:val="1"/>
          <w:bCs w:val="1"/>
          <w:color w:val="auto"/>
        </w:rPr>
        <w:t>[Lender] [New Lender]</w:t>
      </w:r>
      <w:r>
        <w:rPr>
          <w:rFonts w:ascii="Arial" w:cs="Arial" w:eastAsia="Arial" w:hAnsi="Arial"/>
          <w:sz w:val="20"/>
          <w:szCs w:val="20"/>
          <w:color w:val="auto"/>
        </w:rPr>
        <w:t xml:space="preserve"> shall be $_____________.</w:t>
      </w:r>
    </w:p>
    <w:p>
      <w:pPr>
        <w:spacing w:after="0" w:line="145"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[Include paragraphs 1-4 for a New Lender]</w:t>
      </w:r>
    </w:p>
    <w:p>
      <w:pPr>
        <w:spacing w:after="0" w:line="197" w:lineRule="exact"/>
        <w:rPr>
          <w:sz w:val="20"/>
          <w:szCs w:val="20"/>
          <w:color w:val="auto"/>
        </w:rPr>
      </w:pPr>
    </w:p>
    <w:p>
      <w:pPr>
        <w:jc w:val="both"/>
        <w:ind w:left="200" w:right="219" w:firstLine="626"/>
        <w:spacing w:after="0" w:line="263" w:lineRule="auto"/>
        <w:tabs>
          <w:tab w:leader="none" w:pos="122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spacing w:after="0" w:line="157" w:lineRule="exact"/>
        <w:rPr>
          <w:rFonts w:ascii="Arial" w:cs="Arial" w:eastAsia="Arial" w:hAnsi="Arial"/>
          <w:sz w:val="18"/>
          <w:szCs w:val="18"/>
          <w:color w:val="auto"/>
        </w:rPr>
      </w:pPr>
    </w:p>
    <w:p>
      <w:pPr>
        <w:jc w:val="both"/>
        <w:ind w:left="200" w:right="219" w:firstLine="626"/>
        <w:spacing w:after="0" w:line="253" w:lineRule="auto"/>
        <w:tabs>
          <w:tab w:leader="none" w:pos="122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Arial" w:cs="Arial" w:eastAsia="Arial" w:hAnsi="Arial"/>
          <w:sz w:val="19"/>
          <w:szCs w:val="19"/>
          <w:i w:val="1"/>
          <w:iCs w:val="1"/>
          <w:color w:val="auto"/>
        </w:rPr>
        <w:t>“Lender”</w:t>
      </w:r>
      <w:r>
        <w:rPr>
          <w:rFonts w:ascii="Arial" w:cs="Arial" w:eastAsia="Arial" w:hAnsi="Arial"/>
          <w:sz w:val="19"/>
          <w:szCs w:val="19"/>
          <w:color w:val="auto"/>
        </w:rPr>
        <w:t xml:space="preserve"> under the Credit Agreement as if it were an original signatory thereto and (ii) agrees to be bound by the terms and conditions set forth in the Credit Agreement as if it were an original signatory thereto.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1587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4">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77" w:name="page178"/>
    <w:bookmarkEnd w:id="177"/>
    <w:p>
      <w:pPr>
        <w:ind w:left="200" w:right="219" w:firstLine="626"/>
        <w:spacing w:after="0" w:line="253" w:lineRule="auto"/>
        <w:tabs>
          <w:tab w:leader="none" w:pos="122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New Lender shall deliver to the Administrative Agent an Administrative Questionnaire and shall have executed an Incremental Term Loan Amendment.</w:t>
      </w:r>
    </w:p>
    <w:p>
      <w:pPr>
        <w:spacing w:after="0" w:line="153" w:lineRule="exact"/>
        <w:rPr>
          <w:sz w:val="20"/>
          <w:szCs w:val="20"/>
          <w:color w:val="auto"/>
        </w:rPr>
      </w:pPr>
    </w:p>
    <w:p>
      <w:pPr>
        <w:jc w:val="both"/>
        <w:ind w:left="200" w:right="219" w:firstLine="558"/>
        <w:spacing w:after="0" w:line="273" w:lineRule="auto"/>
        <w:rPr>
          <w:sz w:val="20"/>
          <w:szCs w:val="20"/>
          <w:color w:val="auto"/>
        </w:rPr>
      </w:pPr>
      <w:r>
        <w:rPr>
          <w:rFonts w:ascii="Arial" w:cs="Arial" w:eastAsia="Arial" w:hAnsi="Arial"/>
          <w:sz w:val="18"/>
          <w:szCs w:val="18"/>
          <w:b w:val="1"/>
          <w:bCs w:val="1"/>
          <w:color w:val="auto"/>
        </w:rPr>
        <w:t>[4. The New Lender has delivered, if appropriate, to the Borrower and the Administrative Agent (or is delivering to the Borrower and the Administrative Agent concurrently herewith) the tax</w:t>
      </w:r>
    </w:p>
    <w:p>
      <w:pPr>
        <w:spacing w:after="0" w:line="1" w:lineRule="exact"/>
        <w:rPr>
          <w:sz w:val="20"/>
          <w:szCs w:val="20"/>
          <w:color w:val="auto"/>
        </w:rPr>
      </w:pPr>
    </w:p>
    <w:p>
      <w:pPr>
        <w:ind w:left="2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forms referred to in [Section 12.1] of the Credit Agreement.]</w:t>
      </w:r>
      <w:hyperlink w:anchor="page178">
        <w:r>
          <w:rPr>
            <w:rFonts w:ascii="Arial" w:cs="Arial" w:eastAsia="Arial" w:hAnsi="Arial"/>
            <w:sz w:val="32"/>
            <w:szCs w:val="32"/>
            <w:u w:val="single" w:color="auto"/>
            <w:color w:val="0000EE"/>
            <w:vertAlign w:val="superscript"/>
          </w:rPr>
          <w:t>*</w:t>
        </w:r>
      </w:hyperlink>
    </w:p>
    <w:p>
      <w:pPr>
        <w:spacing w:after="0" w:line="69" w:lineRule="exact"/>
        <w:rPr>
          <w:sz w:val="20"/>
          <w:szCs w:val="20"/>
          <w:color w:val="auto"/>
        </w:rPr>
      </w:pPr>
    </w:p>
    <w:p>
      <w:pPr>
        <w:jc w:val="both"/>
        <w:ind w:left="200" w:right="219" w:firstLine="594"/>
        <w:spacing w:after="0" w:line="267"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A</w:t>
      </w:r>
      <w:r>
        <w:rPr>
          <w:rFonts w:ascii="Arial" w:cs="Arial" w:eastAsia="Arial" w:hAnsi="Arial"/>
          <w:sz w:val="13"/>
          <w:szCs w:val="13"/>
          <w:color w:val="auto"/>
        </w:rPr>
        <w:t>GREEMENT SHALL BE DEEMED TO BE A CONTRACTUAL OBLIGATION UNDER</w:t>
      </w:r>
      <w:r>
        <w:rPr>
          <w:rFonts w:ascii="Arial" w:cs="Arial" w:eastAsia="Arial" w:hAnsi="Arial"/>
          <w:sz w:val="20"/>
          <w:szCs w:val="20"/>
          <w:color w:val="auto"/>
        </w:rPr>
        <w:t xml:space="preserve">, </w:t>
      </w:r>
      <w:r>
        <w:rPr>
          <w:rFonts w:ascii="Arial" w:cs="Arial" w:eastAsia="Arial" w:hAnsi="Arial"/>
          <w:sz w:val="13"/>
          <w:szCs w:val="13"/>
          <w:color w:val="auto"/>
        </w:rPr>
        <w:t>AND SHALL BE GOVERNED BY</w:t>
      </w:r>
      <w:r>
        <w:rPr>
          <w:rFonts w:ascii="Arial" w:cs="Arial" w:eastAsia="Arial" w:hAnsi="Arial"/>
          <w:sz w:val="20"/>
          <w:szCs w:val="20"/>
          <w:color w:val="auto"/>
        </w:rPr>
        <w:t xml:space="preserve"> </w:t>
      </w:r>
      <w:r>
        <w:rPr>
          <w:rFonts w:ascii="Arial" w:cs="Arial" w:eastAsia="Arial" w:hAnsi="Arial"/>
          <w:sz w:val="13"/>
          <w:szCs w:val="13"/>
          <w:color w:val="auto"/>
        </w:rPr>
        <w:t>AND CONSTRUED IN ACCORDANCE WITH</w:t>
      </w:r>
      <w:r>
        <w:rPr>
          <w:rFonts w:ascii="Arial" w:cs="Arial" w:eastAsia="Arial" w:hAnsi="Arial"/>
          <w:sz w:val="19"/>
          <w:szCs w:val="19"/>
          <w:color w:val="auto"/>
        </w:rPr>
        <w:t>,</w:t>
      </w:r>
      <w:r>
        <w:rPr>
          <w:rFonts w:ascii="Arial" w:cs="Arial" w:eastAsia="Arial" w:hAnsi="Arial"/>
          <w:sz w:val="13"/>
          <w:szCs w:val="13"/>
          <w:color w:val="auto"/>
        </w:rPr>
        <w:t xml:space="preserve"> THE INTERNAL LAWS OF THE STATE OF </w:t>
      </w:r>
      <w:r>
        <w:rPr>
          <w:rFonts w:ascii="Arial" w:cs="Arial" w:eastAsia="Arial" w:hAnsi="Arial"/>
          <w:sz w:val="19"/>
          <w:szCs w:val="19"/>
          <w:color w:val="auto"/>
        </w:rPr>
        <w:t>N</w:t>
      </w:r>
      <w:r>
        <w:rPr>
          <w:rFonts w:ascii="Arial" w:cs="Arial" w:eastAsia="Arial" w:hAnsi="Arial"/>
          <w:sz w:val="13"/>
          <w:szCs w:val="13"/>
          <w:color w:val="auto"/>
        </w:rPr>
        <w:t xml:space="preserve">EW </w:t>
      </w:r>
      <w:r>
        <w:rPr>
          <w:rFonts w:ascii="Arial" w:cs="Arial" w:eastAsia="Arial" w:hAnsi="Arial"/>
          <w:sz w:val="19"/>
          <w:szCs w:val="19"/>
          <w:color w:val="auto"/>
        </w:rPr>
        <w:t>Y</w:t>
      </w:r>
      <w:r>
        <w:rPr>
          <w:rFonts w:ascii="Arial" w:cs="Arial" w:eastAsia="Arial" w:hAnsi="Arial"/>
          <w:sz w:val="13"/>
          <w:szCs w:val="13"/>
          <w:color w:val="auto"/>
        </w:rPr>
        <w:t>ORK</w:t>
      </w:r>
      <w:r>
        <w:rPr>
          <w:rFonts w:ascii="Arial" w:cs="Arial" w:eastAsia="Arial" w:hAnsi="Arial"/>
          <w:sz w:val="19"/>
          <w:szCs w:val="19"/>
          <w:color w:val="auto"/>
        </w:rPr>
        <w:t>.</w:t>
      </w:r>
    </w:p>
    <w:p>
      <w:pPr>
        <w:spacing w:after="0" w:line="145" w:lineRule="exact"/>
        <w:rPr>
          <w:sz w:val="20"/>
          <w:szCs w:val="20"/>
          <w:color w:val="auto"/>
        </w:rPr>
      </w:pPr>
    </w:p>
    <w:p>
      <w:pPr>
        <w:jc w:val="both"/>
        <w:ind w:left="200" w:right="219" w:firstLine="594"/>
        <w:spacing w:after="0" w:line="264" w:lineRule="auto"/>
        <w:rPr>
          <w:sz w:val="20"/>
          <w:szCs w:val="20"/>
          <w:color w:val="auto"/>
        </w:rPr>
      </w:pPr>
      <w:r>
        <w:rPr>
          <w:rFonts w:ascii="Arial" w:cs="Arial" w:eastAsia="Arial" w:hAnsi="Arial"/>
          <w:sz w:val="18"/>
          <w:szCs w:val="18"/>
          <w:color w:val="auto"/>
        </w:rPr>
        <w:t>The Commitment Increase shall be effective when the executed (x) Incremental Term Loan Amendment, (y) consent of the Administrative Agent is received or otherwise in accordance with Section 1.15 of the Credit Agreement, but not in any case prior to ___________________, ____. It shall be</w:t>
      </w:r>
    </w:p>
    <w:p>
      <w:pPr>
        <w:spacing w:after="0" w:line="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0"/>
          <w:szCs w:val="20"/>
          <w:color w:val="auto"/>
        </w:rPr>
        <w:t>a condition to the effectiveness of the Commitment Increase that all expenses referred to in Section 1.15 of the Credit Agreement shall have been paid.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Borrower hereby certifies that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179070</wp:posOffset>
            </wp:positionV>
            <wp:extent cx="1367155"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5">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spacing w:after="0" w:line="349" w:lineRule="exact"/>
        <w:rPr>
          <w:sz w:val="20"/>
          <w:szCs w:val="20"/>
          <w:color w:val="auto"/>
        </w:rPr>
      </w:pPr>
    </w:p>
    <w:p>
      <w:pPr>
        <w:ind w:left="360" w:right="219" w:hanging="158"/>
        <w:spacing w:after="0" w:line="290" w:lineRule="auto"/>
        <w:tabs>
          <w:tab w:leader="none" w:pos="33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Insert bracketed paragraph if New Lender is organized under the law of a jurisdiction other than the United States of America or a state thereof.</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1587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6">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78" w:name="page179"/>
    <w:bookmarkEnd w:id="178"/>
    <w:p>
      <w:pPr>
        <w:ind w:left="200" w:right="219" w:firstLine="594"/>
        <w:spacing w:after="0" w:line="253" w:lineRule="auto"/>
        <w:rPr>
          <w:sz w:val="20"/>
          <w:szCs w:val="20"/>
          <w:color w:val="auto"/>
        </w:rPr>
      </w:pPr>
      <w:r>
        <w:rPr>
          <w:rFonts w:ascii="Arial" w:cs="Arial" w:eastAsia="Arial" w:hAnsi="Arial"/>
          <w:sz w:val="20"/>
          <w:szCs w:val="20"/>
          <w:color w:val="auto"/>
        </w:rPr>
        <w:t>Please indicate the Administrative Agent’s consent to such Commitment Increase by signing the enclosed copy of this letter in the space provided below.</w:t>
      </w:r>
    </w:p>
    <w:p>
      <w:pPr>
        <w:spacing w:after="0" w:line="39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Very truly yours,</w:t>
      </w:r>
    </w:p>
    <w:p>
      <w:pPr>
        <w:spacing w:after="0" w:line="22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00" w:lineRule="exact"/>
        <w:rPr>
          <w:sz w:val="20"/>
          <w:szCs w:val="20"/>
          <w:color w:val="auto"/>
        </w:rPr>
      </w:pPr>
    </w:p>
    <w:p>
      <w:pPr>
        <w:spacing w:after="0" w:line="300"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7">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8">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9">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EW OR EXISTING</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ENDER</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NCREASING</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OMMITMENTS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0">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-31115</wp:posOffset>
            </wp:positionV>
            <wp:extent cx="1933575"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1">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-31115</wp:posOffset>
            </wp:positionV>
            <wp:extent cx="199644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2">
                      <a:extLst>
                        <a:ext uri="{28A0092B-C50C-407E-A947-70E740481C1C}"/>
                      </a:extLst>
                    </a:blip>
                    <a:srcRect/>
                    <a:stretch>
                      <a:fillRect/>
                    </a:stretch>
                  </pic:blipFill>
                  <pic:spPr bwMode="auto">
                    <a:xfrm>
                      <a:off x="0" y="0"/>
                      <a:ext cx="1996440" cy="7620"/>
                    </a:xfrm>
                    <a:prstGeom prst="rect">
                      <a:avLst/>
                    </a:prstGeom>
                    <a:noFill/>
                  </pic:spPr>
                </pic:pic>
              </a:graphicData>
            </a:graphic>
          </wp:anchor>
        </w:drawing>
      </w:r>
    </w:p>
    <w:p>
      <w:pPr>
        <w:spacing w:after="0" w:line="39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undersigned hereby consents on this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__ day of _____________, _____ to the above-</w:t>
      </w:r>
    </w:p>
    <w:p>
      <w:pPr>
        <w:ind w:left="200"/>
        <w:spacing w:after="0"/>
        <w:rPr>
          <w:sz w:val="20"/>
          <w:szCs w:val="20"/>
          <w:color w:val="auto"/>
        </w:rPr>
      </w:pPr>
      <w:r>
        <w:rPr>
          <w:rFonts w:ascii="Arial" w:cs="Arial" w:eastAsia="Arial" w:hAnsi="Arial"/>
          <w:sz w:val="20"/>
          <w:szCs w:val="20"/>
          <w:color w:val="auto"/>
        </w:rPr>
        <w:t>requested Commitment Amount Increase.</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K</w:t>
      </w:r>
      <w:r>
        <w:rPr>
          <w:rFonts w:ascii="Arial" w:cs="Arial" w:eastAsia="Arial" w:hAnsi="Arial"/>
          <w:sz w:val="13"/>
          <w:szCs w:val="13"/>
          <w:color w:val="auto"/>
        </w:rPr>
        <w:t>EY</w:t>
      </w:r>
      <w:r>
        <w:rPr>
          <w:rFonts w:ascii="Arial" w:cs="Arial" w:eastAsia="Arial" w:hAnsi="Arial"/>
          <w:sz w:val="20"/>
          <w:szCs w:val="20"/>
          <w:color w:val="auto"/>
        </w:rPr>
        <w:t>B</w:t>
      </w:r>
      <w:r>
        <w:rPr>
          <w:rFonts w:ascii="Arial" w:cs="Arial" w:eastAsia="Arial" w:hAnsi="Arial"/>
          <w:sz w:val="13"/>
          <w:szCs w:val="13"/>
          <w:color w:val="auto"/>
        </w:rPr>
        <w:t>ANK</w:t>
      </w:r>
      <w:r>
        <w:rPr>
          <w:rFonts w:ascii="Arial" w:cs="Arial" w:eastAsia="Arial" w:hAnsi="Arial"/>
          <w:sz w:val="20"/>
          <w:szCs w:val="20"/>
          <w:color w:val="auto"/>
        </w:rPr>
        <w:t xml:space="preserve"> N</w:t>
      </w:r>
      <w:r>
        <w:rPr>
          <w:rFonts w:ascii="Arial" w:cs="Arial" w:eastAsia="Arial" w:hAnsi="Arial"/>
          <w:sz w:val="13"/>
          <w:szCs w:val="13"/>
          <w:color w:val="auto"/>
        </w:rPr>
        <w:t>ATIONAL</w:t>
      </w:r>
      <w:r>
        <w:rPr>
          <w:rFonts w:ascii="Arial" w:cs="Arial" w:eastAsia="Arial" w:hAnsi="Arial"/>
          <w:sz w:val="20"/>
          <w:szCs w:val="20"/>
          <w:color w:val="auto"/>
        </w:rPr>
        <w:t xml:space="preserve"> A</w:t>
      </w:r>
      <w:r>
        <w:rPr>
          <w:rFonts w:ascii="Arial" w:cs="Arial" w:eastAsia="Arial" w:hAnsi="Arial"/>
          <w:sz w:val="13"/>
          <w:szCs w:val="13"/>
          <w:color w:val="auto"/>
        </w:rPr>
        <w:t>SSOCIATION</w:t>
      </w:r>
      <w:r>
        <w:rPr>
          <w:rFonts w:ascii="Arial" w:cs="Arial" w:eastAsia="Arial" w:hAnsi="Arial"/>
          <w:sz w:val="20"/>
          <w:szCs w:val="20"/>
          <w:color w:val="auto"/>
        </w:rPr>
        <w:t>,</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-31115</wp:posOffset>
            </wp:positionV>
            <wp:extent cx="2113915"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3">
                      <a:extLst>
                        <a:ext uri="{28A0092B-C50C-407E-A947-70E740481C1C}"/>
                      </a:extLst>
                    </a:blip>
                    <a:srcRect/>
                    <a:stretch>
                      <a:fillRect/>
                    </a:stretch>
                  </pic:blipFill>
                  <pic:spPr bwMode="auto">
                    <a:xfrm>
                      <a:off x="0" y="0"/>
                      <a:ext cx="211391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-31115</wp:posOffset>
            </wp:positionV>
            <wp:extent cx="1776095"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4">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-31115</wp:posOffset>
            </wp:positionV>
            <wp:extent cx="1831340" cy="76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5">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331470</wp:posOffset>
            </wp:positionV>
            <wp:extent cx="5461635" cy="2349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ectPr>
          <w:pgSz w:w="11900" w:h="16838" w:orient="portrait"/>
          <w:cols w:equalWidth="0" w:num="1">
            <w:col w:w="9019"/>
          </w:cols>
          <w:pgMar w:left="1440" w:top="832"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219"/>
        <w:spacing w:after="0" w:line="253" w:lineRule="auto"/>
        <w:rPr>
          <w:sz w:val="20"/>
          <w:szCs w:val="20"/>
          <w:color w:val="auto"/>
        </w:rPr>
      </w:pPr>
      <w:r>
        <w:rPr>
          <w:rFonts w:ascii="Arial" w:cs="Arial" w:eastAsia="Arial" w:hAnsi="Arial"/>
          <w:sz w:val="20"/>
          <w:szCs w:val="20"/>
          <w:color w:val="auto"/>
        </w:rPr>
        <w:t>KeyBank National Association, as Administrative Agent under, and the Lenders party to, the Credit Agreement described below.</w:t>
      </w:r>
    </w:p>
    <w:p>
      <w:pPr>
        <w:spacing w:after="0" w:line="200" w:lineRule="exact"/>
        <w:rPr>
          <w:sz w:val="20"/>
          <w:szCs w:val="20"/>
          <w:color w:val="auto"/>
        </w:rPr>
      </w:pPr>
    </w:p>
    <w:p>
      <w:pPr>
        <w:sectPr>
          <w:pgSz w:w="11900" w:h="16838" w:orient="portrait"/>
          <w:cols w:equalWidth="0" w:num="2">
            <w:col w:w="460" w:space="340"/>
            <w:col w:w="8219"/>
          </w:cols>
          <w:pgMar w:left="1440" w:top="832"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both"/>
        <w:ind w:left="200" w:right="219" w:firstLine="594"/>
        <w:spacing w:after="0" w:line="239" w:lineRule="auto"/>
        <w:rPr>
          <w:sz w:val="20"/>
          <w:szCs w:val="20"/>
          <w:color w:val="auto"/>
        </w:rPr>
      </w:pPr>
      <w:r>
        <w:rPr>
          <w:rFonts w:ascii="Arial" w:cs="Arial" w:eastAsia="Arial" w:hAnsi="Arial"/>
          <w:sz w:val="20"/>
          <w:szCs w:val="20"/>
          <w:color w:val="auto"/>
        </w:rPr>
        <w:t xml:space="preserve">Pursuant to the terms of the Credit Agreement dated as of September 30, 2021, as amended, among us (the </w:t>
      </w:r>
      <w:r>
        <w:rPr>
          <w:rFonts w:ascii="Arial" w:cs="Arial" w:eastAsia="Arial" w:hAnsi="Arial"/>
          <w:sz w:val="20"/>
          <w:szCs w:val="20"/>
          <w:i w:val="1"/>
          <w:iCs w:val="1"/>
          <w:color w:val="auto"/>
        </w:rPr>
        <w:t>“Credit Agreement”</w:t>
      </w:r>
      <w:r>
        <w:rPr>
          <w:rFonts w:ascii="Arial" w:cs="Arial" w:eastAsia="Arial" w:hAnsi="Arial"/>
          <w:sz w:val="20"/>
          <w:szCs w:val="20"/>
          <w:color w:val="auto"/>
        </w:rPr>
        <w:t>), we submit this Borrowing Base Certificate to you and certify that the calculation of the Borrowing Base set forth below and on any Exhibits to this Certificate is true, correct and complete as of the Borrowing Base Determination Date.</w:t>
      </w:r>
    </w:p>
    <w:p>
      <w:pPr>
        <w:spacing w:after="0" w:line="173" w:lineRule="exact"/>
        <w:rPr>
          <w:sz w:val="20"/>
          <w:szCs w:val="20"/>
          <w:color w:val="auto"/>
        </w:rPr>
      </w:pPr>
    </w:p>
    <w:p>
      <w:pPr>
        <w:ind w:left="1220" w:hanging="439"/>
        <w:spacing w:after="0"/>
        <w:tabs>
          <w:tab w:leader="none" w:pos="122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Borrowing Base Determination Date: __________________ ____, 20___.</w:t>
      </w:r>
    </w:p>
    <w:p>
      <w:pPr>
        <w:spacing w:after="0" w:line="190" w:lineRule="exact"/>
        <w:rPr>
          <w:rFonts w:ascii="Arial" w:cs="Arial" w:eastAsia="Arial" w:hAnsi="Arial"/>
          <w:sz w:val="20"/>
          <w:szCs w:val="20"/>
          <w:color w:val="auto"/>
        </w:rPr>
      </w:pPr>
    </w:p>
    <w:p>
      <w:pPr>
        <w:ind w:left="200" w:right="219" w:firstLine="592"/>
        <w:spacing w:after="0" w:line="253" w:lineRule="auto"/>
        <w:tabs>
          <w:tab w:leader="none" w:pos="122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Adjusted Borrowing Base and the Borrowing Base as of the Borrowing Base Determination Date is calculated as:</w:t>
      </w:r>
    </w:p>
    <w:p>
      <w:pPr>
        <w:spacing w:after="0" w:line="350"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320" w:type="dxa"/>
            <w:vAlign w:val="bottom"/>
          </w:tcPr>
          <w:p>
            <w:pPr>
              <w:jc w:val="right"/>
              <w:ind w:right="81"/>
              <w:spacing w:after="0"/>
              <w:rPr>
                <w:sz w:val="20"/>
                <w:szCs w:val="20"/>
                <w:color w:val="auto"/>
              </w:rPr>
            </w:pPr>
            <w:r>
              <w:rPr>
                <w:rFonts w:ascii="Arial" w:cs="Arial" w:eastAsia="Arial" w:hAnsi="Arial"/>
                <w:sz w:val="20"/>
                <w:szCs w:val="20"/>
                <w:color w:val="auto"/>
                <w:w w:val="71"/>
              </w:rPr>
              <w:t>1.</w:t>
            </w:r>
          </w:p>
        </w:tc>
        <w:tc>
          <w:tcPr>
            <w:tcW w:w="4300" w:type="dxa"/>
            <w:vAlign w:val="bottom"/>
          </w:tcPr>
          <w:p>
            <w:pPr>
              <w:ind w:left="180"/>
              <w:spacing w:after="0"/>
              <w:rPr>
                <w:sz w:val="20"/>
                <w:szCs w:val="20"/>
                <w:color w:val="auto"/>
              </w:rPr>
            </w:pPr>
            <w:r>
              <w:rPr>
                <w:rFonts w:ascii="Arial" w:cs="Arial" w:eastAsia="Arial" w:hAnsi="Arial"/>
                <w:sz w:val="20"/>
                <w:szCs w:val="20"/>
                <w:color w:val="auto"/>
                <w:w w:val="91"/>
              </w:rPr>
              <w:t>60% of the Borrowing Base Value as calculated on</w:t>
            </w:r>
          </w:p>
        </w:tc>
        <w:tc>
          <w:tcPr>
            <w:tcW w:w="1880" w:type="dxa"/>
            <w:vAlign w:val="bottom"/>
          </w:tcPr>
          <w:p>
            <w:pPr>
              <w:jc w:val="right"/>
              <w:spacing w:after="0"/>
              <w:rPr>
                <w:sz w:val="20"/>
                <w:szCs w:val="20"/>
                <w:color w:val="auto"/>
              </w:rPr>
            </w:pPr>
            <w:r>
              <w:rPr>
                <w:rFonts w:ascii="Arial" w:cs="Arial" w:eastAsia="Arial" w:hAnsi="Arial"/>
                <w:sz w:val="20"/>
                <w:szCs w:val="20"/>
                <w:color w:val="auto"/>
                <w:w w:val="91"/>
              </w:rPr>
              <w:t>$_________________</w:t>
            </w:r>
          </w:p>
        </w:tc>
      </w:tr>
      <w:tr>
        <w:trPr>
          <w:trHeight w:val="250"/>
        </w:trPr>
        <w:tc>
          <w:tcPr>
            <w:tcW w:w="320" w:type="dxa"/>
            <w:vAlign w:val="bottom"/>
          </w:tcPr>
          <w:p>
            <w:pPr>
              <w:spacing w:after="0"/>
              <w:rPr>
                <w:sz w:val="21"/>
                <w:szCs w:val="21"/>
                <w:color w:val="auto"/>
              </w:rPr>
            </w:pPr>
          </w:p>
        </w:tc>
        <w:tc>
          <w:tcPr>
            <w:tcW w:w="4300" w:type="dxa"/>
            <w:vAlign w:val="bottom"/>
          </w:tcPr>
          <w:p>
            <w:pPr>
              <w:ind w:left="200"/>
              <w:spacing w:after="0"/>
              <w:rPr>
                <w:sz w:val="20"/>
                <w:szCs w:val="20"/>
                <w:color w:val="auto"/>
              </w:rPr>
            </w:pPr>
            <w:r>
              <w:rPr>
                <w:rFonts w:ascii="Arial" w:cs="Arial" w:eastAsia="Arial" w:hAnsi="Arial"/>
                <w:sz w:val="20"/>
                <w:szCs w:val="20"/>
                <w:color w:val="auto"/>
              </w:rPr>
              <w:t>Exhibit A hereto</w:t>
            </w:r>
          </w:p>
        </w:tc>
        <w:tc>
          <w:tcPr>
            <w:tcW w:w="1880" w:type="dxa"/>
            <w:vAlign w:val="bottom"/>
          </w:tcPr>
          <w:p>
            <w:pPr>
              <w:spacing w:after="0"/>
              <w:rPr>
                <w:sz w:val="21"/>
                <w:szCs w:val="21"/>
                <w:color w:val="auto"/>
              </w:rPr>
            </w:pPr>
          </w:p>
        </w:tc>
      </w:tr>
      <w:tr>
        <w:trPr>
          <w:trHeight w:val="306"/>
        </w:trPr>
        <w:tc>
          <w:tcPr>
            <w:tcW w:w="320" w:type="dxa"/>
            <w:vAlign w:val="bottom"/>
          </w:tcPr>
          <w:p>
            <w:pPr>
              <w:jc w:val="right"/>
              <w:ind w:right="81"/>
              <w:spacing w:after="0"/>
              <w:rPr>
                <w:sz w:val="20"/>
                <w:szCs w:val="20"/>
                <w:color w:val="auto"/>
              </w:rPr>
            </w:pPr>
            <w:r>
              <w:rPr>
                <w:rFonts w:ascii="Arial" w:cs="Arial" w:eastAsia="Arial" w:hAnsi="Arial"/>
                <w:sz w:val="20"/>
                <w:szCs w:val="20"/>
                <w:color w:val="auto"/>
                <w:w w:val="71"/>
              </w:rPr>
              <w:t>2.</w:t>
            </w:r>
          </w:p>
        </w:tc>
        <w:tc>
          <w:tcPr>
            <w:tcW w:w="4300" w:type="dxa"/>
            <w:vAlign w:val="bottom"/>
          </w:tcPr>
          <w:p>
            <w:pPr>
              <w:ind w:left="180"/>
              <w:spacing w:after="0"/>
              <w:rPr>
                <w:sz w:val="20"/>
                <w:szCs w:val="20"/>
                <w:color w:val="auto"/>
              </w:rPr>
            </w:pPr>
            <w:r>
              <w:rPr>
                <w:rFonts w:ascii="Arial" w:cs="Arial" w:eastAsia="Arial" w:hAnsi="Arial"/>
                <w:sz w:val="20"/>
                <w:szCs w:val="20"/>
                <w:color w:val="auto"/>
                <w:w w:val="95"/>
              </w:rPr>
              <w:t>Debt Service Coverage Amount as calculated on</w:t>
            </w:r>
          </w:p>
        </w:tc>
        <w:tc>
          <w:tcPr>
            <w:tcW w:w="1880" w:type="dxa"/>
            <w:vAlign w:val="bottom"/>
          </w:tcPr>
          <w:p>
            <w:pPr>
              <w:jc w:val="right"/>
              <w:spacing w:after="0"/>
              <w:rPr>
                <w:sz w:val="20"/>
                <w:szCs w:val="20"/>
                <w:color w:val="auto"/>
              </w:rPr>
            </w:pPr>
            <w:r>
              <w:rPr>
                <w:rFonts w:ascii="Arial" w:cs="Arial" w:eastAsia="Arial" w:hAnsi="Arial"/>
                <w:sz w:val="20"/>
                <w:szCs w:val="20"/>
                <w:color w:val="auto"/>
                <w:w w:val="91"/>
              </w:rPr>
              <w:t>$_________________</w:t>
            </w:r>
          </w:p>
        </w:tc>
      </w:tr>
      <w:tr>
        <w:trPr>
          <w:trHeight w:val="250"/>
        </w:trPr>
        <w:tc>
          <w:tcPr>
            <w:tcW w:w="320" w:type="dxa"/>
            <w:vAlign w:val="bottom"/>
          </w:tcPr>
          <w:p>
            <w:pPr>
              <w:spacing w:after="0"/>
              <w:rPr>
                <w:sz w:val="21"/>
                <w:szCs w:val="21"/>
                <w:color w:val="auto"/>
              </w:rPr>
            </w:pPr>
          </w:p>
        </w:tc>
        <w:tc>
          <w:tcPr>
            <w:tcW w:w="4300" w:type="dxa"/>
            <w:vAlign w:val="bottom"/>
          </w:tcPr>
          <w:p>
            <w:pPr>
              <w:ind w:left="200"/>
              <w:spacing w:after="0"/>
              <w:rPr>
                <w:sz w:val="20"/>
                <w:szCs w:val="20"/>
                <w:color w:val="auto"/>
              </w:rPr>
            </w:pPr>
            <w:r>
              <w:rPr>
                <w:rFonts w:ascii="Arial" w:cs="Arial" w:eastAsia="Arial" w:hAnsi="Arial"/>
                <w:sz w:val="20"/>
                <w:szCs w:val="20"/>
                <w:color w:val="auto"/>
              </w:rPr>
              <w:t>Exhibit B hereto</w:t>
            </w:r>
          </w:p>
        </w:tc>
        <w:tc>
          <w:tcPr>
            <w:tcW w:w="1880" w:type="dxa"/>
            <w:vAlign w:val="bottom"/>
          </w:tcPr>
          <w:p>
            <w:pPr>
              <w:spacing w:after="0"/>
              <w:rPr>
                <w:sz w:val="21"/>
                <w:szCs w:val="21"/>
                <w:color w:val="auto"/>
              </w:rPr>
            </w:pPr>
          </w:p>
        </w:tc>
      </w:tr>
      <w:tr>
        <w:trPr>
          <w:trHeight w:val="306"/>
        </w:trPr>
        <w:tc>
          <w:tcPr>
            <w:tcW w:w="320" w:type="dxa"/>
            <w:vAlign w:val="bottom"/>
          </w:tcPr>
          <w:p>
            <w:pPr>
              <w:jc w:val="right"/>
              <w:ind w:right="81"/>
              <w:spacing w:after="0"/>
              <w:rPr>
                <w:sz w:val="20"/>
                <w:szCs w:val="20"/>
                <w:color w:val="auto"/>
              </w:rPr>
            </w:pPr>
            <w:r>
              <w:rPr>
                <w:rFonts w:ascii="Arial" w:cs="Arial" w:eastAsia="Arial" w:hAnsi="Arial"/>
                <w:sz w:val="20"/>
                <w:szCs w:val="20"/>
                <w:color w:val="auto"/>
                <w:w w:val="71"/>
              </w:rPr>
              <w:t>3.</w:t>
            </w:r>
          </w:p>
        </w:tc>
        <w:tc>
          <w:tcPr>
            <w:tcW w:w="4300" w:type="dxa"/>
            <w:vAlign w:val="bottom"/>
          </w:tcPr>
          <w:p>
            <w:pPr>
              <w:ind w:left="180"/>
              <w:spacing w:after="0"/>
              <w:rPr>
                <w:sz w:val="20"/>
                <w:szCs w:val="20"/>
                <w:color w:val="auto"/>
              </w:rPr>
            </w:pPr>
            <w:r>
              <w:rPr>
                <w:rFonts w:ascii="Arial" w:cs="Arial" w:eastAsia="Arial" w:hAnsi="Arial"/>
                <w:sz w:val="20"/>
                <w:szCs w:val="20"/>
                <w:color w:val="auto"/>
                <w:w w:val="98"/>
              </w:rPr>
              <w:t xml:space="preserve">The </w:t>
            </w:r>
            <w:r>
              <w:rPr>
                <w:rFonts w:ascii="Arial" w:cs="Arial" w:eastAsia="Arial" w:hAnsi="Arial"/>
                <w:sz w:val="20"/>
                <w:szCs w:val="20"/>
                <w:i w:val="1"/>
                <w:iCs w:val="1"/>
                <w:color w:val="auto"/>
                <w:w w:val="98"/>
              </w:rPr>
              <w:t>lesser</w:t>
            </w:r>
            <w:r>
              <w:rPr>
                <w:rFonts w:ascii="Arial" w:cs="Arial" w:eastAsia="Arial" w:hAnsi="Arial"/>
                <w:sz w:val="20"/>
                <w:szCs w:val="20"/>
                <w:color w:val="auto"/>
                <w:w w:val="98"/>
              </w:rPr>
              <w:t xml:space="preserve"> of Line 1 and Line 2 (the </w:t>
            </w:r>
            <w:r>
              <w:rPr>
                <w:rFonts w:ascii="Arial" w:cs="Arial" w:eastAsia="Arial" w:hAnsi="Arial"/>
                <w:sz w:val="20"/>
                <w:szCs w:val="20"/>
                <w:i w:val="1"/>
                <w:iCs w:val="1"/>
                <w:color w:val="auto"/>
                <w:w w:val="98"/>
              </w:rPr>
              <w:t>“Borrowing</w:t>
            </w:r>
          </w:p>
        </w:tc>
        <w:tc>
          <w:tcPr>
            <w:tcW w:w="1880" w:type="dxa"/>
            <w:vAlign w:val="bottom"/>
          </w:tcPr>
          <w:p>
            <w:pPr>
              <w:jc w:val="right"/>
              <w:spacing w:after="0"/>
              <w:rPr>
                <w:sz w:val="20"/>
                <w:szCs w:val="20"/>
                <w:color w:val="auto"/>
              </w:rPr>
            </w:pPr>
            <w:r>
              <w:rPr>
                <w:rFonts w:ascii="Arial" w:cs="Arial" w:eastAsia="Arial" w:hAnsi="Arial"/>
                <w:sz w:val="20"/>
                <w:szCs w:val="20"/>
                <w:color w:val="auto"/>
                <w:w w:val="92"/>
              </w:rPr>
              <w:t>$_________________</w:t>
            </w:r>
          </w:p>
        </w:tc>
      </w:tr>
      <w:tr>
        <w:trPr>
          <w:trHeight w:val="250"/>
        </w:trPr>
        <w:tc>
          <w:tcPr>
            <w:tcW w:w="320" w:type="dxa"/>
            <w:vAlign w:val="bottom"/>
          </w:tcPr>
          <w:p>
            <w:pPr>
              <w:spacing w:after="0"/>
              <w:rPr>
                <w:sz w:val="21"/>
                <w:szCs w:val="21"/>
                <w:color w:val="auto"/>
              </w:rPr>
            </w:pPr>
          </w:p>
        </w:tc>
        <w:tc>
          <w:tcPr>
            <w:tcW w:w="4300" w:type="dxa"/>
            <w:vAlign w:val="bottom"/>
          </w:tcPr>
          <w:p>
            <w:pPr>
              <w:ind w:left="200"/>
              <w:spacing w:after="0"/>
              <w:rPr>
                <w:sz w:val="20"/>
                <w:szCs w:val="20"/>
                <w:color w:val="auto"/>
              </w:rPr>
            </w:pPr>
            <w:r>
              <w:rPr>
                <w:rFonts w:ascii="Arial" w:cs="Arial" w:eastAsia="Arial" w:hAnsi="Arial"/>
                <w:sz w:val="20"/>
                <w:szCs w:val="20"/>
                <w:i w:val="1"/>
                <w:iCs w:val="1"/>
                <w:color w:val="auto"/>
              </w:rPr>
              <w:t>Base”</w:t>
            </w:r>
            <w:r>
              <w:rPr>
                <w:rFonts w:ascii="Arial" w:cs="Arial" w:eastAsia="Arial" w:hAnsi="Arial"/>
                <w:sz w:val="20"/>
                <w:szCs w:val="20"/>
                <w:color w:val="auto"/>
              </w:rPr>
              <w:t>)</w:t>
            </w:r>
          </w:p>
        </w:tc>
        <w:tc>
          <w:tcPr>
            <w:tcW w:w="1880" w:type="dxa"/>
            <w:vAlign w:val="bottom"/>
          </w:tcPr>
          <w:p>
            <w:pPr>
              <w:spacing w:after="0"/>
              <w:rPr>
                <w:sz w:val="21"/>
                <w:szCs w:val="21"/>
                <w:color w:val="auto"/>
              </w:rPr>
            </w:pPr>
          </w:p>
        </w:tc>
      </w:tr>
      <w:tr>
        <w:trPr>
          <w:trHeight w:val="322"/>
        </w:trPr>
        <w:tc>
          <w:tcPr>
            <w:tcW w:w="320" w:type="dxa"/>
            <w:vAlign w:val="bottom"/>
          </w:tcPr>
          <w:p>
            <w:pPr>
              <w:jc w:val="right"/>
              <w:ind w:right="81"/>
              <w:spacing w:after="0"/>
              <w:rPr>
                <w:sz w:val="20"/>
                <w:szCs w:val="20"/>
                <w:color w:val="auto"/>
              </w:rPr>
            </w:pPr>
            <w:r>
              <w:rPr>
                <w:rFonts w:ascii="Arial" w:cs="Arial" w:eastAsia="Arial" w:hAnsi="Arial"/>
                <w:sz w:val="20"/>
                <w:szCs w:val="20"/>
                <w:color w:val="auto"/>
                <w:w w:val="71"/>
              </w:rPr>
              <w:t>4.</w:t>
            </w:r>
          </w:p>
        </w:tc>
        <w:tc>
          <w:tcPr>
            <w:tcW w:w="4300" w:type="dxa"/>
            <w:vAlign w:val="bottom"/>
          </w:tcPr>
          <w:p>
            <w:pPr>
              <w:ind w:left="260"/>
              <w:spacing w:after="0"/>
              <w:rPr>
                <w:sz w:val="20"/>
                <w:szCs w:val="20"/>
                <w:color w:val="auto"/>
              </w:rPr>
            </w:pPr>
            <w:r>
              <w:rPr>
                <w:rFonts w:ascii="Arial" w:cs="Arial" w:eastAsia="Arial" w:hAnsi="Arial"/>
                <w:sz w:val="20"/>
                <w:szCs w:val="20"/>
                <w:color w:val="auto"/>
              </w:rPr>
              <w:t>Aggregate Other Unsecured Indebtedness</w:t>
            </w:r>
          </w:p>
        </w:tc>
        <w:tc>
          <w:tcPr>
            <w:tcW w:w="1880" w:type="dxa"/>
            <w:vAlign w:val="bottom"/>
          </w:tcPr>
          <w:p>
            <w:pPr>
              <w:jc w:val="right"/>
              <w:spacing w:after="0"/>
              <w:rPr>
                <w:sz w:val="20"/>
                <w:szCs w:val="20"/>
                <w:color w:val="auto"/>
              </w:rPr>
            </w:pPr>
            <w:r>
              <w:rPr>
                <w:rFonts w:ascii="Arial" w:cs="Arial" w:eastAsia="Arial" w:hAnsi="Arial"/>
                <w:sz w:val="20"/>
                <w:szCs w:val="20"/>
                <w:color w:val="auto"/>
                <w:w w:val="91"/>
              </w:rPr>
              <w:t>$_________________</w:t>
            </w:r>
          </w:p>
        </w:tc>
      </w:tr>
    </w:tbl>
    <w:p>
      <w:pPr>
        <w:ind w:left="720"/>
        <w:spacing w:after="0"/>
        <w:rPr>
          <w:sz w:val="20"/>
          <w:szCs w:val="20"/>
          <w:color w:val="auto"/>
        </w:rPr>
      </w:pPr>
      <w:r>
        <w:rPr>
          <w:rFonts w:ascii="Arial" w:cs="Arial" w:eastAsia="Arial" w:hAnsi="Arial"/>
          <w:sz w:val="20"/>
          <w:szCs w:val="20"/>
          <w:color w:val="auto"/>
        </w:rPr>
        <w:t>outstanding</w:t>
      </w:r>
    </w:p>
    <w:p>
      <w:pPr>
        <w:spacing w:after="0" w:line="200" w:lineRule="exact"/>
        <w:rPr>
          <w:sz w:val="20"/>
          <w:szCs w:val="20"/>
          <w:color w:val="auto"/>
        </w:rPr>
      </w:pPr>
    </w:p>
    <w:p>
      <w:pPr>
        <w:ind w:left="720" w:right="4399" w:hanging="7"/>
        <w:spacing w:after="0" w:line="253" w:lineRule="auto"/>
        <w:tabs>
          <w:tab w:leader="none" w:pos="918"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Line 3 </w:t>
      </w:r>
      <w:r>
        <w:rPr>
          <w:rFonts w:ascii="Arial" w:cs="Arial" w:eastAsia="Arial" w:hAnsi="Arial"/>
          <w:sz w:val="20"/>
          <w:szCs w:val="20"/>
          <w:i w:val="1"/>
          <w:iCs w:val="1"/>
          <w:color w:val="auto"/>
        </w:rPr>
        <w:t>minus</w:t>
      </w:r>
      <w:r>
        <w:rPr>
          <w:rFonts w:ascii="Arial" w:cs="Arial" w:eastAsia="Arial" w:hAnsi="Arial"/>
          <w:sz w:val="20"/>
          <w:szCs w:val="20"/>
          <w:color w:val="auto"/>
        </w:rPr>
        <w:t xml:space="preserve"> Line 4 (the </w:t>
      </w:r>
      <w:r>
        <w:rPr>
          <w:rFonts w:ascii="Arial" w:cs="Arial" w:eastAsia="Arial" w:hAnsi="Arial"/>
          <w:sz w:val="20"/>
          <w:szCs w:val="20"/>
          <w:i w:val="1"/>
          <w:iCs w:val="1"/>
          <w:color w:val="auto"/>
        </w:rPr>
        <w:t>“Adjusted Borrowing</w:t>
      </w:r>
      <w:r>
        <w:rPr>
          <w:rFonts w:ascii="Arial" w:cs="Arial" w:eastAsia="Arial" w:hAnsi="Arial"/>
          <w:sz w:val="20"/>
          <w:szCs w:val="20"/>
          <w:color w:val="auto"/>
        </w:rPr>
        <w:t xml:space="preserve"> </w:t>
      </w:r>
      <w:r>
        <w:rPr>
          <w:rFonts w:ascii="Arial" w:cs="Arial" w:eastAsia="Arial" w:hAnsi="Arial"/>
          <w:sz w:val="20"/>
          <w:szCs w:val="20"/>
          <w:i w:val="1"/>
          <w:iCs w:val="1"/>
          <w:color w:val="auto"/>
        </w:rPr>
        <w:t>Base”</w:t>
      </w:r>
      <w:r>
        <w:rPr>
          <w:rFonts w:ascii="Arial" w:cs="Arial" w:eastAsia="Arial" w:hAnsi="Arial"/>
          <w:sz w:val="20"/>
          <w:szCs w:val="20"/>
          <w:color w:val="auto"/>
        </w:rPr>
        <w:t>)</w:t>
      </w:r>
    </w:p>
    <w:p>
      <w:pPr>
        <w:spacing w:after="0" w:line="7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$_________________</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448945</wp:posOffset>
            </wp:positionV>
            <wp:extent cx="5461635" cy="2349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type w:val="continuous"/>
        </w:sectPr>
      </w:pPr>
    </w:p>
    <w:bookmarkStart w:id="180" w:name="page181"/>
    <w:bookmarkEnd w:id="180"/>
    <w:p>
      <w:pPr>
        <w:ind w:left="200" w:right="219" w:firstLine="594"/>
        <w:spacing w:after="0" w:line="253" w:lineRule="auto"/>
        <w:rPr>
          <w:sz w:val="20"/>
          <w:szCs w:val="20"/>
          <w:color w:val="auto"/>
        </w:rPr>
      </w:pPr>
      <w:r>
        <w:rPr>
          <w:rFonts w:ascii="Arial" w:cs="Arial" w:eastAsia="Arial" w:hAnsi="Arial"/>
          <w:sz w:val="20"/>
          <w:szCs w:val="20"/>
          <w:color w:val="auto"/>
        </w:rPr>
        <w:t>The foregoing certifications, together with the computations set forth in Schedule I hereto are made and delivered this ______ day of __________________ 20___.</w:t>
      </w:r>
    </w:p>
    <w:p>
      <w:pPr>
        <w:spacing w:after="0" w:line="196"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LPINE</w:t>
      </w:r>
      <w:r>
        <w:rPr>
          <w:rFonts w:ascii="Arial" w:cs="Arial" w:eastAsia="Arial" w:hAnsi="Arial"/>
          <w:sz w:val="20"/>
          <w:szCs w:val="20"/>
          <w:color w:val="auto"/>
        </w:rPr>
        <w:t xml:space="preserve"> I</w:t>
      </w:r>
      <w:r>
        <w:rPr>
          <w:rFonts w:ascii="Arial" w:cs="Arial" w:eastAsia="Arial" w:hAnsi="Arial"/>
          <w:sz w:val="13"/>
          <w:szCs w:val="13"/>
          <w:color w:val="auto"/>
        </w:rPr>
        <w:t>NCOME</w:t>
      </w:r>
      <w:r>
        <w:rPr>
          <w:rFonts w:ascii="Arial" w:cs="Arial" w:eastAsia="Arial" w:hAnsi="Arial"/>
          <w:sz w:val="20"/>
          <w:szCs w:val="20"/>
          <w:color w:val="auto"/>
        </w:rPr>
        <w:t xml:space="preserve"> P</w:t>
      </w:r>
      <w:r>
        <w:rPr>
          <w:rFonts w:ascii="Arial" w:cs="Arial" w:eastAsia="Arial" w:hAnsi="Arial"/>
          <w:sz w:val="13"/>
          <w:szCs w:val="13"/>
          <w:color w:val="auto"/>
        </w:rPr>
        <w:t>ROPERTY</w:t>
      </w:r>
      <w:r>
        <w:rPr>
          <w:rFonts w:ascii="Arial" w:cs="Arial" w:eastAsia="Arial" w:hAnsi="Arial"/>
          <w:sz w:val="20"/>
          <w:szCs w:val="20"/>
          <w:color w:val="auto"/>
        </w:rPr>
        <w:t xml:space="preserve"> OP, LP</w:t>
      </w:r>
    </w:p>
    <w:p>
      <w:pPr>
        <w:spacing w:after="0" w:line="200" w:lineRule="exact"/>
        <w:rPr>
          <w:sz w:val="20"/>
          <w:szCs w:val="20"/>
          <w:color w:val="auto"/>
        </w:rPr>
      </w:pPr>
    </w:p>
    <w:p>
      <w:pPr>
        <w:spacing w:after="0" w:line="27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-31115</wp:posOffset>
            </wp:positionV>
            <wp:extent cx="2271395"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8">
                      <a:extLst>
                        <a:ext uri="{28A0092B-C50C-407E-A947-70E740481C1C}"/>
                      </a:extLst>
                    </a:blip>
                    <a:srcRect/>
                    <a:stretch>
                      <a:fillRect/>
                    </a:stretch>
                  </pic:blipFill>
                  <pic:spPr bwMode="auto">
                    <a:xfrm>
                      <a:off x="0" y="0"/>
                      <a:ext cx="2271395" cy="7620"/>
                    </a:xfrm>
                    <a:prstGeom prst="rect">
                      <a:avLst/>
                    </a:prstGeom>
                    <a:noFill/>
                  </pic:spPr>
                </pic:pic>
              </a:graphicData>
            </a:graphic>
          </wp:anchor>
        </w:drawing>
      </w:r>
    </w:p>
    <w:p>
      <w:pPr>
        <w:spacing w:after="0" w:line="10"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-31115</wp:posOffset>
            </wp:positionV>
            <wp:extent cx="1901825" cy="76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9">
                      <a:extLst>
                        <a:ext uri="{28A0092B-C50C-407E-A947-70E740481C1C}"/>
                      </a:extLst>
                    </a:blip>
                    <a:srcRect/>
                    <a:stretch>
                      <a:fillRect/>
                    </a:stretch>
                  </pic:blipFill>
                  <pic:spPr bwMode="auto">
                    <a:xfrm>
                      <a:off x="0" y="0"/>
                      <a:ext cx="1901825" cy="7620"/>
                    </a:xfrm>
                    <a:prstGeom prst="rect">
                      <a:avLst/>
                    </a:prstGeom>
                    <a:noFill/>
                  </pic:spPr>
                </pic:pic>
              </a:graphicData>
            </a:graphic>
          </wp:anchor>
        </w:drawing>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-31115</wp:posOffset>
            </wp:positionV>
            <wp:extent cx="1964690" cy="762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0">
                      <a:extLst>
                        <a:ext uri="{28A0092B-C50C-407E-A947-70E740481C1C}"/>
                      </a:extLst>
                    </a:blip>
                    <a:srcRect/>
                    <a:stretch>
                      <a:fillRect/>
                    </a:stretch>
                  </pic:blipFill>
                  <pic:spPr bwMode="auto">
                    <a:xfrm>
                      <a:off x="0" y="0"/>
                      <a:ext cx="1964690" cy="7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[Exhibit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581660</wp:posOffset>
            </wp:positionV>
            <wp:extent cx="5461635" cy="1587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1">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LPINE </w:t>
      </w:r>
      <w:r>
        <w:rPr>
          <w:rFonts w:ascii="Arial" w:cs="Arial" w:eastAsia="Arial" w:hAnsi="Arial"/>
          <w:sz w:val="19"/>
          <w:szCs w:val="19"/>
          <w:b w:val="1"/>
          <w:bCs w:val="1"/>
          <w:color w:val="auto"/>
        </w:rPr>
        <w:t>I</w:t>
      </w:r>
      <w:r>
        <w:rPr>
          <w:rFonts w:ascii="Arial" w:cs="Arial" w:eastAsia="Arial" w:hAnsi="Arial"/>
          <w:sz w:val="14"/>
          <w:szCs w:val="14"/>
          <w:b w:val="1"/>
          <w:bCs w:val="1"/>
          <w:color w:val="auto"/>
        </w:rPr>
        <w:t xml:space="preserve">NCOME </w:t>
      </w:r>
      <w:r>
        <w:rPr>
          <w:rFonts w:ascii="Arial" w:cs="Arial" w:eastAsia="Arial" w:hAnsi="Arial"/>
          <w:sz w:val="19"/>
          <w:szCs w:val="19"/>
          <w:b w:val="1"/>
          <w:bCs w:val="1"/>
          <w:color w:val="auto"/>
        </w:rPr>
        <w:t>P</w:t>
      </w:r>
      <w:r>
        <w:rPr>
          <w:rFonts w:ascii="Arial" w:cs="Arial" w:eastAsia="Arial" w:hAnsi="Arial"/>
          <w:sz w:val="14"/>
          <w:szCs w:val="14"/>
          <w:b w:val="1"/>
          <w:bCs w:val="1"/>
          <w:color w:val="auto"/>
        </w:rPr>
        <w:t xml:space="preserve">ROPERTY </w:t>
      </w:r>
      <w:r>
        <w:rPr>
          <w:rFonts w:ascii="Arial" w:cs="Arial" w:eastAsia="Arial" w:hAnsi="Arial"/>
          <w:sz w:val="19"/>
          <w:szCs w:val="19"/>
          <w:b w:val="1"/>
          <w:bCs w:val="1"/>
          <w:color w:val="auto"/>
        </w:rPr>
        <w:t>OP, LP</w:t>
      </w:r>
    </w:p>
    <w:p>
      <w:pPr>
        <w:spacing w:after="0" w:line="4" w:lineRule="exact"/>
        <w:rPr>
          <w:sz w:val="20"/>
          <w:szCs w:val="20"/>
          <w:color w:val="auto"/>
        </w:rPr>
      </w:pPr>
    </w:p>
    <w:p>
      <w:pPr>
        <w:jc w:val="both"/>
        <w:ind w:left="200" w:right="219" w:firstLine="594"/>
        <w:spacing w:after="0" w:line="258" w:lineRule="auto"/>
        <w:rPr>
          <w:sz w:val="20"/>
          <w:szCs w:val="20"/>
          <w:color w:val="auto"/>
        </w:rPr>
      </w:pPr>
      <w:r>
        <w:rPr>
          <w:rFonts w:ascii="Arial" w:cs="Arial" w:eastAsia="Arial" w:hAnsi="Arial"/>
          <w:sz w:val="18"/>
          <w:szCs w:val="18"/>
          <w:color w:val="auto"/>
        </w:rPr>
        <w:t>This Exhibit A is attached to the Borrowing Base Certificate of Alpine Income Property OP, LP for the Borrowing Base Determination Date of ___________ ____, 20___ and delivered to KeyBank National</w:t>
      </w:r>
    </w:p>
    <w:p>
      <w:pPr>
        <w:spacing w:after="0" w:line="1"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0"/>
          <w:szCs w:val="20"/>
          <w:color w:val="auto"/>
        </w:rPr>
        <w:t>Association, as Administrative Agent, and the Lenders party to the Credit Agreement dated September 30, 2021, as amended, referred to therein. The undersigned hereby certifies that the following is a true, correct and complete calculation of Borrowing Base Value as of the Borrowing Base Determination Date set forth above: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[Insert Calculation or attach Schedule with exclusions for concentration limits]</w:t>
      </w: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5100" w:type="dxa"/>
            <w:vAlign w:val="bottom"/>
            <w:gridSpan w:val="2"/>
          </w:tcPr>
          <w:p>
            <w:pP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ALUE OF ALL</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LIGIBLE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ROPERTIES</w:t>
            </w:r>
            <w:r>
              <w:rPr>
                <w:rFonts w:ascii="Arial" w:cs="Arial" w:eastAsia="Arial" w:hAnsi="Arial"/>
                <w:sz w:val="20"/>
                <w:szCs w:val="20"/>
                <w:b w:val="1"/>
                <w:bCs w:val="1"/>
                <w:color w:val="auto"/>
              </w:rPr>
              <w:t>:</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$__________</w:t>
            </w:r>
          </w:p>
        </w:tc>
      </w:tr>
      <w:tr>
        <w:trPr>
          <w:trHeight w:val="400"/>
        </w:trPr>
        <w:tc>
          <w:tcPr>
            <w:tcW w:w="5100" w:type="dxa"/>
            <w:vAlign w:val="bottom"/>
            <w:gridSpan w:val="2"/>
          </w:tcPr>
          <w:p>
            <w:pPr>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EQUIREMENTS</w:t>
            </w:r>
            <w:r>
              <w:rPr>
                <w:rFonts w:ascii="Arial" w:cs="Arial" w:eastAsia="Arial" w:hAnsi="Arial"/>
                <w:sz w:val="20"/>
                <w:szCs w:val="20"/>
                <w:b w:val="1"/>
                <w:bCs w:val="1"/>
                <w:color w:val="auto"/>
              </w:rPr>
              <w:t>:</w:t>
            </w:r>
          </w:p>
        </w:tc>
        <w:tc>
          <w:tcPr>
            <w:tcW w:w="1900" w:type="dxa"/>
            <w:vAlign w:val="bottom"/>
          </w:tcPr>
          <w:p>
            <w:pPr>
              <w:spacing w:after="0"/>
              <w:rPr>
                <w:sz w:val="24"/>
                <w:szCs w:val="24"/>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8" w:lineRule="exact"/>
        <w:rPr>
          <w:sz w:val="20"/>
          <w:szCs w:val="20"/>
          <w:color w:val="auto"/>
        </w:rPr>
      </w:pPr>
    </w:p>
    <w:p>
      <w:pPr>
        <w:ind w:left="860" w:hanging="592"/>
        <w:spacing w:after="0"/>
        <w:tabs>
          <w:tab w:leader="none" w:pos="860"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Number of Properties</w:t>
      </w:r>
    </w:p>
    <w:p>
      <w:pPr>
        <w:spacing w:after="0" w:line="302" w:lineRule="exact"/>
        <w:rPr>
          <w:sz w:val="20"/>
          <w:szCs w:val="20"/>
          <w:color w:val="auto"/>
        </w:rPr>
      </w:pPr>
    </w:p>
    <w:p>
      <w:pPr>
        <w:ind w:left="860"/>
        <w:spacing w:after="0"/>
        <w:tabs>
          <w:tab w:leader="none" w:pos="1440" w:val="left"/>
          <w:tab w:leader="none" w:pos="748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The number of Eligible Properties</w:t>
      </w:r>
      <w:r>
        <w:rPr>
          <w:sz w:val="20"/>
          <w:szCs w:val="20"/>
          <w:color w:val="auto"/>
        </w:rPr>
        <w:tab/>
      </w:r>
      <w:r>
        <w:rPr>
          <w:rFonts w:ascii="Arial" w:cs="Arial" w:eastAsia="Arial" w:hAnsi="Arial"/>
          <w:sz w:val="17"/>
          <w:szCs w:val="17"/>
          <w:color w:val="auto"/>
        </w:rPr>
        <w:t>___________</w:t>
      </w:r>
    </w:p>
    <w:p>
      <w:pPr>
        <w:spacing w:after="0" w:line="302" w:lineRule="exact"/>
        <w:rPr>
          <w:sz w:val="20"/>
          <w:szCs w:val="20"/>
          <w:color w:val="auto"/>
        </w:rPr>
      </w:pPr>
    </w:p>
    <w:p>
      <w:pPr>
        <w:ind w:left="1460" w:hanging="598"/>
        <w:spacing w:after="0"/>
        <w:tabs>
          <w:tab w:leader="none" w:pos="146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Line A1 shall not be less than 10</w:t>
      </w:r>
    </w:p>
    <w:p>
      <w:pPr>
        <w:spacing w:after="0" w:line="302" w:lineRule="exact"/>
        <w:rPr>
          <w:sz w:val="20"/>
          <w:szCs w:val="20"/>
          <w:color w:val="auto"/>
        </w:rPr>
      </w:pPr>
    </w:p>
    <w:p>
      <w:pPr>
        <w:ind w:left="860"/>
        <w:spacing w:after="0"/>
        <w:tabs>
          <w:tab w:leader="none" w:pos="1440" w:val="left"/>
          <w:tab w:leader="none" w:pos="77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hanging="592"/>
        <w:spacing w:after="0"/>
        <w:tabs>
          <w:tab w:leader="none" w:pos="860"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Borrowing Base Value</w:t>
      </w:r>
    </w:p>
    <w:p>
      <w:pPr>
        <w:spacing w:after="0" w:line="104" w:lineRule="exact"/>
        <w:rPr>
          <w:sz w:val="20"/>
          <w:szCs w:val="20"/>
          <w:color w:val="auto"/>
        </w:rPr>
      </w:pPr>
    </w:p>
    <w:p>
      <w:pPr>
        <w:ind w:left="860"/>
        <w:spacing w:after="0"/>
        <w:tabs>
          <w:tab w:leader="none" w:pos="1440" w:val="left"/>
          <w:tab w:leader="none" w:pos="74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Borrowing Base Value</w:t>
      </w:r>
      <w:r>
        <w:rPr>
          <w:sz w:val="20"/>
          <w:szCs w:val="20"/>
          <w:color w:val="auto"/>
        </w:rPr>
        <w:tab/>
      </w:r>
      <w:r>
        <w:rPr>
          <w:rFonts w:ascii="Arial" w:cs="Arial" w:eastAsia="Arial" w:hAnsi="Arial"/>
          <w:sz w:val="17"/>
          <w:szCs w:val="17"/>
          <w:color w:val="auto"/>
        </w:rPr>
        <w:t>$___________</w:t>
      </w:r>
    </w:p>
    <w:p>
      <w:pPr>
        <w:spacing w:after="0" w:line="302" w:lineRule="exact"/>
        <w:rPr>
          <w:sz w:val="20"/>
          <w:szCs w:val="20"/>
          <w:color w:val="auto"/>
        </w:rPr>
      </w:pPr>
    </w:p>
    <w:p>
      <w:pPr>
        <w:ind w:left="1460" w:hanging="598"/>
        <w:spacing w:after="0"/>
        <w:tabs>
          <w:tab w:leader="none" w:pos="146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Line B1 shall not be less than $100,000,000</w:t>
      </w:r>
    </w:p>
    <w:p>
      <w:pPr>
        <w:spacing w:after="0" w:line="302" w:lineRule="exact"/>
        <w:rPr>
          <w:sz w:val="20"/>
          <w:szCs w:val="20"/>
          <w:color w:val="auto"/>
        </w:rPr>
      </w:pPr>
    </w:p>
    <w:p>
      <w:pPr>
        <w:ind w:left="860"/>
        <w:spacing w:after="0"/>
        <w:tabs>
          <w:tab w:leader="none" w:pos="1440" w:val="left"/>
          <w:tab w:leader="none" w:pos="77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26" w:lineRule="exact"/>
        <w:rPr>
          <w:sz w:val="20"/>
          <w:szCs w:val="20"/>
          <w:color w:val="auto"/>
        </w:rPr>
      </w:pPr>
    </w:p>
    <w:p>
      <w:pPr>
        <w:ind w:left="860" w:hanging="592"/>
        <w:spacing w:after="0"/>
        <w:tabs>
          <w:tab w:leader="none" w:pos="860"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Non-Retail, Office or Mixed-Use Retail/Office Properties</w:t>
      </w:r>
    </w:p>
    <w:p>
      <w:pPr>
        <w:spacing w:after="0" w:line="9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80" w:type="dxa"/>
            <w:vAlign w:val="bottom"/>
          </w:tcPr>
          <w:p>
            <w:pPr>
              <w:jc w:val="right"/>
              <w:ind w:right="121"/>
              <w:spacing w:after="0"/>
              <w:rPr>
                <w:sz w:val="20"/>
                <w:szCs w:val="20"/>
                <w:color w:val="auto"/>
              </w:rPr>
            </w:pPr>
            <w:r>
              <w:rPr>
                <w:rFonts w:ascii="Arial" w:cs="Arial" w:eastAsia="Arial" w:hAnsi="Arial"/>
                <w:sz w:val="20"/>
                <w:szCs w:val="20"/>
                <w:color w:val="auto"/>
                <w:w w:val="83"/>
              </w:rPr>
              <w:t>1.</w:t>
            </w:r>
          </w:p>
        </w:tc>
        <w:tc>
          <w:tcPr>
            <w:tcW w:w="5860" w:type="dxa"/>
            <w:vAlign w:val="bottom"/>
          </w:tcPr>
          <w:p>
            <w:pPr>
              <w:ind w:left="220"/>
              <w:spacing w:after="0"/>
              <w:rPr>
                <w:sz w:val="20"/>
                <w:szCs w:val="20"/>
                <w:color w:val="auto"/>
              </w:rPr>
            </w:pPr>
            <w:r>
              <w:rPr>
                <w:rFonts w:ascii="Arial" w:cs="Arial" w:eastAsia="Arial" w:hAnsi="Arial"/>
                <w:sz w:val="20"/>
                <w:szCs w:val="20"/>
                <w:color w:val="auto"/>
                <w:w w:val="96"/>
              </w:rPr>
              <w:t>Percent of Borrowing Base Value attributable to Non-Retail, Office</w:t>
            </w:r>
          </w:p>
        </w:tc>
        <w:tc>
          <w:tcPr>
            <w:tcW w:w="1580" w:type="dxa"/>
            <w:vAlign w:val="bottom"/>
          </w:tcPr>
          <w:p>
            <w:pPr>
              <w:jc w:val="right"/>
              <w:spacing w:after="0"/>
              <w:rPr>
                <w:sz w:val="20"/>
                <w:szCs w:val="20"/>
                <w:color w:val="auto"/>
              </w:rPr>
            </w:pPr>
            <w:r>
              <w:rPr>
                <w:rFonts w:ascii="Arial" w:cs="Arial" w:eastAsia="Arial" w:hAnsi="Arial"/>
                <w:sz w:val="20"/>
                <w:szCs w:val="20"/>
                <w:color w:val="auto"/>
              </w:rPr>
              <w:t>___________%</w:t>
            </w:r>
          </w:p>
        </w:tc>
      </w:tr>
      <w:tr>
        <w:trPr>
          <w:trHeight w:val="250"/>
        </w:trPr>
        <w:tc>
          <w:tcPr>
            <w:tcW w:w="380" w:type="dxa"/>
            <w:vAlign w:val="bottom"/>
          </w:tcPr>
          <w:p>
            <w:pPr>
              <w:spacing w:after="0"/>
              <w:rPr>
                <w:sz w:val="21"/>
                <w:szCs w:val="21"/>
                <w:color w:val="auto"/>
              </w:rPr>
            </w:pPr>
          </w:p>
        </w:tc>
        <w:tc>
          <w:tcPr>
            <w:tcW w:w="5860" w:type="dxa"/>
            <w:vAlign w:val="bottom"/>
          </w:tcPr>
          <w:p>
            <w:pPr>
              <w:ind w:left="220"/>
              <w:spacing w:after="0"/>
              <w:rPr>
                <w:sz w:val="20"/>
                <w:szCs w:val="20"/>
                <w:color w:val="auto"/>
              </w:rPr>
            </w:pPr>
            <w:r>
              <w:rPr>
                <w:rFonts w:ascii="Arial" w:cs="Arial" w:eastAsia="Arial" w:hAnsi="Arial"/>
                <w:sz w:val="20"/>
                <w:szCs w:val="20"/>
                <w:color w:val="auto"/>
              </w:rPr>
              <w:t>or Mixed-Use Retail/Office Properties</w:t>
            </w:r>
          </w:p>
        </w:tc>
        <w:tc>
          <w:tcPr>
            <w:tcW w:w="1580" w:type="dxa"/>
            <w:vAlign w:val="bottom"/>
          </w:tcPr>
          <w:p>
            <w:pPr>
              <w:spacing w:after="0"/>
              <w:rPr>
                <w:sz w:val="21"/>
                <w:szCs w:val="21"/>
                <w:color w:val="auto"/>
              </w:rPr>
            </w:pPr>
          </w:p>
        </w:tc>
      </w:tr>
    </w:tbl>
    <w:p>
      <w:pPr>
        <w:spacing w:after="0" w:line="84" w:lineRule="exact"/>
        <w:rPr>
          <w:sz w:val="20"/>
          <w:szCs w:val="20"/>
          <w:color w:val="auto"/>
        </w:rPr>
      </w:pPr>
    </w:p>
    <w:p>
      <w:pPr>
        <w:ind w:left="1460" w:hanging="598"/>
        <w:spacing w:after="0"/>
        <w:tabs>
          <w:tab w:leader="none" w:pos="14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Line C1 shall not be greater than 20%</w:t>
      </w:r>
    </w:p>
    <w:p>
      <w:pPr>
        <w:spacing w:after="0" w:line="302" w:lineRule="exact"/>
        <w:rPr>
          <w:sz w:val="20"/>
          <w:szCs w:val="20"/>
          <w:color w:val="auto"/>
        </w:rPr>
      </w:pPr>
    </w:p>
    <w:p>
      <w:pPr>
        <w:ind w:left="860"/>
        <w:spacing w:after="0"/>
        <w:tabs>
          <w:tab w:leader="none" w:pos="1440" w:val="left"/>
          <w:tab w:leader="none" w:pos="77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590550</wp:posOffset>
            </wp:positionV>
            <wp:extent cx="5461635" cy="2349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2">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82" w:name="page183"/>
    <w:bookmarkEnd w:id="182"/>
    <w:p>
      <w:pPr>
        <w:ind w:left="860" w:hanging="592"/>
        <w:spacing w:after="0"/>
        <w:tabs>
          <w:tab w:leader="none" w:pos="8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Individual Eligible Property Value</w:t>
      </w:r>
    </w:p>
    <w:p>
      <w:pPr>
        <w:spacing w:after="0" w:line="104" w:lineRule="exact"/>
        <w:rPr>
          <w:rFonts w:ascii="Arial" w:cs="Arial" w:eastAsia="Arial" w:hAnsi="Arial"/>
          <w:sz w:val="20"/>
          <w:szCs w:val="20"/>
          <w:color w:val="auto"/>
        </w:rPr>
      </w:pPr>
    </w:p>
    <w:p>
      <w:pPr>
        <w:ind w:left="1460" w:right="60" w:hanging="598"/>
        <w:spacing w:after="0" w:line="239" w:lineRule="auto"/>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Percentage of Borrowing Base Value of each Eligible Property is set forth [above or on the attached Schedule] and the largest Borrowing Base Value or any Eligible Property is $___________ for the ___________ Eligible Property.</w:t>
      </w:r>
    </w:p>
    <w:p>
      <w:pPr>
        <w:spacing w:after="0" w:line="210" w:lineRule="exact"/>
        <w:rPr>
          <w:rFonts w:ascii="Arial" w:cs="Arial" w:eastAsia="Arial" w:hAnsi="Arial"/>
          <w:sz w:val="20"/>
          <w:szCs w:val="20"/>
          <w:color w:val="auto"/>
        </w:rPr>
      </w:pPr>
    </w:p>
    <w:p>
      <w:pPr>
        <w:ind w:left="1460" w:right="240" w:hanging="598"/>
        <w:spacing w:after="0" w:line="253" w:lineRule="auto"/>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No Eligible Property comprises more than 25% of Borrowing Base Value</w:t>
      </w:r>
    </w:p>
    <w:p>
      <w:pPr>
        <w:spacing w:after="0" w:line="72" w:lineRule="exact"/>
        <w:rPr>
          <w:rFonts w:ascii="Arial" w:cs="Arial" w:eastAsia="Arial" w:hAnsi="Arial"/>
          <w:sz w:val="20"/>
          <w:szCs w:val="20"/>
          <w:color w:val="auto"/>
        </w:rPr>
      </w:pPr>
    </w:p>
    <w:p>
      <w:pPr>
        <w:ind w:left="1460" w:hanging="598"/>
        <w:spacing w:after="0"/>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Borrower is in compliance (circle yes or no)</w:t>
      </w:r>
    </w:p>
    <w:p>
      <w:pPr>
        <w:spacing w:after="0" w:line="200" w:lineRule="exact"/>
        <w:rPr>
          <w:rFonts w:ascii="Arial" w:cs="Arial" w:eastAsia="Arial" w:hAnsi="Arial"/>
          <w:sz w:val="20"/>
          <w:szCs w:val="20"/>
          <w:color w:val="auto"/>
        </w:rPr>
      </w:pPr>
    </w:p>
    <w:p>
      <w:pPr>
        <w:spacing w:after="0" w:line="263" w:lineRule="exact"/>
        <w:rPr>
          <w:rFonts w:ascii="Arial" w:cs="Arial" w:eastAsia="Arial" w:hAnsi="Arial"/>
          <w:sz w:val="20"/>
          <w:szCs w:val="20"/>
          <w:color w:val="auto"/>
        </w:rPr>
      </w:pPr>
    </w:p>
    <w:p>
      <w:pPr>
        <w:ind w:left="860" w:hanging="592"/>
        <w:spacing w:after="0"/>
        <w:tabs>
          <w:tab w:leader="none" w:pos="8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Single Tenant Borrowing Base Value</w:t>
      </w:r>
    </w:p>
    <w:p>
      <w:pPr>
        <w:spacing w:after="0" w:line="104" w:lineRule="exact"/>
        <w:rPr>
          <w:rFonts w:ascii="Arial" w:cs="Arial" w:eastAsia="Arial" w:hAnsi="Arial"/>
          <w:sz w:val="20"/>
          <w:szCs w:val="20"/>
          <w:color w:val="auto"/>
        </w:rPr>
      </w:pPr>
    </w:p>
    <w:p>
      <w:pPr>
        <w:ind w:left="1460" w:right="220" w:hanging="598"/>
        <w:spacing w:after="0" w:line="283" w:lineRule="auto"/>
        <w:tabs>
          <w:tab w:leader="none" w:pos="14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largest amount of Borrowing Base Value from a single Tenant that does not maintain a Rating of at least BBB-/Baa3 from S&amp;P or Moody’s, respectively, is $_____________ from _____________.</w:t>
      </w:r>
    </w:p>
    <w:p>
      <w:pPr>
        <w:spacing w:after="0" w:line="47" w:lineRule="exact"/>
        <w:rPr>
          <w:rFonts w:ascii="Arial" w:cs="Arial" w:eastAsia="Arial" w:hAnsi="Arial"/>
          <w:sz w:val="18"/>
          <w:szCs w:val="18"/>
          <w:color w:val="auto"/>
        </w:rPr>
      </w:pPr>
    </w:p>
    <w:p>
      <w:pPr>
        <w:ind w:left="1460" w:right="340" w:hanging="598"/>
        <w:spacing w:after="0" w:line="262" w:lineRule="auto"/>
        <w:tabs>
          <w:tab w:leader="none" w:pos="146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The largest amount of Borrowing Base Value from Properties that receive less than 80% of Property NOI from a single Tenant, is $_____________ from _____________.</w:t>
      </w:r>
    </w:p>
    <w:p>
      <w:pPr>
        <w:spacing w:after="0" w:line="64" w:lineRule="exact"/>
        <w:rPr>
          <w:rFonts w:ascii="Arial" w:cs="Arial" w:eastAsia="Arial" w:hAnsi="Arial"/>
          <w:sz w:val="19"/>
          <w:szCs w:val="19"/>
          <w:color w:val="auto"/>
        </w:rPr>
      </w:pPr>
    </w:p>
    <w:p>
      <w:pPr>
        <w:ind w:left="1460" w:right="420" w:hanging="598"/>
        <w:spacing w:after="0" w:line="243" w:lineRule="auto"/>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No single Tenant that does not maintain a Rating of at least BBB-/Baa3 from S&amp;P or Moody’s, respectively, comprises more than 20% of Borrowing Base Value</w:t>
      </w:r>
    </w:p>
    <w:p>
      <w:pPr>
        <w:spacing w:after="0" w:line="81" w:lineRule="exact"/>
        <w:rPr>
          <w:rFonts w:ascii="Arial" w:cs="Arial" w:eastAsia="Arial" w:hAnsi="Arial"/>
          <w:sz w:val="20"/>
          <w:szCs w:val="20"/>
          <w:color w:val="auto"/>
        </w:rPr>
      </w:pPr>
    </w:p>
    <w:p>
      <w:pPr>
        <w:jc w:val="both"/>
        <w:ind w:left="1460" w:right="220" w:hanging="598"/>
        <w:spacing w:after="0" w:line="243" w:lineRule="auto"/>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Eligible Properties that derive less than 80% of their Property NOI from a single Tenant do not comprise more than 20% of Borrowing Base Value</w:t>
      </w:r>
    </w:p>
    <w:p>
      <w:pPr>
        <w:spacing w:after="0" w:line="81" w:lineRule="exact"/>
        <w:rPr>
          <w:rFonts w:ascii="Arial" w:cs="Arial" w:eastAsia="Arial" w:hAnsi="Arial"/>
          <w:sz w:val="20"/>
          <w:szCs w:val="20"/>
          <w:color w:val="auto"/>
        </w:rPr>
      </w:pPr>
    </w:p>
    <w:p>
      <w:pPr>
        <w:ind w:left="1460" w:hanging="598"/>
        <w:spacing w:after="0"/>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Borrower is in compliance (circle yes or no)</w:t>
      </w:r>
    </w:p>
    <w:p>
      <w:pPr>
        <w:spacing w:after="0" w:line="200" w:lineRule="exact"/>
        <w:rPr>
          <w:rFonts w:ascii="Arial" w:cs="Arial" w:eastAsia="Arial" w:hAnsi="Arial"/>
          <w:sz w:val="20"/>
          <w:szCs w:val="20"/>
          <w:color w:val="auto"/>
        </w:rPr>
      </w:pPr>
    </w:p>
    <w:p>
      <w:pPr>
        <w:spacing w:after="0" w:line="263" w:lineRule="exact"/>
        <w:rPr>
          <w:rFonts w:ascii="Arial" w:cs="Arial" w:eastAsia="Arial" w:hAnsi="Arial"/>
          <w:sz w:val="20"/>
          <w:szCs w:val="20"/>
          <w:color w:val="auto"/>
        </w:rPr>
      </w:pPr>
    </w:p>
    <w:p>
      <w:pPr>
        <w:ind w:left="860" w:hanging="592"/>
        <w:spacing w:after="0"/>
        <w:tabs>
          <w:tab w:leader="none" w:pos="86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Permitted Ground Lease Investments</w:t>
      </w:r>
    </w:p>
    <w:p>
      <w:pPr>
        <w:spacing w:after="0" w:line="104" w:lineRule="exact"/>
        <w:rPr>
          <w:rFonts w:ascii="Arial" w:cs="Arial" w:eastAsia="Arial" w:hAnsi="Arial"/>
          <w:sz w:val="20"/>
          <w:szCs w:val="20"/>
          <w:color w:val="auto"/>
        </w:rPr>
      </w:pPr>
    </w:p>
    <w:p>
      <w:pPr>
        <w:ind w:left="1460" w:right="280" w:hanging="598"/>
        <w:spacing w:after="0" w:line="253" w:lineRule="auto"/>
        <w:tabs>
          <w:tab w:leader="none" w:pos="146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Percent of Borrowing Base Value attributable to Permitted Ground Lease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144145</wp:posOffset>
            </wp:positionV>
            <wp:extent cx="1367155"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3">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yes/no</w:t>
      </w:r>
      <w:hyperlink w:anchor="page183">
        <w:r>
          <w:rPr>
            <w:rFonts w:ascii="Arial" w:cs="Arial" w:eastAsia="Arial" w:hAnsi="Arial"/>
            <w:sz w:val="26"/>
            <w:szCs w:val="26"/>
            <w:u w:val="single" w:color="auto"/>
            <w:color w:val="0000EE"/>
            <w:vertAlign w:val="superscript"/>
          </w:rPr>
          <w:t>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yes/no</w:t>
      </w:r>
      <w:hyperlink w:anchor="page183">
        <w:r>
          <w:rPr>
            <w:rFonts w:ascii="Arial" w:cs="Arial" w:eastAsia="Arial" w:hAnsi="Arial"/>
            <w:sz w:val="26"/>
            <w:szCs w:val="26"/>
            <w:u w:val="single" w:color="auto"/>
            <w:color w:val="0000EE"/>
            <w:vertAlign w:val="superscript"/>
          </w:rPr>
          <w:t>2</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__%</w:t>
      </w:r>
    </w:p>
    <w:p>
      <w:pPr>
        <w:spacing w:after="0" w:line="454" w:lineRule="exact"/>
        <w:rPr>
          <w:sz w:val="20"/>
          <w:szCs w:val="20"/>
          <w:color w:val="auto"/>
        </w:rPr>
      </w:pPr>
    </w:p>
    <w:p>
      <w:pPr>
        <w:sectPr>
          <w:pgSz w:w="11900" w:h="16838" w:orient="portrait"/>
          <w:cols w:equalWidth="0" w:num="2">
            <w:col w:w="7020" w:space="720"/>
            <w:col w:w="1279"/>
          </w:cols>
          <w:pgMar w:left="1440" w:top="1073" w:right="1440" w:bottom="1440" w:gutter="0" w:footer="0" w:header="0"/>
        </w:sectPr>
      </w:pPr>
    </w:p>
    <w:p>
      <w:pPr>
        <w:spacing w:after="0" w:line="114" w:lineRule="exact"/>
        <w:rPr>
          <w:sz w:val="20"/>
          <w:szCs w:val="20"/>
          <w:color w:val="auto"/>
        </w:rPr>
      </w:pPr>
    </w:p>
    <w:p>
      <w:pPr>
        <w:ind w:left="200" w:right="219"/>
        <w:spacing w:after="0" w:line="326" w:lineRule="auto"/>
        <w:rPr>
          <w:sz w:val="20"/>
          <w:szCs w:val="20"/>
          <w:color w:val="auto"/>
        </w:rPr>
      </w:pPr>
      <w:r>
        <w:rPr>
          <w:rFonts w:ascii="Arial" w:cs="Arial" w:eastAsia="Arial" w:hAnsi="Arial"/>
          <w:sz w:val="15"/>
          <w:szCs w:val="15"/>
          <w:color w:val="auto"/>
        </w:rPr>
        <w:t>1 If applicable, the calculation of Borrowing Base Value includes an adjustment to exclude that portion of the Property NOI or book value of any Eligible Properties attributable to any Eligible Properties to the extent it exceeds the 25% concentration limit.</w:t>
      </w:r>
    </w:p>
    <w:p>
      <w:pPr>
        <w:spacing w:after="0" w:line="125" w:lineRule="exact"/>
        <w:rPr>
          <w:sz w:val="20"/>
          <w:szCs w:val="20"/>
          <w:color w:val="auto"/>
        </w:rPr>
      </w:pPr>
    </w:p>
    <w:p>
      <w:pPr>
        <w:ind w:left="200" w:right="219"/>
        <w:spacing w:after="0" w:line="326" w:lineRule="auto"/>
        <w:rPr>
          <w:sz w:val="20"/>
          <w:szCs w:val="20"/>
          <w:color w:val="auto"/>
        </w:rPr>
      </w:pPr>
      <w:r>
        <w:rPr>
          <w:rFonts w:ascii="Arial" w:cs="Arial" w:eastAsia="Arial" w:hAnsi="Arial"/>
          <w:sz w:val="15"/>
          <w:szCs w:val="15"/>
          <w:color w:val="auto"/>
        </w:rPr>
        <w:t>2 If applicable, the calculation of Borrowing Base Value includes an adjustment to exclude that portion of the Property NOI or book value of any Eligible Properties attributable to any Eligible Properties to the extent it exceeds the 20% concentration limit.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590550</wp:posOffset>
            </wp:positionV>
            <wp:extent cx="5461635" cy="1587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4">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1073" w:right="1440" w:bottom="1440" w:gutter="0" w:footer="0" w:header="0"/>
          <w:type w:val="continuous"/>
        </w:sectPr>
      </w:pPr>
    </w:p>
    <w:bookmarkStart w:id="183" w:name="page184"/>
    <w:bookmarkEnd w:id="183"/>
    <w:p>
      <w:pPr>
        <w:ind w:left="1460" w:hanging="598"/>
        <w:spacing w:after="0"/>
        <w:tabs>
          <w:tab w:leader="none" w:pos="14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Line F1 shall not be greater than 30%</w:t>
      </w:r>
    </w:p>
    <w:p>
      <w:pPr>
        <w:spacing w:after="0" w:line="75" w:lineRule="exact"/>
        <w:rPr>
          <w:sz w:val="20"/>
          <w:szCs w:val="20"/>
          <w:color w:val="auto"/>
        </w:rPr>
      </w:pPr>
    </w:p>
    <w:p>
      <w:pPr>
        <w:ind w:left="860"/>
        <w:spacing w:after="0"/>
        <w:tabs>
          <w:tab w:leader="none" w:pos="1440" w:val="left"/>
          <w:tab w:leader="none" w:pos="7720" w:val="left"/>
        </w:tabs>
        <w:rPr>
          <w:rFonts w:ascii="Arial" w:cs="Arial" w:eastAsia="Arial" w:hAnsi="Arial"/>
          <w:sz w:val="26"/>
          <w:szCs w:val="26"/>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26"/>
          <w:szCs w:val="26"/>
          <w:color w:val="auto"/>
          <w:vertAlign w:val="subscript"/>
        </w:rPr>
        <w:t>yes/no</w:t>
      </w:r>
      <w:hyperlink w:anchor="page184">
        <w:r>
          <w:rPr>
            <w:rFonts w:ascii="Arial" w:cs="Arial" w:eastAsia="Arial" w:hAnsi="Arial"/>
            <w:sz w:val="13"/>
            <w:szCs w:val="13"/>
            <w:u w:val="single" w:color="auto"/>
            <w:color w:val="0000EE"/>
          </w:rPr>
          <w:t>3</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0" w:hanging="592"/>
        <w:spacing w:after="0"/>
        <w:tabs>
          <w:tab w:leader="none" w:pos="860"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Occupancy Rate</w:t>
      </w:r>
    </w:p>
    <w:p>
      <w:pPr>
        <w:spacing w:after="0" w:line="104" w:lineRule="exact"/>
        <w:rPr>
          <w:sz w:val="20"/>
          <w:szCs w:val="20"/>
          <w:color w:val="auto"/>
        </w:rPr>
      </w:pPr>
    </w:p>
    <w:p>
      <w:pPr>
        <w:ind w:left="860"/>
        <w:spacing w:after="0"/>
        <w:tabs>
          <w:tab w:leader="none" w:pos="1440" w:val="left"/>
          <w:tab w:leader="none" w:pos="78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Aggregate Occupancy Rate of Eligible Properties</w:t>
      </w:r>
      <w:r>
        <w:rPr>
          <w:sz w:val="20"/>
          <w:szCs w:val="20"/>
          <w:color w:val="auto"/>
        </w:rPr>
        <w:tab/>
      </w:r>
      <w:r>
        <w:rPr>
          <w:rFonts w:ascii="Arial" w:cs="Arial" w:eastAsia="Arial" w:hAnsi="Arial"/>
          <w:sz w:val="17"/>
          <w:szCs w:val="17"/>
          <w:color w:val="auto"/>
        </w:rPr>
        <w:t>__%</w:t>
      </w:r>
    </w:p>
    <w:p>
      <w:pPr>
        <w:spacing w:after="0" w:line="302" w:lineRule="exact"/>
        <w:rPr>
          <w:sz w:val="20"/>
          <w:szCs w:val="20"/>
          <w:color w:val="auto"/>
        </w:rPr>
      </w:pPr>
    </w:p>
    <w:p>
      <w:pPr>
        <w:ind w:left="1460" w:hanging="598"/>
        <w:spacing w:after="0"/>
        <w:tabs>
          <w:tab w:leader="none" w:pos="14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Line G1 shall not be less than 85%</w:t>
      </w:r>
    </w:p>
    <w:p>
      <w:pPr>
        <w:spacing w:after="0" w:line="302" w:lineRule="exact"/>
        <w:rPr>
          <w:sz w:val="20"/>
          <w:szCs w:val="20"/>
          <w:color w:val="auto"/>
        </w:rPr>
      </w:pPr>
    </w:p>
    <w:p>
      <w:pPr>
        <w:ind w:left="860"/>
        <w:spacing w:after="0"/>
        <w:tabs>
          <w:tab w:leader="none" w:pos="1440" w:val="left"/>
          <w:tab w:leader="none" w:pos="77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0" w:lineRule="exact"/>
        <w:rPr>
          <w:sz w:val="20"/>
          <w:szCs w:val="20"/>
          <w:color w:val="auto"/>
        </w:rPr>
      </w:pPr>
    </w:p>
    <w:p>
      <w:pPr>
        <w:spacing w:after="0" w:line="233" w:lineRule="exact"/>
        <w:rPr>
          <w:sz w:val="20"/>
          <w:szCs w:val="20"/>
          <w:color w:val="auto"/>
        </w:rPr>
      </w:pPr>
    </w:p>
    <w:p>
      <w:pPr>
        <w:ind w:left="860" w:hanging="592"/>
        <w:spacing w:after="0"/>
        <w:tabs>
          <w:tab w:leader="none" w:pos="860" w:val="left"/>
        </w:tabs>
        <w:numPr>
          <w:ilvl w:val="0"/>
          <w:numId w:val="184"/>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MSA</w:t>
      </w:r>
      <w:hyperlink w:anchor="page184">
        <w:r>
          <w:rPr>
            <w:rFonts w:ascii="Arial" w:cs="Arial" w:eastAsia="Arial" w:hAnsi="Arial"/>
            <w:sz w:val="32"/>
            <w:szCs w:val="32"/>
            <w:u w:val="single" w:color="auto"/>
            <w:color w:val="0000EE"/>
            <w:vertAlign w:val="superscript"/>
          </w:rPr>
          <w:t>4</w:t>
        </w:r>
      </w:hyperlink>
    </w:p>
    <w:tbl>
      <w:tblPr>
        <w:tblLayout w:type="fixed"/>
        <w:tblInd w:w="860" w:type="dxa"/>
        <w:tblCellMar>
          <w:top w:w="0" w:type="dxa"/>
          <w:left w:w="0" w:type="dxa"/>
          <w:bottom w:w="0" w:type="dxa"/>
          <w:right w:w="0" w:type="dxa"/>
        </w:tblCellMar>
      </w:tblPr>
      <w:tr>
        <w:trPr>
          <w:trHeight w:val="219"/>
        </w:trPr>
        <w:tc>
          <w:tcPr>
            <w:tcW w:w="380" w:type="dxa"/>
            <w:vAlign w:val="bottom"/>
          </w:tcPr>
          <w:p>
            <w:pPr>
              <w:jc w:val="right"/>
              <w:ind w:right="121"/>
              <w:spacing w:after="0" w:line="219" w:lineRule="exact"/>
              <w:rPr>
                <w:sz w:val="20"/>
                <w:szCs w:val="20"/>
                <w:color w:val="auto"/>
              </w:rPr>
            </w:pPr>
            <w:r>
              <w:rPr>
                <w:rFonts w:ascii="Arial" w:cs="Arial" w:eastAsia="Arial" w:hAnsi="Arial"/>
                <w:sz w:val="20"/>
                <w:szCs w:val="20"/>
                <w:color w:val="auto"/>
                <w:w w:val="83"/>
              </w:rPr>
              <w:t>1.</w:t>
            </w:r>
          </w:p>
        </w:tc>
        <w:tc>
          <w:tcPr>
            <w:tcW w:w="6080" w:type="dxa"/>
            <w:vAlign w:val="bottom"/>
          </w:tcPr>
          <w:p>
            <w:pPr>
              <w:ind w:left="220"/>
              <w:spacing w:after="0" w:line="219" w:lineRule="exact"/>
              <w:rPr>
                <w:sz w:val="20"/>
                <w:szCs w:val="20"/>
                <w:color w:val="auto"/>
              </w:rPr>
            </w:pPr>
            <w:r>
              <w:rPr>
                <w:rFonts w:ascii="Arial" w:cs="Arial" w:eastAsia="Arial" w:hAnsi="Arial"/>
                <w:sz w:val="20"/>
                <w:szCs w:val="20"/>
                <w:color w:val="auto"/>
                <w:w w:val="99"/>
              </w:rPr>
              <w:t>Percent of Borrowing Base Value attributable to Eligible Properties</w:t>
            </w:r>
          </w:p>
        </w:tc>
        <w:tc>
          <w:tcPr>
            <w:tcW w:w="900" w:type="dxa"/>
            <w:vAlign w:val="bottom"/>
          </w:tcPr>
          <w:p>
            <w:pPr>
              <w:jc w:val="right"/>
              <w:spacing w:after="0" w:line="219" w:lineRule="exact"/>
              <w:rPr>
                <w:sz w:val="20"/>
                <w:szCs w:val="20"/>
                <w:color w:val="auto"/>
              </w:rPr>
            </w:pPr>
            <w:r>
              <w:rPr>
                <w:rFonts w:ascii="Arial" w:cs="Arial" w:eastAsia="Arial" w:hAnsi="Arial"/>
                <w:sz w:val="20"/>
                <w:szCs w:val="20"/>
                <w:color w:val="auto"/>
              </w:rPr>
              <w:t>__%</w:t>
            </w:r>
          </w:p>
        </w:tc>
      </w:tr>
      <w:tr>
        <w:trPr>
          <w:trHeight w:val="250"/>
        </w:trPr>
        <w:tc>
          <w:tcPr>
            <w:tcW w:w="380" w:type="dxa"/>
            <w:vAlign w:val="bottom"/>
          </w:tcPr>
          <w:p>
            <w:pPr>
              <w:spacing w:after="0"/>
              <w:rPr>
                <w:sz w:val="21"/>
                <w:szCs w:val="21"/>
                <w:color w:val="auto"/>
              </w:rPr>
            </w:pPr>
          </w:p>
        </w:tc>
        <w:tc>
          <w:tcPr>
            <w:tcW w:w="6080" w:type="dxa"/>
            <w:vAlign w:val="bottom"/>
          </w:tcPr>
          <w:p>
            <w:pPr>
              <w:ind w:left="220"/>
              <w:spacing w:after="0"/>
              <w:rPr>
                <w:sz w:val="20"/>
                <w:szCs w:val="20"/>
                <w:color w:val="auto"/>
              </w:rPr>
            </w:pPr>
            <w:r>
              <w:rPr>
                <w:rFonts w:ascii="Arial" w:cs="Arial" w:eastAsia="Arial" w:hAnsi="Arial"/>
                <w:sz w:val="20"/>
                <w:szCs w:val="20"/>
                <w:color w:val="auto"/>
              </w:rPr>
              <w:t>in [________] MSA</w:t>
            </w:r>
          </w:p>
        </w:tc>
        <w:tc>
          <w:tcPr>
            <w:tcW w:w="900" w:type="dxa"/>
            <w:vAlign w:val="bottom"/>
          </w:tcPr>
          <w:p>
            <w:pPr>
              <w:spacing w:after="0"/>
              <w:rPr>
                <w:sz w:val="21"/>
                <w:szCs w:val="21"/>
                <w:color w:val="auto"/>
              </w:rPr>
            </w:pPr>
          </w:p>
        </w:tc>
      </w:tr>
    </w:tbl>
    <w:p>
      <w:pPr>
        <w:spacing w:after="0" w:line="84" w:lineRule="exact"/>
        <w:rPr>
          <w:sz w:val="20"/>
          <w:szCs w:val="20"/>
          <w:color w:val="auto"/>
        </w:rPr>
      </w:pPr>
    </w:p>
    <w:p>
      <w:pPr>
        <w:ind w:left="1460" w:hanging="598"/>
        <w:spacing w:after="0"/>
        <w:tabs>
          <w:tab w:leader="none" w:pos="14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Line H1 shall not be greater than 35%</w:t>
      </w:r>
    </w:p>
    <w:p>
      <w:pPr>
        <w:spacing w:after="0" w:line="302" w:lineRule="exact"/>
        <w:rPr>
          <w:sz w:val="20"/>
          <w:szCs w:val="20"/>
          <w:color w:val="auto"/>
        </w:rPr>
      </w:pPr>
    </w:p>
    <w:p>
      <w:pPr>
        <w:ind w:left="860"/>
        <w:spacing w:after="0"/>
        <w:tabs>
          <w:tab w:leader="none" w:pos="1440" w:val="left"/>
          <w:tab w:leader="none" w:pos="776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20"/>
          <w:szCs w:val="20"/>
          <w:color w:val="auto"/>
        </w:rPr>
        <w:t>The Borrower is in compliance (circle yes or no)</w:t>
      </w:r>
      <w:r>
        <w:rPr>
          <w:sz w:val="20"/>
          <w:szCs w:val="20"/>
          <w:color w:val="auto"/>
        </w:rPr>
        <w:tab/>
      </w:r>
      <w:r>
        <w:rPr>
          <w:rFonts w:ascii="Arial" w:cs="Arial" w:eastAsia="Arial" w:hAnsi="Arial"/>
          <w:sz w:val="17"/>
          <w:szCs w:val="17"/>
          <w:color w:val="auto"/>
        </w:rPr>
        <w:t>yes/no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431800</wp:posOffset>
            </wp:positionV>
            <wp:extent cx="1367155"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5">
                      <a:extLst>
                        <a:ext uri="{28A0092B-C50C-407E-A947-70E740481C1C}"/>
                      </a:extLst>
                    </a:blip>
                    <a:srcRect/>
                    <a:stretch>
                      <a:fillRect/>
                    </a:stretch>
                  </pic:blipFill>
                  <pic:spPr bwMode="auto">
                    <a:xfrm>
                      <a:off x="0" y="0"/>
                      <a:ext cx="1367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16"/>
          <w:szCs w:val="16"/>
          <w:color w:val="auto"/>
        </w:rPr>
        <w:t>3 If applicable, the calculation of Borrowing Base Value includes an adjustment to exclude that portion of the Property NOI or book value of any Permitted Ground Lease Investments attributable to any Permitted Ground Lease Investments to the extent it exceeds the 35% concentration limit.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 To be duplicated for each MSA with Eligible Properties.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590550</wp:posOffset>
            </wp:positionV>
            <wp:extent cx="5461635" cy="1587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6">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LPINE </w:t>
      </w:r>
      <w:r>
        <w:rPr>
          <w:rFonts w:ascii="Arial" w:cs="Arial" w:eastAsia="Arial" w:hAnsi="Arial"/>
          <w:sz w:val="19"/>
          <w:szCs w:val="19"/>
          <w:b w:val="1"/>
          <w:bCs w:val="1"/>
          <w:color w:val="auto"/>
        </w:rPr>
        <w:t>I</w:t>
      </w:r>
      <w:r>
        <w:rPr>
          <w:rFonts w:ascii="Arial" w:cs="Arial" w:eastAsia="Arial" w:hAnsi="Arial"/>
          <w:sz w:val="14"/>
          <w:szCs w:val="14"/>
          <w:b w:val="1"/>
          <w:bCs w:val="1"/>
          <w:color w:val="auto"/>
        </w:rPr>
        <w:t xml:space="preserve">NCOME </w:t>
      </w:r>
      <w:r>
        <w:rPr>
          <w:rFonts w:ascii="Arial" w:cs="Arial" w:eastAsia="Arial" w:hAnsi="Arial"/>
          <w:sz w:val="19"/>
          <w:szCs w:val="19"/>
          <w:b w:val="1"/>
          <w:bCs w:val="1"/>
          <w:color w:val="auto"/>
        </w:rPr>
        <w:t>P</w:t>
      </w:r>
      <w:r>
        <w:rPr>
          <w:rFonts w:ascii="Arial" w:cs="Arial" w:eastAsia="Arial" w:hAnsi="Arial"/>
          <w:sz w:val="14"/>
          <w:szCs w:val="14"/>
          <w:b w:val="1"/>
          <w:bCs w:val="1"/>
          <w:color w:val="auto"/>
        </w:rPr>
        <w:t xml:space="preserve">ROPERTY </w:t>
      </w:r>
      <w:r>
        <w:rPr>
          <w:rFonts w:ascii="Arial" w:cs="Arial" w:eastAsia="Arial" w:hAnsi="Arial"/>
          <w:sz w:val="19"/>
          <w:szCs w:val="19"/>
          <w:b w:val="1"/>
          <w:bCs w:val="1"/>
          <w:color w:val="auto"/>
        </w:rPr>
        <w:t>OP, LP</w:t>
      </w:r>
    </w:p>
    <w:p>
      <w:pPr>
        <w:spacing w:after="0" w:line="4" w:lineRule="exact"/>
        <w:rPr>
          <w:sz w:val="20"/>
          <w:szCs w:val="20"/>
          <w:color w:val="auto"/>
        </w:rPr>
      </w:pPr>
    </w:p>
    <w:p>
      <w:pPr>
        <w:jc w:val="both"/>
        <w:ind w:left="200" w:right="219" w:firstLine="594"/>
        <w:spacing w:after="0" w:line="258" w:lineRule="auto"/>
        <w:rPr>
          <w:sz w:val="20"/>
          <w:szCs w:val="20"/>
          <w:color w:val="auto"/>
        </w:rPr>
      </w:pPr>
      <w:r>
        <w:rPr>
          <w:rFonts w:ascii="Arial" w:cs="Arial" w:eastAsia="Arial" w:hAnsi="Arial"/>
          <w:sz w:val="18"/>
          <w:szCs w:val="18"/>
          <w:color w:val="auto"/>
        </w:rPr>
        <w:t>This Exhibit B is attached to the Borrowing Base Certificate of Alpine Income Property OP, LP for the Borrowing Base Determination Date of __________ ___, 20__ and delivered to KeyBank National</w:t>
      </w:r>
    </w:p>
    <w:p>
      <w:pPr>
        <w:spacing w:after="0" w:line="1"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0"/>
          <w:szCs w:val="20"/>
          <w:color w:val="auto"/>
        </w:rPr>
        <w:t>Association, as Administrative Agent, and the Lenders party to the Credit Agreement dated September 30, 2021, as amended, referred to therein. The undersigned hereby certifies that the following is a true, correct and complete calculation of Debt Service Coverage Amount as of the Borrowing Base Determination Date set forth above:</w:t>
      </w:r>
    </w:p>
    <w:p>
      <w:pPr>
        <w:spacing w:after="0" w:line="394" w:lineRule="exact"/>
        <w:rPr>
          <w:sz w:val="20"/>
          <w:szCs w:val="20"/>
          <w:color w:val="auto"/>
        </w:rPr>
      </w:pPr>
    </w:p>
    <w:tbl>
      <w:tblPr>
        <w:tblLayout w:type="fixed"/>
        <w:tblInd w:w="210" w:type="dxa"/>
        <w:tblCellMar>
          <w:top w:w="0" w:type="dxa"/>
          <w:left w:w="0" w:type="dxa"/>
          <w:bottom w:w="0" w:type="dxa"/>
          <w:right w:w="0" w:type="dxa"/>
        </w:tblCellMar>
      </w:tblPr>
      <w:tr>
        <w:trPr>
          <w:trHeight w:val="198"/>
        </w:trPr>
        <w:tc>
          <w:tcPr>
            <w:tcW w:w="100" w:type="dxa"/>
            <w:vAlign w:val="bottom"/>
            <w:tcBorders>
              <w:top w:val="single" w:sz="8" w:color="auto"/>
              <w:left w:val="single" w:sz="8" w:color="auto"/>
            </w:tcBorders>
          </w:tcPr>
          <w:p>
            <w:pPr>
              <w:spacing w:after="0"/>
              <w:rPr>
                <w:sz w:val="17"/>
                <w:szCs w:val="17"/>
                <w:color w:val="auto"/>
              </w:rPr>
            </w:pPr>
          </w:p>
        </w:tc>
        <w:tc>
          <w:tcPr>
            <w:tcW w:w="26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LIGIBLE</w:t>
            </w:r>
            <w:r>
              <w:rPr>
                <w:rFonts w:ascii="Arial" w:cs="Arial" w:eastAsia="Arial" w:hAnsi="Arial"/>
                <w:sz w:val="20"/>
                <w:szCs w:val="20"/>
                <w:color w:val="auto"/>
              </w:rPr>
              <w:t xml:space="preserve"> P</w:t>
            </w:r>
            <w:r>
              <w:rPr>
                <w:rFonts w:ascii="Arial" w:cs="Arial" w:eastAsia="Arial" w:hAnsi="Arial"/>
                <w:sz w:val="13"/>
                <w:szCs w:val="13"/>
                <w:color w:val="auto"/>
              </w:rPr>
              <w:t>ROPERTIES</w:t>
            </w:r>
          </w:p>
        </w:tc>
        <w:tc>
          <w:tcPr>
            <w:tcW w:w="216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480" w:type="dxa"/>
            <w:vAlign w:val="bottom"/>
            <w:tcBorders>
              <w:top w:val="single" w:sz="8" w:color="auto"/>
              <w:right w:val="single" w:sz="8" w:color="auto"/>
            </w:tcBorders>
            <w:gridSpan w:val="4"/>
          </w:tcPr>
          <w:p>
            <w:pPr>
              <w:spacing w:after="0" w:line="198" w:lineRule="exact"/>
              <w:rPr>
                <w:sz w:val="20"/>
                <w:szCs w:val="20"/>
                <w:color w:val="auto"/>
              </w:rPr>
            </w:pPr>
            <w:r>
              <w:rPr>
                <w:rFonts w:ascii="Arial" w:cs="Arial" w:eastAsia="Arial" w:hAnsi="Arial"/>
                <w:sz w:val="20"/>
                <w:szCs w:val="20"/>
                <w:color w:val="auto"/>
              </w:rPr>
              <w:t>D</w:t>
            </w:r>
            <w:r>
              <w:rPr>
                <w:rFonts w:ascii="Arial" w:cs="Arial" w:eastAsia="Arial" w:hAnsi="Arial"/>
                <w:sz w:val="13"/>
                <w:szCs w:val="13"/>
                <w:color w:val="auto"/>
              </w:rPr>
              <w:t>EBT</w:t>
            </w:r>
            <w:r>
              <w:rPr>
                <w:rFonts w:ascii="Arial" w:cs="Arial" w:eastAsia="Arial" w:hAnsi="Arial"/>
                <w:sz w:val="20"/>
                <w:szCs w:val="20"/>
                <w:color w:val="auto"/>
              </w:rPr>
              <w:t xml:space="preserve"> S</w:t>
            </w:r>
            <w:r>
              <w:rPr>
                <w:rFonts w:ascii="Arial" w:cs="Arial" w:eastAsia="Arial" w:hAnsi="Arial"/>
                <w:sz w:val="13"/>
                <w:szCs w:val="13"/>
                <w:color w:val="auto"/>
              </w:rPr>
              <w:t>ERVICE</w:t>
            </w:r>
            <w:r>
              <w:rPr>
                <w:rFonts w:ascii="Arial" w:cs="Arial" w:eastAsia="Arial" w:hAnsi="Arial"/>
                <w:sz w:val="20"/>
                <w:szCs w:val="20"/>
                <w:color w:val="auto"/>
              </w:rPr>
              <w:t xml:space="preserve"> C</w:t>
            </w:r>
            <w:r>
              <w:rPr>
                <w:rFonts w:ascii="Arial" w:cs="Arial" w:eastAsia="Arial" w:hAnsi="Arial"/>
                <w:sz w:val="13"/>
                <w:szCs w:val="13"/>
                <w:color w:val="auto"/>
              </w:rPr>
              <w:t>OVERAGE</w:t>
            </w:r>
            <w:r>
              <w:rPr>
                <w:rFonts w:ascii="Arial" w:cs="Arial" w:eastAsia="Arial" w:hAnsi="Arial"/>
                <w:sz w:val="20"/>
                <w:szCs w:val="20"/>
                <w:color w:val="auto"/>
              </w:rPr>
              <w:t xml:space="preserve"> A</w:t>
            </w:r>
            <w:r>
              <w:rPr>
                <w:rFonts w:ascii="Arial" w:cs="Arial" w:eastAsia="Arial" w:hAnsi="Arial"/>
                <w:sz w:val="13"/>
                <w:szCs w:val="13"/>
                <w:color w:val="auto"/>
              </w:rPr>
              <w:t>MOUNT</w:t>
            </w:r>
          </w:p>
        </w:tc>
        <w:tc>
          <w:tcPr>
            <w:tcW w:w="140" w:type="dxa"/>
            <w:vAlign w:val="bottom"/>
          </w:tcPr>
          <w:p>
            <w:pPr>
              <w:spacing w:after="0"/>
              <w:rPr>
                <w:sz w:val="17"/>
                <w:szCs w:val="17"/>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Borders>
              <w:right w:val="single" w:sz="8" w:color="auto"/>
            </w:tcBorders>
            <w:gridSpan w:val="4"/>
          </w:tcPr>
          <w:p>
            <w:pPr>
              <w:spacing w:after="0" w:line="203" w:lineRule="exact"/>
              <w:rPr>
                <w:sz w:val="20"/>
                <w:szCs w:val="20"/>
                <w:color w:val="auto"/>
              </w:rPr>
            </w:pPr>
            <w:r>
              <w:rPr>
                <w:rFonts w:ascii="Arial" w:cs="Arial" w:eastAsia="Arial" w:hAnsi="Arial"/>
                <w:sz w:val="14"/>
                <w:szCs w:val="14"/>
                <w:color w:val="auto"/>
              </w:rPr>
              <w:t xml:space="preserve">AS </w:t>
            </w:r>
            <w:r>
              <w:rPr>
                <w:rFonts w:ascii="Arial" w:cs="Arial" w:eastAsia="Arial" w:hAnsi="Arial"/>
                <w:sz w:val="19"/>
                <w:szCs w:val="19"/>
                <w:color w:val="auto"/>
              </w:rPr>
              <w:t>C</w:t>
            </w:r>
            <w:r>
              <w:rPr>
                <w:rFonts w:ascii="Arial" w:cs="Arial" w:eastAsia="Arial" w:hAnsi="Arial"/>
                <w:sz w:val="14"/>
                <w:szCs w:val="14"/>
                <w:color w:val="auto"/>
              </w:rPr>
              <w:t xml:space="preserve">ALCULATED ON </w:t>
            </w:r>
            <w:r>
              <w:rPr>
                <w:rFonts w:ascii="Arial" w:cs="Arial" w:eastAsia="Arial" w:hAnsi="Arial"/>
                <w:sz w:val="19"/>
                <w:szCs w:val="19"/>
                <w:color w:val="auto"/>
              </w:rPr>
              <w:t>A</w:t>
            </w:r>
            <w:r>
              <w:rPr>
                <w:rFonts w:ascii="Arial" w:cs="Arial" w:eastAsia="Arial" w:hAnsi="Arial"/>
                <w:sz w:val="14"/>
                <w:szCs w:val="14"/>
                <w:color w:val="auto"/>
              </w:rPr>
              <w:t xml:space="preserve">NNEX </w:t>
            </w:r>
            <w:r>
              <w:rPr>
                <w:rFonts w:ascii="Arial" w:cs="Arial" w:eastAsia="Arial" w:hAnsi="Arial"/>
                <w:sz w:val="19"/>
                <w:szCs w:val="19"/>
                <w:color w:val="auto"/>
              </w:rPr>
              <w:t>I</w:t>
            </w:r>
            <w:r>
              <w:rPr>
                <w:rFonts w:ascii="Arial" w:cs="Arial" w:eastAsia="Arial" w:hAnsi="Arial"/>
                <w:sz w:val="14"/>
                <w:szCs w:val="14"/>
                <w:color w:val="auto"/>
              </w:rPr>
              <w:t xml:space="preserve"> TO THIS </w:t>
            </w:r>
            <w:r>
              <w:rPr>
                <w:rFonts w:ascii="Arial" w:cs="Arial" w:eastAsia="Arial" w:hAnsi="Arial"/>
                <w:sz w:val="19"/>
                <w:szCs w:val="19"/>
                <w:color w:val="auto"/>
              </w:rPr>
              <w:t>E</w:t>
            </w:r>
            <w:r>
              <w:rPr>
                <w:rFonts w:ascii="Arial" w:cs="Arial" w:eastAsia="Arial" w:hAnsi="Arial"/>
                <w:sz w:val="14"/>
                <w:szCs w:val="14"/>
                <w:color w:val="auto"/>
              </w:rPr>
              <w:t>XHIBIT</w:t>
            </w:r>
          </w:p>
        </w:tc>
        <w:tc>
          <w:tcPr>
            <w:tcW w:w="140" w:type="dxa"/>
            <w:vAlign w:val="bottom"/>
          </w:tcPr>
          <w:p>
            <w:pPr>
              <w:spacing w:after="0"/>
              <w:rPr>
                <w:sz w:val="17"/>
                <w:szCs w:val="17"/>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300" w:type="dxa"/>
            <w:vAlign w:val="bottom"/>
            <w:tcBorders>
              <w:top w:val="single" w:sz="8" w:color="auto"/>
            </w:tcBorders>
            <w:gridSpan w:val="3"/>
          </w:tcPr>
          <w:p>
            <w:pPr>
              <w:spacing w:after="0" w:line="203" w:lineRule="exact"/>
              <w:rPr>
                <w:sz w:val="20"/>
                <w:szCs w:val="20"/>
                <w:color w:val="auto"/>
              </w:rPr>
            </w:pPr>
            <w:r>
              <w:rPr>
                <w:rFonts w:ascii="Arial" w:cs="Arial" w:eastAsia="Arial" w:hAnsi="Arial"/>
                <w:sz w:val="20"/>
                <w:szCs w:val="20"/>
                <w:color w:val="auto"/>
              </w:rPr>
              <w:t>B</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2"/>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gridSpan w:val="3"/>
          </w:tcPr>
          <w:p>
            <w:pPr>
              <w:ind w:left="60"/>
              <w:spacing w:after="0" w:line="212" w:lineRule="exact"/>
              <w:rPr>
                <w:sz w:val="20"/>
                <w:szCs w:val="20"/>
                <w:color w:val="auto"/>
              </w:rPr>
            </w:pPr>
            <w:r>
              <w:rPr>
                <w:rFonts w:ascii="Arial" w:cs="Arial" w:eastAsia="Arial" w:hAnsi="Arial"/>
                <w:sz w:val="20"/>
                <w:szCs w:val="20"/>
                <w:color w:val="auto"/>
              </w:rPr>
              <w:t>$__________</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gridSpan w:val="3"/>
          </w:tcPr>
          <w:p>
            <w:pPr>
              <w:ind w:left="60"/>
              <w:spacing w:after="0" w:line="215" w:lineRule="exact"/>
              <w:rPr>
                <w:sz w:val="20"/>
                <w:szCs w:val="20"/>
                <w:color w:val="auto"/>
              </w:rPr>
            </w:pPr>
            <w:r>
              <w:rPr>
                <w:rFonts w:ascii="Arial" w:cs="Arial" w:eastAsia="Arial" w:hAnsi="Arial"/>
                <w:sz w:val="20"/>
                <w:szCs w:val="20"/>
                <w:color w:val="auto"/>
              </w:rPr>
              <w:t>$__________</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gridSpan w:val="3"/>
          </w:tcPr>
          <w:p>
            <w:pPr>
              <w:ind w:left="60"/>
              <w:spacing w:after="0" w:line="215" w:lineRule="exact"/>
              <w:rPr>
                <w:sz w:val="20"/>
                <w:szCs w:val="20"/>
                <w:color w:val="auto"/>
              </w:rPr>
            </w:pPr>
            <w:r>
              <w:rPr>
                <w:rFonts w:ascii="Arial" w:cs="Arial" w:eastAsia="Arial" w:hAnsi="Arial"/>
                <w:sz w:val="20"/>
                <w:szCs w:val="20"/>
                <w:color w:val="auto"/>
              </w:rPr>
              <w:t>$__________</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100" w:type="dxa"/>
            <w:vAlign w:val="bottom"/>
            <w:tcBorders>
              <w:left w:val="single" w:sz="8" w:color="auto"/>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gridSpan w:val="3"/>
          </w:tcPr>
          <w:p>
            <w:pPr>
              <w:ind w:left="60"/>
              <w:spacing w:after="0" w:line="215" w:lineRule="exact"/>
              <w:rPr>
                <w:sz w:val="20"/>
                <w:szCs w:val="20"/>
                <w:color w:val="auto"/>
              </w:rPr>
            </w:pPr>
            <w:r>
              <w:rPr>
                <w:rFonts w:ascii="Arial" w:cs="Arial" w:eastAsia="Arial" w:hAnsi="Arial"/>
                <w:sz w:val="20"/>
                <w:szCs w:val="20"/>
                <w:color w:val="auto"/>
              </w:rPr>
              <w:t>$__________</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446"/>
        </w:trPr>
        <w:tc>
          <w:tcPr>
            <w:tcW w:w="8600" w:type="dxa"/>
            <w:vAlign w:val="bottom"/>
            <w:gridSpan w:val="10"/>
          </w:tcPr>
          <w:p>
            <w:pP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OTAL</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EBT</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OVERAGE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MOUNT OF ALL</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LIGIBLE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ROPERTIES</w:t>
            </w:r>
            <w:r>
              <w:rPr>
                <w:rFonts w:ascii="Arial" w:cs="Arial" w:eastAsia="Arial" w:hAnsi="Arial"/>
                <w:sz w:val="20"/>
                <w:szCs w:val="20"/>
                <w:b w:val="1"/>
                <w:bCs w:val="1"/>
                <w:color w:val="auto"/>
              </w:rPr>
              <w:t>:  $__________</w:t>
            </w:r>
          </w:p>
        </w:tc>
      </w:tr>
      <w:tr>
        <w:trPr>
          <w:trHeight w:val="411"/>
        </w:trPr>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40" w:type="dxa"/>
            <w:vAlign w:val="bottom"/>
            <w:gridSpan w:val="7"/>
          </w:tcPr>
          <w:p>
            <w:pPr>
              <w:ind w:left="1120"/>
              <w:spacing w:after="0"/>
              <w:rPr>
                <w:sz w:val="20"/>
                <w:szCs w:val="20"/>
                <w:color w:val="auto"/>
              </w:rPr>
            </w:pPr>
            <w:r>
              <w:rPr>
                <w:rFonts w:ascii="Arial" w:cs="Arial" w:eastAsia="Arial" w:hAnsi="Arial"/>
                <w:sz w:val="16"/>
                <w:szCs w:val="16"/>
                <w:color w:val="auto"/>
              </w:rPr>
              <w:t>[Exhibit I-6]</w:t>
            </w:r>
          </w:p>
        </w:tc>
      </w:tr>
      <w:tr>
        <w:trPr>
          <w:trHeight w:val="922"/>
        </w:trPr>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32"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NNEX</w:t>
      </w:r>
      <w:r>
        <w:rPr>
          <w:rFonts w:ascii="Arial" w:cs="Arial" w:eastAsia="Arial" w:hAnsi="Arial"/>
          <w:sz w:val="20"/>
          <w:szCs w:val="20"/>
          <w:b w:val="1"/>
          <w:bCs w:val="1"/>
          <w:color w:val="auto"/>
        </w:rPr>
        <w:t xml:space="preserve"> I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 </w:t>
      </w:r>
      <w:r>
        <w:rPr>
          <w:rFonts w:ascii="Arial" w:cs="Arial" w:eastAsia="Arial" w:hAnsi="Arial"/>
          <w:sz w:val="13"/>
          <w:szCs w:val="13"/>
          <w:b w:val="1"/>
          <w:bCs w:val="1"/>
          <w:color w:val="auto"/>
        </w:rPr>
        <w:t>TO</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ORROWING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ASE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ERTIFICATE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9"/>
          <w:szCs w:val="19"/>
          <w:b w:val="1"/>
          <w:bCs w:val="1"/>
          <w:color w:val="auto"/>
        </w:rPr>
        <w:t>A</w:t>
      </w:r>
      <w:r>
        <w:rPr>
          <w:rFonts w:ascii="Arial" w:cs="Arial" w:eastAsia="Arial" w:hAnsi="Arial"/>
          <w:sz w:val="14"/>
          <w:szCs w:val="14"/>
          <w:b w:val="1"/>
          <w:bCs w:val="1"/>
          <w:color w:val="auto"/>
        </w:rPr>
        <w:t xml:space="preserve">LPINE </w:t>
      </w:r>
      <w:r>
        <w:rPr>
          <w:rFonts w:ascii="Arial" w:cs="Arial" w:eastAsia="Arial" w:hAnsi="Arial"/>
          <w:sz w:val="19"/>
          <w:szCs w:val="19"/>
          <w:b w:val="1"/>
          <w:bCs w:val="1"/>
          <w:color w:val="auto"/>
        </w:rPr>
        <w:t>I</w:t>
      </w:r>
      <w:r>
        <w:rPr>
          <w:rFonts w:ascii="Arial" w:cs="Arial" w:eastAsia="Arial" w:hAnsi="Arial"/>
          <w:sz w:val="14"/>
          <w:szCs w:val="14"/>
          <w:b w:val="1"/>
          <w:bCs w:val="1"/>
          <w:color w:val="auto"/>
        </w:rPr>
        <w:t xml:space="preserve">NCOME </w:t>
      </w:r>
      <w:r>
        <w:rPr>
          <w:rFonts w:ascii="Arial" w:cs="Arial" w:eastAsia="Arial" w:hAnsi="Arial"/>
          <w:sz w:val="19"/>
          <w:szCs w:val="19"/>
          <w:b w:val="1"/>
          <w:bCs w:val="1"/>
          <w:color w:val="auto"/>
        </w:rPr>
        <w:t>P</w:t>
      </w:r>
      <w:r>
        <w:rPr>
          <w:rFonts w:ascii="Arial" w:cs="Arial" w:eastAsia="Arial" w:hAnsi="Arial"/>
          <w:sz w:val="14"/>
          <w:szCs w:val="14"/>
          <w:b w:val="1"/>
          <w:bCs w:val="1"/>
          <w:color w:val="auto"/>
        </w:rPr>
        <w:t xml:space="preserve">ROPERTY </w:t>
      </w:r>
      <w:r>
        <w:rPr>
          <w:rFonts w:ascii="Arial" w:cs="Arial" w:eastAsia="Arial" w:hAnsi="Arial"/>
          <w:sz w:val="19"/>
          <w:szCs w:val="19"/>
          <w:b w:val="1"/>
          <w:bCs w:val="1"/>
          <w:color w:val="auto"/>
        </w:rPr>
        <w:t>OP, LP</w:t>
      </w:r>
    </w:p>
    <w:p>
      <w:pPr>
        <w:spacing w:after="0" w:line="211" w:lineRule="exact"/>
        <w:rPr>
          <w:sz w:val="20"/>
          <w:szCs w:val="20"/>
          <w:color w:val="auto"/>
        </w:rPr>
      </w:pPr>
    </w:p>
    <w:p>
      <w:pPr>
        <w:ind w:left="200" w:right="219"/>
        <w:spacing w:after="0" w:line="253" w:lineRule="auto"/>
        <w:rPr>
          <w:sz w:val="20"/>
          <w:szCs w:val="20"/>
          <w:color w:val="auto"/>
        </w:rPr>
      </w:pPr>
      <w:r>
        <w:rPr>
          <w:rFonts w:ascii="Arial" w:cs="Arial" w:eastAsia="Arial" w:hAnsi="Arial"/>
          <w:sz w:val="20"/>
          <w:szCs w:val="20"/>
          <w:color w:val="auto"/>
        </w:rPr>
        <w:t>[Borrower to Insert Calculation of Debt Service Coverage Amount for each Eligible Property with concentration limit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590550</wp:posOffset>
            </wp:positionV>
            <wp:extent cx="5461635" cy="2349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86" w:name="page187"/>
    <w:bookmarkEnd w:id="186"/>
    <w:tbl>
      <w:tblPr>
        <w:tblLayout w:type="fixed"/>
        <w:tblInd w:w="1880" w:type="dxa"/>
        <w:tblCellMar>
          <w:top w:w="0" w:type="dxa"/>
          <w:left w:w="0" w:type="dxa"/>
          <w:bottom w:w="0" w:type="dxa"/>
          <w:right w:w="0" w:type="dxa"/>
        </w:tblCellMar>
      </w:tblPr>
      <w:tr>
        <w:trPr>
          <w:trHeight w:val="256"/>
        </w:trPr>
        <w:tc>
          <w:tcPr>
            <w:tcW w:w="3280" w:type="dxa"/>
            <w:vAlign w:val="bottom"/>
          </w:tcPr>
          <w:p>
            <w:pPr>
              <w:jc w:val="center"/>
              <w:ind w:left="1861"/>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I</w:t>
            </w: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46"/>
        </w:trPr>
        <w:tc>
          <w:tcPr>
            <w:tcW w:w="3280" w:type="dxa"/>
            <w:vAlign w:val="bottom"/>
          </w:tcPr>
          <w:p>
            <w:pPr>
              <w:jc w:val="center"/>
              <w:ind w:left="1881"/>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OMMITMENTS</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46"/>
        </w:trPr>
        <w:tc>
          <w:tcPr>
            <w:tcW w:w="3280" w:type="dxa"/>
            <w:vAlign w:val="bottom"/>
          </w:tcPr>
          <w:p>
            <w:pPr>
              <w:jc w:val="center"/>
              <w:ind w:right="641"/>
              <w:spacing w:after="0"/>
              <w:rPr>
                <w:sz w:val="20"/>
                <w:szCs w:val="20"/>
                <w:color w:val="auto"/>
              </w:rPr>
            </w:pPr>
            <w:r>
              <w:rPr>
                <w:rFonts w:ascii="Arial" w:cs="Arial" w:eastAsia="Arial" w:hAnsi="Arial"/>
                <w:sz w:val="20"/>
                <w:szCs w:val="20"/>
                <w:color w:val="auto"/>
              </w:rPr>
              <w:t>N</w:t>
            </w:r>
            <w:r>
              <w:rPr>
                <w:rFonts w:ascii="Arial" w:cs="Arial" w:eastAsia="Arial" w:hAnsi="Arial"/>
                <w:sz w:val="13"/>
                <w:szCs w:val="13"/>
                <w:color w:val="auto"/>
              </w:rPr>
              <w:t>AME OF</w:t>
            </w:r>
            <w:r>
              <w:rPr>
                <w:rFonts w:ascii="Arial" w:cs="Arial" w:eastAsia="Arial" w:hAnsi="Arial"/>
                <w:sz w:val="20"/>
                <w:szCs w:val="20"/>
                <w:color w:val="auto"/>
              </w:rPr>
              <w:t xml:space="preserve"> L</w:t>
            </w:r>
            <w:r>
              <w:rPr>
                <w:rFonts w:ascii="Arial" w:cs="Arial" w:eastAsia="Arial" w:hAnsi="Arial"/>
                <w:sz w:val="13"/>
                <w:szCs w:val="13"/>
                <w:color w:val="auto"/>
              </w:rPr>
              <w:t>ENDER</w:t>
            </w:r>
          </w:p>
        </w:tc>
        <w:tc>
          <w:tcPr>
            <w:tcW w:w="2000" w:type="dxa"/>
            <w:vAlign w:val="bottom"/>
            <w:gridSpan w:val="3"/>
          </w:tcPr>
          <w:p>
            <w:pPr>
              <w:ind w:left="100"/>
              <w:spacing w:after="0"/>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ERM</w:t>
            </w:r>
            <w:r>
              <w:rPr>
                <w:rFonts w:ascii="Arial" w:cs="Arial" w:eastAsia="Arial" w:hAnsi="Arial"/>
                <w:sz w:val="20"/>
                <w:szCs w:val="20"/>
                <w:color w:val="auto"/>
              </w:rPr>
              <w:t xml:space="preserve"> L</w:t>
            </w:r>
            <w:r>
              <w:rPr>
                <w:rFonts w:ascii="Arial" w:cs="Arial" w:eastAsia="Arial" w:hAnsi="Arial"/>
                <w:sz w:val="13"/>
                <w:szCs w:val="13"/>
                <w:color w:val="auto"/>
              </w:rPr>
              <w:t>OAN</w:t>
            </w:r>
            <w:r>
              <w:rPr>
                <w:rFonts w:ascii="Arial" w:cs="Arial" w:eastAsia="Arial" w:hAnsi="Arial"/>
                <w:sz w:val="20"/>
                <w:szCs w:val="20"/>
                <w:color w:val="auto"/>
              </w:rPr>
              <w:t xml:space="preserve"> C</w:t>
            </w:r>
            <w:r>
              <w:rPr>
                <w:rFonts w:ascii="Arial" w:cs="Arial" w:eastAsia="Arial" w:hAnsi="Arial"/>
                <w:sz w:val="13"/>
                <w:szCs w:val="13"/>
                <w:color w:val="auto"/>
              </w:rPr>
              <w:t>OMMITMENT</w:t>
            </w:r>
          </w:p>
        </w:tc>
      </w:tr>
      <w:tr>
        <w:trPr>
          <w:trHeight w:val="656"/>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92"/>
              </w:rPr>
              <w:t>KeyBank National Association</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8"/>
              </w:rPr>
              <w:t>$18,333,334</w:t>
            </w:r>
          </w:p>
        </w:tc>
        <w:tc>
          <w:tcPr>
            <w:tcW w:w="500" w:type="dxa"/>
            <w:vAlign w:val="bottom"/>
          </w:tcPr>
          <w:p>
            <w:pPr>
              <w:spacing w:after="0"/>
              <w:rPr>
                <w:sz w:val="24"/>
                <w:szCs w:val="24"/>
                <w:color w:val="auto"/>
              </w:rPr>
            </w:pPr>
          </w:p>
        </w:tc>
      </w:tr>
      <w:tr>
        <w:trPr>
          <w:trHeight w:val="458"/>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88"/>
              </w:rPr>
              <w:t>Regions Bank</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8"/>
              </w:rPr>
              <w:t>$18,333,333</w:t>
            </w:r>
          </w:p>
        </w:tc>
        <w:tc>
          <w:tcPr>
            <w:tcW w:w="500" w:type="dxa"/>
            <w:vAlign w:val="bottom"/>
          </w:tcPr>
          <w:p>
            <w:pPr>
              <w:spacing w:after="0"/>
              <w:rPr>
                <w:sz w:val="24"/>
                <w:szCs w:val="24"/>
                <w:color w:val="auto"/>
              </w:rPr>
            </w:pPr>
          </w:p>
        </w:tc>
      </w:tr>
      <w:tr>
        <w:trPr>
          <w:trHeight w:val="507"/>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91"/>
              </w:rPr>
              <w:t>U.S. Bank National Association</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8"/>
              </w:rPr>
              <w:t>$18,333,333</w:t>
            </w:r>
          </w:p>
        </w:tc>
        <w:tc>
          <w:tcPr>
            <w:tcW w:w="500" w:type="dxa"/>
            <w:vAlign w:val="bottom"/>
          </w:tcPr>
          <w:p>
            <w:pPr>
              <w:spacing w:after="0"/>
              <w:rPr>
                <w:sz w:val="24"/>
                <w:szCs w:val="24"/>
                <w:color w:val="auto"/>
              </w:rPr>
            </w:pPr>
          </w:p>
        </w:tc>
      </w:tr>
      <w:tr>
        <w:trPr>
          <w:trHeight w:val="458"/>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93"/>
              </w:rPr>
              <w:t>Bank of Montreal</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8"/>
              </w:rPr>
              <w:t>$10,000,000</w:t>
            </w:r>
          </w:p>
        </w:tc>
        <w:tc>
          <w:tcPr>
            <w:tcW w:w="500" w:type="dxa"/>
            <w:vAlign w:val="bottom"/>
          </w:tcPr>
          <w:p>
            <w:pPr>
              <w:spacing w:after="0"/>
              <w:rPr>
                <w:sz w:val="24"/>
                <w:szCs w:val="24"/>
                <w:color w:val="auto"/>
              </w:rPr>
            </w:pPr>
          </w:p>
        </w:tc>
      </w:tr>
      <w:tr>
        <w:trPr>
          <w:trHeight w:val="458"/>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88"/>
              </w:rPr>
              <w:t>Raymond James Bank</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8"/>
              </w:rPr>
              <w:t>$10,000,000</w:t>
            </w:r>
          </w:p>
        </w:tc>
        <w:tc>
          <w:tcPr>
            <w:tcW w:w="500" w:type="dxa"/>
            <w:vAlign w:val="bottom"/>
          </w:tcPr>
          <w:p>
            <w:pPr>
              <w:spacing w:after="0"/>
              <w:rPr>
                <w:sz w:val="24"/>
                <w:szCs w:val="24"/>
                <w:color w:val="auto"/>
              </w:rPr>
            </w:pPr>
          </w:p>
        </w:tc>
      </w:tr>
      <w:tr>
        <w:trPr>
          <w:trHeight w:val="458"/>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92"/>
              </w:rPr>
              <w:t>The Huntington National Bank</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$5,000,000</w:t>
            </w:r>
          </w:p>
        </w:tc>
        <w:tc>
          <w:tcPr>
            <w:tcW w:w="500" w:type="dxa"/>
            <w:vAlign w:val="bottom"/>
          </w:tcPr>
          <w:p>
            <w:pPr>
              <w:spacing w:after="0"/>
              <w:rPr>
                <w:sz w:val="24"/>
                <w:szCs w:val="24"/>
                <w:color w:val="auto"/>
              </w:rPr>
            </w:pPr>
          </w:p>
        </w:tc>
      </w:tr>
      <w:tr>
        <w:trPr>
          <w:trHeight w:val="412"/>
        </w:trPr>
        <w:tc>
          <w:tcPr>
            <w:tcW w:w="3280" w:type="dxa"/>
            <w:vAlign w:val="bottom"/>
          </w:tcPr>
          <w:p>
            <w:pPr>
              <w:jc w:val="center"/>
              <w:ind w:right="641"/>
              <w:spacing w:after="0"/>
              <w:rPr>
                <w:sz w:val="20"/>
                <w:szCs w:val="20"/>
                <w:color w:val="auto"/>
              </w:rPr>
            </w:pPr>
            <w:r>
              <w:rPr>
                <w:rFonts w:ascii="Arial" w:cs="Arial" w:eastAsia="Arial" w:hAnsi="Arial"/>
                <w:sz w:val="20"/>
                <w:szCs w:val="20"/>
                <w:color w:val="auto"/>
                <w:w w:val="99"/>
              </w:rPr>
              <w:t>T</w:t>
            </w:r>
            <w:r>
              <w:rPr>
                <w:rFonts w:ascii="Arial" w:cs="Arial" w:eastAsia="Arial" w:hAnsi="Arial"/>
                <w:sz w:val="13"/>
                <w:szCs w:val="13"/>
                <w:color w:val="auto"/>
                <w:w w:val="99"/>
              </w:rPr>
              <w:t>OTAL</w:t>
            </w:r>
          </w:p>
        </w:tc>
        <w:tc>
          <w:tcPr>
            <w:tcW w:w="1500" w:type="dxa"/>
            <w:vAlign w:val="bottom"/>
            <w:gridSpan w:val="2"/>
          </w:tcPr>
          <w:p>
            <w:pPr>
              <w:jc w:val="center"/>
              <w:ind w:left="421"/>
              <w:spacing w:after="0"/>
              <w:rPr>
                <w:sz w:val="20"/>
                <w:szCs w:val="20"/>
                <w:color w:val="auto"/>
              </w:rPr>
            </w:pPr>
            <w:r>
              <w:rPr>
                <w:rFonts w:ascii="Arial" w:cs="Arial" w:eastAsia="Arial" w:hAnsi="Arial"/>
                <w:sz w:val="20"/>
                <w:szCs w:val="20"/>
                <w:u w:val="single" w:color="auto"/>
                <w:color w:val="auto"/>
                <w:w w:val="88"/>
              </w:rPr>
              <w:t>$</w:t>
            </w:r>
            <w:r>
              <w:rPr>
                <w:rFonts w:ascii="Arial" w:cs="Arial" w:eastAsia="Arial" w:hAnsi="Arial"/>
                <w:sz w:val="20"/>
                <w:szCs w:val="20"/>
                <w:color w:val="auto"/>
                <w:w w:val="88"/>
              </w:rPr>
              <w:t>80,000,000</w:t>
            </w:r>
          </w:p>
        </w:tc>
        <w:tc>
          <w:tcPr>
            <w:tcW w:w="500" w:type="dxa"/>
            <w:vAlign w:val="bottom"/>
          </w:tcPr>
          <w:p>
            <w:pPr>
              <w:spacing w:after="0"/>
              <w:rPr>
                <w:sz w:val="24"/>
                <w:szCs w:val="24"/>
                <w:color w:val="auto"/>
              </w:rPr>
            </w:pPr>
          </w:p>
        </w:tc>
      </w:tr>
      <w:tr>
        <w:trPr>
          <w:trHeight w:val="25"/>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1.1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NITIAL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ROPERTIES</w:t>
      </w: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458"/>
        </w:trPr>
        <w:tc>
          <w:tcPr>
            <w:tcW w:w="120" w:type="dxa"/>
            <w:vAlign w:val="bottom"/>
            <w:tcBorders>
              <w:right w:val="single" w:sz="8" w:color="auto"/>
            </w:tcBorders>
          </w:tcPr>
          <w:p>
            <w:pPr>
              <w:spacing w:after="0"/>
              <w:rPr>
                <w:sz w:val="24"/>
                <w:szCs w:val="24"/>
                <w:color w:val="auto"/>
              </w:rPr>
            </w:pP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Tenant (DBA)</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City, State</w:t>
            </w:r>
          </w:p>
        </w:tc>
        <w:tc>
          <w:tcPr>
            <w:tcW w:w="1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20"/>
                <w:szCs w:val="20"/>
                <w:b w:val="1"/>
                <w:bCs w:val="1"/>
                <w:color w:val="auto"/>
                <w:w w:val="97"/>
              </w:rPr>
              <w:t>Square Feet</w:t>
            </w:r>
          </w:p>
        </w:tc>
        <w:tc>
          <w:tcPr>
            <w:tcW w:w="220" w:type="dxa"/>
            <w:vAlign w:val="bottom"/>
            <w:tcBorders>
              <w:top w:val="single" w:sz="8" w:color="auto"/>
              <w:bottom w:val="single" w:sz="8" w:color="auto"/>
              <w:right w:val="single" w:sz="8" w:color="auto"/>
            </w:tcBorders>
          </w:tcPr>
          <w:p>
            <w:pPr>
              <w:spacing w:after="0"/>
              <w:rPr>
                <w:sz w:val="24"/>
                <w:szCs w:val="24"/>
                <w:color w:val="auto"/>
              </w:rPr>
            </w:pPr>
          </w:p>
        </w:tc>
      </w:tr>
      <w:tr>
        <w:trPr>
          <w:trHeight w:val="436"/>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93"/>
              </w:rPr>
              <w:t>LA Fitness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Brandon,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45,000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89"/>
              </w:rPr>
              <w:t>JoAnn Fabrics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Saugus, Massachusetts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22,500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89"/>
              </w:rPr>
              <w:t>Century Theater</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Reno, Nevada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52,474</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At Home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Raleigh, North Carolina</w:t>
            </w:r>
          </w:p>
        </w:tc>
        <w:tc>
          <w:tcPr>
            <w:tcW w:w="14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8"/>
              </w:rPr>
              <w:t>116,334</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91"/>
              </w:rPr>
              <w:t>Dick’s Sporting Goods, Inc.</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McDonough, Georgia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46,315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88"/>
              </w:rPr>
              <w:t>Best Buy Stores, L.P.</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McDonough, Georgia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30,038</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93"/>
              </w:rPr>
              <w:t>Hilton Metrowest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Orlando, Florida</w:t>
            </w:r>
          </w:p>
        </w:tc>
        <w:tc>
          <w:tcPr>
            <w:tcW w:w="14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8"/>
              </w:rPr>
              <w:t>102,019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93"/>
              </w:rPr>
              <w:t>Hilton Cambridge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Orlando,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31,895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93"/>
              </w:rPr>
              <w:t>Hobby Lobby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Winston-Salem, North Carolina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55,000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Wells Fargo Building</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Hillsboro, Oregon</w:t>
            </w:r>
          </w:p>
        </w:tc>
        <w:tc>
          <w:tcPr>
            <w:tcW w:w="14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8"/>
              </w:rPr>
              <w:t>212,363</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Alpine Valley Music Theatre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East Troy, Wisconsin</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93,322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95"/>
              </w:rPr>
              <w:t>Family Dollar</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Lynn, Massachusetts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9,228</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Walgreens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Birmingham, Alabama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14,516</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Walgreens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Albany, Georgia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14,770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Walgreens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Alpharetta, Georgia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15,120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89"/>
              </w:rPr>
              <w:t>Container Store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Glendale, Arizona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23,329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Cheddar’s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Jacksonville,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8,146</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201"/>
              <w:spacing w:after="0"/>
              <w:rPr>
                <w:sz w:val="20"/>
                <w:szCs w:val="20"/>
                <w:color w:val="auto"/>
              </w:rPr>
            </w:pPr>
            <w:r>
              <w:rPr>
                <w:rFonts w:ascii="Arial" w:cs="Arial" w:eastAsia="Arial" w:hAnsi="Arial"/>
                <w:sz w:val="20"/>
                <w:szCs w:val="20"/>
                <w:color w:val="auto"/>
                <w:w w:val="87"/>
              </w:rPr>
              <w:t>Scrubbles Car Wash</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Jacksonville,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4,512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91"/>
              </w:rPr>
              <w:t>Old Time Pottery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Orange Park,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84,180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Freddy’s Frozen Custard</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Orange Park, Florida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3,200</w:t>
            </w:r>
          </w:p>
        </w:tc>
        <w:tc>
          <w:tcPr>
            <w:tcW w:w="220" w:type="dxa"/>
            <w:vAlign w:val="bottom"/>
            <w:tcBorders>
              <w:bottom w:val="single" w:sz="8" w:color="auto"/>
              <w:right w:val="single" w:sz="8" w:color="auto"/>
            </w:tcBorders>
          </w:tcPr>
          <w:p>
            <w:pPr>
              <w:spacing w:after="0"/>
              <w:rPr>
                <w:sz w:val="24"/>
                <w:szCs w:val="24"/>
                <w:color w:val="auto"/>
              </w:rPr>
            </w:pPr>
          </w:p>
        </w:tc>
      </w:tr>
      <w:tr>
        <w:trPr>
          <w:trHeight w:val="183"/>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140" w:type="dxa"/>
            <w:vAlign w:val="bottom"/>
          </w:tcPr>
          <w:p>
            <w:pPr>
              <w:ind w:left="840"/>
              <w:spacing w:after="0"/>
              <w:rPr>
                <w:sz w:val="20"/>
                <w:szCs w:val="20"/>
                <w:color w:val="auto"/>
              </w:rPr>
            </w:pPr>
            <w:r>
              <w:rPr>
                <w:rFonts w:ascii="Arial" w:cs="Arial" w:eastAsia="Arial" w:hAnsi="Arial"/>
                <w:sz w:val="15"/>
                <w:szCs w:val="15"/>
                <w:color w:val="auto"/>
              </w:rPr>
              <w:t>[Schedule 1.1]</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09"/>
        </w:trPr>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9019"/>
          </w:cols>
          <w:pgMar w:left="1440" w:top="832" w:right="1440" w:bottom="1440" w:gutter="0" w:footer="0" w:header="0"/>
        </w:sectPr>
      </w:pPr>
    </w:p>
    <w:bookmarkStart w:id="188" w:name="page189"/>
    <w:bookmarkEnd w:id="188"/>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456"/>
        </w:trPr>
        <w:tc>
          <w:tcPr>
            <w:tcW w:w="120" w:type="dxa"/>
            <w:vAlign w:val="bottom"/>
            <w:tcBorders>
              <w:right w:val="single" w:sz="8" w:color="auto"/>
            </w:tcBorders>
          </w:tcPr>
          <w:p>
            <w:pPr>
              <w:spacing w:after="0"/>
              <w:rPr>
                <w:sz w:val="24"/>
                <w:szCs w:val="24"/>
                <w:color w:val="auto"/>
              </w:rPr>
            </w:pP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 Eleven</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Georgetown, Texas</w:t>
            </w:r>
          </w:p>
        </w:tc>
        <w:tc>
          <w:tcPr>
            <w:tcW w:w="1440" w:type="dxa"/>
            <w:vAlign w:val="bottom"/>
            <w:tcBorders>
              <w:top w:val="single" w:sz="8" w:color="auto"/>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7,726</w:t>
            </w:r>
          </w:p>
        </w:tc>
        <w:tc>
          <w:tcPr>
            <w:tcW w:w="220" w:type="dxa"/>
            <w:vAlign w:val="bottom"/>
            <w:tcBorders>
              <w:top w:val="single" w:sz="8" w:color="auto"/>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Conn’s HomePlus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Hurst,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37,957</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 Eleven</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Austin,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6,400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Hobby Lobby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Tulsa, Oklahoma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84,180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Long John Silvers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Tulsa, Oklahoma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3,000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BP Convenience Store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Highland Heights, Kentucky</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2,578</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AMC Theatre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Tynsborough, Massachusetts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39,474</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Hobby Lobby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Arden, North Carolina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55,000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Barker,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9,275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Bingham, Maine</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9,345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Chazy,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9,277</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Hammond,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9,219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Harrisville,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9,309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Heuvelton,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9,342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Walmart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Howell, Michigan</w:t>
            </w:r>
          </w:p>
        </w:tc>
        <w:tc>
          <w:tcPr>
            <w:tcW w:w="144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88"/>
              </w:rPr>
              <w:t>214,172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Limestone, Maine</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9,167</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Milford, Maine</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9,128</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Newtonsville, Ohio</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9,290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Odessa,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9,127</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Salem, New York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9,199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Severn, Maryland</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6,876</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Somerville,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9,252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Willis,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9,138</w:t>
            </w:r>
          </w:p>
        </w:tc>
        <w:tc>
          <w:tcPr>
            <w:tcW w:w="220" w:type="dxa"/>
            <w:vAlign w:val="bottom"/>
            <w:tcBorders>
              <w:bottom w:val="single" w:sz="8" w:color="auto"/>
              <w:right w:val="single" w:sz="8" w:color="auto"/>
            </w:tcBorders>
          </w:tcPr>
          <w:p>
            <w:pPr>
              <w:spacing w:after="0"/>
              <w:rPr>
                <w:sz w:val="24"/>
                <w:szCs w:val="24"/>
                <w:color w:val="auto"/>
              </w:rPr>
            </w:pPr>
          </w:p>
        </w:tc>
      </w:tr>
      <w:tr>
        <w:trPr>
          <w:trHeight w:val="183"/>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140" w:type="dxa"/>
            <w:vAlign w:val="bottom"/>
          </w:tcPr>
          <w:p>
            <w:pPr>
              <w:ind w:left="840"/>
              <w:spacing w:after="0"/>
              <w:rPr>
                <w:sz w:val="20"/>
                <w:szCs w:val="20"/>
                <w:color w:val="auto"/>
              </w:rPr>
            </w:pPr>
            <w:r>
              <w:rPr>
                <w:rFonts w:ascii="Arial" w:cs="Arial" w:eastAsia="Arial" w:hAnsi="Arial"/>
                <w:sz w:val="15"/>
                <w:szCs w:val="15"/>
                <w:color w:val="auto"/>
              </w:rPr>
              <w:t>[Schedule 1.1]</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09"/>
        </w:trPr>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9019"/>
          </w:cols>
          <w:pgMar w:left="1440" w:top="837" w:right="1440" w:bottom="1440" w:gutter="0" w:footer="0" w:header="0"/>
        </w:sectPr>
      </w:pPr>
    </w:p>
    <w:bookmarkStart w:id="189" w:name="page190"/>
    <w:bookmarkEnd w:id="18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456"/>
        </w:trPr>
        <w:tc>
          <w:tcPr>
            <w:tcW w:w="120" w:type="dxa"/>
            <w:vAlign w:val="bottom"/>
            <w:tcBorders>
              <w:right w:val="single" w:sz="8" w:color="auto"/>
            </w:tcBorders>
          </w:tcPr>
          <w:p>
            <w:pPr>
              <w:spacing w:after="0"/>
              <w:rPr>
                <w:sz w:val="24"/>
                <w:szCs w:val="24"/>
                <w:color w:val="auto"/>
              </w:rPr>
            </w:pP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Winthrop, New York</w:t>
            </w:r>
          </w:p>
        </w:tc>
        <w:tc>
          <w:tcPr>
            <w:tcW w:w="1440" w:type="dxa"/>
            <w:vAlign w:val="bottom"/>
            <w:tcBorders>
              <w:top w:val="single" w:sz="8" w:color="auto"/>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9,167</w:t>
            </w:r>
          </w:p>
        </w:tc>
        <w:tc>
          <w:tcPr>
            <w:tcW w:w="220" w:type="dxa"/>
            <w:vAlign w:val="bottom"/>
            <w:tcBorders>
              <w:top w:val="single" w:sz="8" w:color="auto"/>
              <w:bottom w:val="single" w:sz="8" w:color="auto"/>
              <w:right w:val="single" w:sz="8" w:color="auto"/>
            </w:tcBorders>
          </w:tcPr>
          <w:p>
            <w:pPr>
              <w:spacing w:after="0"/>
              <w:rPr>
                <w:sz w:val="24"/>
                <w:szCs w:val="24"/>
                <w:color w:val="auto"/>
              </w:rPr>
            </w:pPr>
          </w:p>
        </w:tc>
      </w:tr>
      <w:tr>
        <w:trPr>
          <w:trHeight w:val="440"/>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Kohl’s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Glendale, Arizona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87,875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Kermit,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10,920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Walgreen’s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Tacoma, Washington</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14,125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Cut &amp; Shoot,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9,100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Del Rio,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9,219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Dollar General</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Seguin, Texas</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9,026</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Sportsman’s Warehouse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Albuquerque, New Mexico</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48,974</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At Home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North Canton, Ohio</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89,902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Pet Supplies Plus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North Canton, Ohio</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8,400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Salon Lofts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North Canton, Ohio</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4,000</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Burlington</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North Richland Hills, TX</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70,891</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Academy Sports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Florence, SC</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58,552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Orscheln Farm &amp; Home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Durant, OK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37,965</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Big Lots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Durant, OK</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36,794</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Circle K</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Indianapolis, IN</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4,283</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Burger King</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Plymouth, NC</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3,142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Dollar Tree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Demopolis, AL</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10,159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Firestone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Pittsburgh, PA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88"/>
              </w:rPr>
              <w:t>10,629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Ware, MA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6,889</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Grease Monkey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Stockbridge, GA</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1,846</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Hardee’s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Boaz, AL</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3,542</w:t>
            </w:r>
          </w:p>
        </w:tc>
        <w:tc>
          <w:tcPr>
            <w:tcW w:w="220" w:type="dxa"/>
            <w:vAlign w:val="bottom"/>
            <w:tcBorders>
              <w:bottom w:val="single" w:sz="8" w:color="auto"/>
              <w:right w:val="single" w:sz="8" w:color="auto"/>
            </w:tcBorders>
          </w:tcPr>
          <w:p>
            <w:pPr>
              <w:spacing w:after="0"/>
              <w:rPr>
                <w:sz w:val="24"/>
                <w:szCs w:val="24"/>
                <w:color w:val="auto"/>
              </w:rPr>
            </w:pPr>
          </w:p>
        </w:tc>
      </w:tr>
      <w:tr>
        <w:trPr>
          <w:trHeight w:val="438"/>
        </w:trPr>
        <w:tc>
          <w:tcPr>
            <w:tcW w:w="120" w:type="dxa"/>
            <w:vAlign w:val="bottom"/>
            <w:tcBorders>
              <w:right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Schlotzsky’s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Sweetwater, TX</w:t>
            </w:r>
          </w:p>
        </w:tc>
        <w:tc>
          <w:tcPr>
            <w:tcW w:w="144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2,431</w:t>
            </w:r>
          </w:p>
        </w:tc>
        <w:tc>
          <w:tcPr>
            <w:tcW w:w="220" w:type="dxa"/>
            <w:vAlign w:val="bottom"/>
            <w:tcBorders>
              <w:bottom w:val="single" w:sz="8" w:color="auto"/>
              <w:right w:val="single" w:sz="8" w:color="auto"/>
            </w:tcBorders>
          </w:tcPr>
          <w:p>
            <w:pPr>
              <w:spacing w:after="0"/>
              <w:rPr>
                <w:sz w:val="24"/>
                <w:szCs w:val="24"/>
                <w:color w:val="auto"/>
              </w:rPr>
            </w:pPr>
          </w:p>
        </w:tc>
      </w:tr>
      <w:tr>
        <w:trPr>
          <w:trHeight w:val="181"/>
        </w:trPr>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140" w:type="dxa"/>
            <w:vAlign w:val="bottom"/>
          </w:tcPr>
          <w:p>
            <w:pPr>
              <w:ind w:left="840"/>
              <w:spacing w:after="0"/>
              <w:rPr>
                <w:sz w:val="20"/>
                <w:szCs w:val="20"/>
                <w:color w:val="auto"/>
              </w:rPr>
            </w:pPr>
            <w:r>
              <w:rPr>
                <w:rFonts w:ascii="Arial" w:cs="Arial" w:eastAsia="Arial" w:hAnsi="Arial"/>
                <w:sz w:val="15"/>
                <w:szCs w:val="15"/>
                <w:color w:val="auto"/>
              </w:rPr>
              <w:t>[Schedule 1.1]</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09"/>
        </w:trPr>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9019"/>
          </w:cols>
          <w:pgMar w:left="1440" w:top="837" w:right="1440" w:bottom="1440" w:gutter="0" w:footer="0" w:header="0"/>
        </w:sectPr>
      </w:pPr>
    </w:p>
    <w:bookmarkStart w:id="190" w:name="page191"/>
    <w:bookmarkEnd w:id="190"/>
    <w:p>
      <w:pPr>
        <w:spacing w:after="0" w:line="1" w:lineRule="exact"/>
        <w:rPr>
          <w:sz w:val="20"/>
          <w:szCs w:val="20"/>
          <w:color w:val="auto"/>
        </w:rPr>
      </w:pPr>
    </w:p>
    <w:tbl>
      <w:tblPr>
        <w:tblLayout w:type="fixed"/>
        <w:tblInd w:w="310" w:type="dxa"/>
        <w:tblCellMar>
          <w:top w:w="0" w:type="dxa"/>
          <w:left w:w="0" w:type="dxa"/>
          <w:bottom w:w="0" w:type="dxa"/>
          <w:right w:w="0" w:type="dxa"/>
        </w:tblCellMar>
      </w:tblPr>
      <w:tr>
        <w:trPr>
          <w:trHeight w:val="458"/>
        </w:trPr>
        <w:tc>
          <w:tcPr>
            <w:tcW w:w="2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Athens, GA</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6,871</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Dollar Tree/Family Dollar</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Burlington, NC</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11,342</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O’Reilly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Duluth, MN</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11,182</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Orscheln Farm &amp; Home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Washington Court, OH</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39,858</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Harbor Freight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Midland, MI</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14,624</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Ludington, MI</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7,000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New Baltimore, MI</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7,000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Camping World</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Hermantown, MN</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66,025</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Family Dollar</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Stilwell, OK</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9,600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O’Reilly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Angels Camp, CA</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7,086</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Walmart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Hempstead, TX</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50,232</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Valero</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Jackson, MS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1,860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Valero</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Leland, MS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4,000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Hobby Lobby</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Aberdeen, SD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49,000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Advance Auto Parts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St. Paul, MN</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7,257</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At Home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Turnersville, NJ</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89,453</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Boston Market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Turnersville, NJ</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3,013</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Verizon</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Turnersville, NJ</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6,000</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Office Depot</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Albuquerque, NM</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30,299</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Dollar Tree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Albuquerque, NM</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1,006</w:t>
            </w:r>
          </w:p>
        </w:tc>
      </w:tr>
      <w:tr>
        <w:trPr>
          <w:trHeight w:val="438"/>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7-Eleven</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Olathe, KS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4,098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9">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191" w:name="page192"/>
    <w:bookmarkEnd w:id="191"/>
    <w:p>
      <w:pPr>
        <w:ind w:left="3820"/>
        <w:spacing w:after="0"/>
        <w:rPr>
          <w:sz w:val="20"/>
          <w:szCs w:val="20"/>
          <w:color w:val="auto"/>
        </w:rPr>
      </w:pPr>
      <w:r>
        <w:rPr>
          <w:rFonts w:ascii="Arial" w:cs="Arial" w:eastAsia="Arial" w:hAnsi="Arial"/>
          <w:sz w:val="20"/>
          <w:szCs w:val="20"/>
          <w:b w:val="1"/>
          <w:bCs w:val="1"/>
          <w:color w:val="auto"/>
        </w:rPr>
        <w:t>SCHEDULE 6.2</w:t>
      </w:r>
    </w:p>
    <w:p>
      <w:pPr>
        <w:spacing w:after="0" w:line="216"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SUBSIDIARIES</w:t>
      </w:r>
    </w:p>
    <w:p>
      <w:pPr>
        <w:spacing w:after="0" w:line="382" w:lineRule="exact"/>
        <w:rPr>
          <w:sz w:val="20"/>
          <w:szCs w:val="20"/>
          <w:color w:val="auto"/>
        </w:rPr>
      </w:pPr>
    </w:p>
    <w:tbl>
      <w:tblPr>
        <w:tblLayout w:type="fixed"/>
        <w:tblInd w:w="210" w:type="dxa"/>
        <w:tblCellMar>
          <w:top w:w="0" w:type="dxa"/>
          <w:left w:w="0" w:type="dxa"/>
          <w:bottom w:w="0" w:type="dxa"/>
          <w:right w:w="0" w:type="dxa"/>
        </w:tblCellMar>
      </w:tblPr>
      <w:tr>
        <w:trPr>
          <w:trHeight w:val="248"/>
        </w:trPr>
        <w:tc>
          <w:tcPr>
            <w:tcW w:w="39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20"/>
                <w:szCs w:val="20"/>
                <w:b w:val="1"/>
                <w:bCs w:val="1"/>
                <w:color w:val="auto"/>
              </w:rPr>
              <w:t>Subsidiary</w:t>
            </w:r>
          </w:p>
        </w:tc>
        <w:tc>
          <w:tcPr>
            <w:tcW w:w="1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w w:val="94"/>
              </w:rPr>
              <w:t>Date of Formation</w:t>
            </w:r>
          </w:p>
        </w:tc>
        <w:tc>
          <w:tcPr>
            <w:tcW w:w="17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w w:val="93"/>
              </w:rPr>
              <w:t>State of Formation</w:t>
            </w:r>
          </w:p>
        </w:tc>
        <w:tc>
          <w:tcPr>
            <w:tcW w:w="2580" w:type="dxa"/>
            <w:vAlign w:val="bottom"/>
            <w:tcBorders>
              <w:top w:val="single" w:sz="8" w:color="auto"/>
              <w:bottom w:val="single" w:sz="8" w:color="auto"/>
            </w:tcBorders>
          </w:tcPr>
          <w:p>
            <w:pPr>
              <w:jc w:val="center"/>
              <w:ind w:left="21"/>
              <w:spacing w:after="0"/>
              <w:rPr>
                <w:sz w:val="20"/>
                <w:szCs w:val="20"/>
                <w:color w:val="auto"/>
              </w:rPr>
            </w:pPr>
            <w:r>
              <w:rPr>
                <w:rFonts w:ascii="Arial" w:cs="Arial" w:eastAsia="Arial" w:hAnsi="Arial"/>
                <w:sz w:val="20"/>
                <w:szCs w:val="20"/>
                <w:b w:val="1"/>
                <w:bCs w:val="1"/>
                <w:color w:val="auto"/>
                <w:w w:val="96"/>
              </w:rPr>
              <w:t>Member</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PINE19 ALPHARETTA GA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October 1,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w w:val="98"/>
              </w:rPr>
              <w:t>BLUEBIRD METROWEST ORLANDO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January 14, 2013</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INDIGO HENRY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May 26, 2006</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Florida</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LHC15 GLENDALE AZ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April 28, 2015</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CTO16 RALEIGH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5"/>
              </w:rPr>
              <w:t>September 9, 2016</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CTO17 SAUGUS MA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9"/>
              </w:rPr>
              <w:t>February 17, 2017</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CTO17 BRANDON FL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March 27, 2017</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PINE19 JACKSONVILLE FL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October 1,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CTO19 WINSTON SALEM NC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March 13,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CTO19 BIRMINGHAM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May 8,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CTLC18 LYNN MA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May 28,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CTO19 ALBANY GA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June 6,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CTO19 TROY WI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August 20,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HURST TX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2"/>
              </w:rPr>
              <w:t>December 16,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PINE19 GEORGETOWN TX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October 4,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PINE19 SLAUGHTER AUSTIN TX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October 4, 2019</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HIGHLAND KY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January 16, 2020</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TYN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January 16, 2020</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r>
        <w:trPr>
          <w:trHeight w:val="228"/>
        </w:trPr>
        <w:tc>
          <w:tcPr>
            <w:tcW w:w="39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TULSA LLC</w:t>
            </w:r>
          </w:p>
        </w:tc>
        <w:tc>
          <w:tcPr>
            <w:tcW w:w="17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February 6, 2020</w:t>
            </w:r>
          </w:p>
        </w:tc>
        <w:tc>
          <w:tcPr>
            <w:tcW w:w="17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58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0"/>
                <w:szCs w:val="20"/>
                <w:color w:val="auto"/>
                <w:w w:val="89"/>
              </w:rPr>
              <w:t>Alpine Income Property OP, LP</w:t>
            </w:r>
          </w:p>
        </w:tc>
      </w:tr>
    </w:tbl>
    <w:p>
      <w:pPr>
        <w:spacing w:after="0" w:line="400"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0">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10220"/>
          </w:cols>
          <w:pgMar w:left="1440" w:top="832" w:right="239" w:bottom="1440" w:gutter="0" w:footer="0" w:header="0"/>
        </w:sectPr>
      </w:pPr>
    </w:p>
    <w:bookmarkStart w:id="192" w:name="page193"/>
    <w:bookmarkEnd w:id="192"/>
    <w:tbl>
      <w:tblPr>
        <w:tblLayout w:type="fixed"/>
        <w:tblInd w:w="210" w:type="dxa"/>
        <w:tblCellMar>
          <w:top w:w="0" w:type="dxa"/>
          <w:left w:w="0" w:type="dxa"/>
          <w:bottom w:w="0" w:type="dxa"/>
          <w:right w:w="0" w:type="dxa"/>
        </w:tblCellMar>
      </w:tblPr>
      <w:tr>
        <w:trPr>
          <w:trHeight w:val="263"/>
        </w:trPr>
        <w:tc>
          <w:tcPr>
            <w:tcW w:w="352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PINE20 BLANDING LLC</w:t>
            </w:r>
          </w:p>
        </w:tc>
        <w:tc>
          <w:tcPr>
            <w:tcW w:w="1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February 6, 2020</w:t>
            </w:r>
          </w:p>
        </w:tc>
        <w:tc>
          <w:tcPr>
            <w:tcW w:w="11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Delaware</w:t>
            </w:r>
          </w:p>
        </w:tc>
        <w:tc>
          <w:tcPr>
            <w:tcW w:w="27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3"/>
              </w:rPr>
              <w:t>Alpine Income Property OP, LP</w:t>
            </w:r>
          </w:p>
        </w:tc>
      </w:tr>
      <w:tr>
        <w:trPr>
          <w:trHeight w:val="19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ARDEN NC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May 28,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HOWELL MI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May 28,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BARKER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CHAZY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HAMMOND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HARRISVILLE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HEUVELTON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NEWTONSVILLE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SALEM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WINTHROP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19,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SEVERN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August 18,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WILLIS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SOMERVILLE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BINGHAM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w w:val="97"/>
              </w:rPr>
              <w:t>September 3,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LIMESTONE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w w:val="97"/>
              </w:rPr>
              <w:t>September 3,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MILFORD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w w:val="97"/>
              </w:rPr>
              <w:t>September 3,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ODESSA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KERMIT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GLENDALE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w w:val="94"/>
              </w:rPr>
              <w:t>November 16,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TACOMA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w w:val="94"/>
              </w:rPr>
              <w:t>November 16,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DEL RIO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52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PINE20 SEGUIN LLC</w:t>
            </w:r>
          </w:p>
        </w:tc>
        <w:tc>
          <w:tcPr>
            <w:tcW w:w="1760" w:type="dxa"/>
            <w:vAlign w:val="bottom"/>
            <w:tcBorders>
              <w:bottom w:val="single" w:sz="8" w:color="auto"/>
              <w:right w:val="single" w:sz="8" w:color="auto"/>
            </w:tcBorders>
          </w:tcPr>
          <w:p>
            <w:pPr>
              <w:ind w:left="60"/>
              <w:spacing w:after="0" w:line="228" w:lineRule="exact"/>
              <w:rPr>
                <w:sz w:val="20"/>
                <w:szCs w:val="20"/>
                <w:color w:val="auto"/>
              </w:rPr>
            </w:pPr>
            <w:r>
              <w:rPr>
                <w:rFonts w:ascii="Arial" w:cs="Arial" w:eastAsia="Arial" w:hAnsi="Arial"/>
                <w:sz w:val="20"/>
                <w:szCs w:val="20"/>
                <w:color w:val="auto"/>
              </w:rPr>
              <w:t>July 30, 2020</w:t>
            </w:r>
          </w:p>
        </w:tc>
        <w:tc>
          <w:tcPr>
            <w:tcW w:w="114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bl>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1">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320"/>
          </w:cols>
          <w:pgMar w:left="1440" w:top="837" w:right="1139" w:bottom="1440" w:gutter="0" w:footer="0" w:header="0"/>
        </w:sectPr>
      </w:pPr>
    </w:p>
    <w:bookmarkStart w:id="193" w:name="page194"/>
    <w:bookmarkEnd w:id="193"/>
    <w:tbl>
      <w:tblPr>
        <w:tblLayout w:type="fixed"/>
        <w:tblInd w:w="210" w:type="dxa"/>
        <w:tblCellMar>
          <w:top w:w="0" w:type="dxa"/>
          <w:left w:w="0" w:type="dxa"/>
          <w:bottom w:w="0" w:type="dxa"/>
          <w:right w:w="0" w:type="dxa"/>
        </w:tblCellMar>
      </w:tblPr>
      <w:tr>
        <w:trPr>
          <w:trHeight w:val="248"/>
        </w:trPr>
        <w:tc>
          <w:tcPr>
            <w:tcW w:w="36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PINE20 CUT &amp; SHOOT LLC</w:t>
            </w:r>
          </w:p>
        </w:tc>
        <w:tc>
          <w:tcPr>
            <w:tcW w:w="17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July 30, 2020</w:t>
            </w:r>
          </w:p>
        </w:tc>
        <w:tc>
          <w:tcPr>
            <w:tcW w:w="11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Delaware</w:t>
            </w:r>
          </w:p>
        </w:tc>
        <w:tc>
          <w:tcPr>
            <w:tcW w:w="27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3"/>
              </w:rPr>
              <w:t>Alpine Income Property OP, LP</w:t>
            </w:r>
          </w:p>
        </w:tc>
      </w:tr>
      <w:tr>
        <w:trPr>
          <w:trHeight w:val="228"/>
        </w:trPr>
        <w:tc>
          <w:tcPr>
            <w:tcW w:w="360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ALPINE INCOME PROPERTY OP, LP</w:t>
            </w:r>
          </w:p>
        </w:tc>
        <w:tc>
          <w:tcPr>
            <w:tcW w:w="1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August 20, 2019</w:t>
            </w:r>
          </w:p>
        </w:tc>
        <w:tc>
          <w:tcPr>
            <w:tcW w:w="110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60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CTO17 HILLSBORO OR LLC</w:t>
            </w:r>
          </w:p>
        </w:tc>
        <w:tc>
          <w:tcPr>
            <w:tcW w:w="1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4"/>
              </w:rPr>
              <w:t>September 9, 2019</w:t>
            </w:r>
          </w:p>
        </w:tc>
        <w:tc>
          <w:tcPr>
            <w:tcW w:w="110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60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CTO16 RENO LLC</w:t>
            </w:r>
          </w:p>
        </w:tc>
        <w:tc>
          <w:tcPr>
            <w:tcW w:w="1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7"/>
              </w:rPr>
              <w:t>November 1, 2016</w:t>
            </w:r>
          </w:p>
        </w:tc>
        <w:tc>
          <w:tcPr>
            <w:tcW w:w="110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r>
        <w:trPr>
          <w:trHeight w:val="228"/>
        </w:trPr>
        <w:tc>
          <w:tcPr>
            <w:tcW w:w="3600" w:type="dxa"/>
            <w:vAlign w:val="bottom"/>
            <w:tcBorders>
              <w:left w:val="single" w:sz="8" w:color="auto"/>
              <w:bottom w:val="single" w:sz="8" w:color="auto"/>
              <w:right w:val="single" w:sz="8" w:color="auto"/>
            </w:tcBorders>
          </w:tcPr>
          <w:p>
            <w:pPr>
              <w:ind w:left="100"/>
              <w:spacing w:after="0" w:line="228" w:lineRule="exact"/>
              <w:rPr>
                <w:sz w:val="20"/>
                <w:szCs w:val="20"/>
                <w:color w:val="auto"/>
              </w:rPr>
            </w:pPr>
            <w:r>
              <w:rPr>
                <w:rFonts w:ascii="Arial" w:cs="Arial" w:eastAsia="Arial" w:hAnsi="Arial"/>
                <w:sz w:val="20"/>
                <w:szCs w:val="20"/>
                <w:color w:val="auto"/>
              </w:rPr>
              <w:t>PINE21 ACQUISITIONS IV LLC</w:t>
            </w:r>
          </w:p>
        </w:tc>
        <w:tc>
          <w:tcPr>
            <w:tcW w:w="1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June 17, 2021</w:t>
            </w:r>
          </w:p>
        </w:tc>
        <w:tc>
          <w:tcPr>
            <w:tcW w:w="110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rPr>
              <w:t>Delaware</w:t>
            </w:r>
          </w:p>
        </w:tc>
        <w:tc>
          <w:tcPr>
            <w:tcW w:w="272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color w:val="auto"/>
                <w:w w:val="93"/>
              </w:rPr>
              <w:t>Alpine Income Property OP, LP</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[Schedule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1587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2">
                      <a:extLst>
                        <a:ext uri="{28A0092B-C50C-407E-A947-70E740481C1C}"/>
                      </a:extLst>
                    </a:blip>
                    <a:srcRect/>
                    <a:stretch>
                      <a:fillRect/>
                    </a:stretch>
                  </pic:blipFill>
                  <pic:spPr bwMode="auto">
                    <a:xfrm>
                      <a:off x="0" y="0"/>
                      <a:ext cx="5461635" cy="15875"/>
                    </a:xfrm>
                    <a:prstGeom prst="rect">
                      <a:avLst/>
                    </a:prstGeom>
                    <a:noFill/>
                  </pic:spPr>
                </pic:pic>
              </a:graphicData>
            </a:graphic>
          </wp:anchor>
        </w:drawing>
      </w:r>
    </w:p>
    <w:p>
      <w:pPr>
        <w:sectPr>
          <w:pgSz w:w="11900" w:h="16838" w:orient="portrait"/>
          <w:cols w:equalWidth="0" w:num="1">
            <w:col w:w="9320"/>
          </w:cols>
          <w:pgMar w:left="1440" w:top="837" w:right="11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6.6</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ATERIAL</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DVERSE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HANGE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3">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CHEDULE</w:t>
      </w:r>
      <w:r>
        <w:rPr>
          <w:rFonts w:ascii="Arial" w:cs="Arial" w:eastAsia="Arial" w:hAnsi="Arial"/>
          <w:sz w:val="19"/>
          <w:szCs w:val="19"/>
          <w:b w:val="1"/>
          <w:bCs w:val="1"/>
          <w:color w:val="auto"/>
        </w:rPr>
        <w:t xml:space="preserve"> 6.11</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ITIGATION</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4">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CHEDULE</w:t>
      </w:r>
      <w:r>
        <w:rPr>
          <w:rFonts w:ascii="Arial" w:cs="Arial" w:eastAsia="Arial" w:hAnsi="Arial"/>
          <w:sz w:val="19"/>
          <w:szCs w:val="19"/>
          <w:b w:val="1"/>
          <w:bCs w:val="1"/>
          <w:color w:val="auto"/>
        </w:rPr>
        <w:t xml:space="preserve"> 6.12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ETURNS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5">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6.17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NVIRONMENTAL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SSUES</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6">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6.23</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AINTENANCE AND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ONDITION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327660</wp:posOffset>
            </wp:positionV>
            <wp:extent cx="5461635" cy="2349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7">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0"/>
          <w:szCs w:val="20"/>
          <w:color w:val="auto"/>
        </w:rPr>
        <w:t>Schedule 8.7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XISTING</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IENS</w:t>
      </w: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472440</wp:posOffset>
            </wp:positionV>
            <wp:extent cx="5461635" cy="2349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8">
                      <a:extLst>
                        <a:ext uri="{28A0092B-C50C-407E-A947-70E740481C1C}"/>
                      </a:extLst>
                    </a:blip>
                    <a:srcRect/>
                    <a:stretch>
                      <a:fillRect/>
                    </a:stretch>
                  </pic:blipFill>
                  <pic:spPr bwMode="auto">
                    <a:xfrm>
                      <a:off x="0" y="0"/>
                      <a:ext cx="5461635" cy="23495"/>
                    </a:xfrm>
                    <a:prstGeom prst="rect">
                      <a:avLst/>
                    </a:prstGeom>
                    <a:noFill/>
                  </pic:spPr>
                </pic:pic>
              </a:graphicData>
            </a:graphic>
          </wp:anchor>
        </w:drawing>
      </w:r>
    </w:p>
    <w:p>
      <w:pPr>
        <w:sectPr>
          <w:pgSz w:w="11900" w:h="16838" w:orient="portrait"/>
          <w:cols w:equalWidth="0" w:num="1">
            <w:col w:w="9019"/>
          </w:cols>
          <w:pgMar w:left="1440" w:top="838" w:right="1440" w:bottom="1440" w:gutter="0" w:footer="0" w:header="0"/>
        </w:sectPr>
      </w:pPr>
    </w:p>
    <w:bookmarkStart w:id="200" w:name="page201"/>
    <w:bookmarkEnd w:id="200"/>
    <w:p>
      <w:pPr>
        <w:jc w:val="right"/>
        <w:ind w:right="59"/>
        <w:spacing w:after="0"/>
        <w:rPr>
          <w:sz w:val="20"/>
          <w:szCs w:val="20"/>
          <w:color w:val="auto"/>
        </w:rPr>
      </w:pPr>
      <w:r>
        <w:rPr>
          <w:rFonts w:ascii="Arial" w:cs="Arial" w:eastAsia="Arial" w:hAnsi="Arial"/>
          <w:sz w:val="16"/>
          <w:szCs w:val="16"/>
          <w:b w:val="1"/>
          <w:bCs w:val="1"/>
          <w:color w:val="auto"/>
        </w:rPr>
        <w:t>Exhibit 31.1</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John P. Albright, certify that:</w:t>
      </w:r>
    </w:p>
    <w:p>
      <w:pPr>
        <w:spacing w:after="0" w:line="175" w:lineRule="exact"/>
        <w:rPr>
          <w:sz w:val="20"/>
          <w:szCs w:val="20"/>
          <w:color w:val="auto"/>
        </w:rPr>
      </w:pPr>
    </w:p>
    <w:p>
      <w:pPr>
        <w:ind w:left="640" w:hanging="597"/>
        <w:spacing w:after="0"/>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Alpine Income Property Trust, Inc.;</w:t>
      </w:r>
    </w:p>
    <w:p>
      <w:pPr>
        <w:spacing w:after="0" w:line="174" w:lineRule="exact"/>
        <w:rPr>
          <w:rFonts w:ascii="Arial" w:cs="Arial" w:eastAsia="Arial" w:hAnsi="Arial"/>
          <w:sz w:val="16"/>
          <w:szCs w:val="16"/>
          <w:color w:val="auto"/>
        </w:rPr>
      </w:pPr>
    </w:p>
    <w:p>
      <w:pPr>
        <w:ind w:left="640" w:right="79" w:hanging="597"/>
        <w:spacing w:after="0" w:line="274" w:lineRule="auto"/>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640" w:right="159" w:hanging="597"/>
        <w:spacing w:after="0" w:line="274" w:lineRule="auto"/>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640" w:right="459" w:hanging="597"/>
        <w:spacing w:after="0" w:line="274" w:lineRule="auto"/>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520" w:right="179" w:hanging="586"/>
        <w:spacing w:after="0" w:line="269"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520" w:right="159" w:hanging="586"/>
        <w:spacing w:after="0" w:line="269"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520" w:right="59" w:hanging="586"/>
        <w:spacing w:after="0" w:line="274"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20" w:right="259" w:hanging="586"/>
        <w:spacing w:after="0" w:line="269"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6"/>
          <w:szCs w:val="16"/>
          <w:color w:val="auto"/>
        </w:rPr>
      </w:pPr>
    </w:p>
    <w:p>
      <w:pPr>
        <w:ind w:left="640" w:right="399" w:hanging="597"/>
        <w:spacing w:after="0" w:line="274" w:lineRule="auto"/>
        <w:tabs>
          <w:tab w:leader="none" w:pos="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20" w:right="139" w:hanging="586"/>
        <w:spacing w:after="0" w:line="274"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20" w:right="79" w:hanging="586"/>
        <w:spacing w:after="0" w:line="290" w:lineRule="auto"/>
        <w:tabs>
          <w:tab w:leader="none" w:pos="15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21, 2021</w:t>
      </w:r>
    </w:p>
    <w:p>
      <w:pPr>
        <w:spacing w:after="0" w:line="187"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John P. Albright</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-116205</wp:posOffset>
            </wp:positionV>
            <wp:extent cx="2719070" cy="76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9">
                      <a:extLst>
                        <a:ext uri="{28A0092B-C50C-407E-A947-70E740481C1C}"/>
                      </a:extLst>
                    </a:blip>
                    <a:srcRect/>
                    <a:stretch>
                      <a:fillRect/>
                    </a:stretch>
                  </pic:blipFill>
                  <pic:spPr bwMode="auto">
                    <a:xfrm>
                      <a:off x="0" y="0"/>
                      <a:ext cx="2719070" cy="7620"/>
                    </a:xfrm>
                    <a:prstGeom prst="rect">
                      <a:avLst/>
                    </a:prstGeom>
                    <a:noFill/>
                  </pic:spPr>
                </pic:pic>
              </a:graphicData>
            </a:graphic>
          </wp:anchor>
        </w:drawing>
      </w:r>
    </w:p>
    <w:p>
      <w:pPr>
        <w:spacing w:after="0" w:line="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President and Chief Executive Officer</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450215</wp:posOffset>
            </wp:positionV>
            <wp:extent cx="5666105" cy="2349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0">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1" w:name="page202"/>
    <w:bookmarkEnd w:id="201"/>
    <w:p>
      <w:pPr>
        <w:jc w:val="right"/>
        <w:ind w:right="59"/>
        <w:spacing w:after="0"/>
        <w:rPr>
          <w:sz w:val="20"/>
          <w:szCs w:val="20"/>
          <w:color w:val="auto"/>
        </w:rPr>
      </w:pPr>
      <w:r>
        <w:rPr>
          <w:rFonts w:ascii="Arial" w:cs="Arial" w:eastAsia="Arial" w:hAnsi="Arial"/>
          <w:sz w:val="16"/>
          <w:szCs w:val="16"/>
          <w:b w:val="1"/>
          <w:bCs w:val="1"/>
          <w:color w:val="auto"/>
        </w:rPr>
        <w:t>Exhibit 31.2</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Matthew M. Partridge, certify that:</w:t>
      </w:r>
    </w:p>
    <w:p>
      <w:pPr>
        <w:spacing w:after="0" w:line="175" w:lineRule="exact"/>
        <w:rPr>
          <w:sz w:val="20"/>
          <w:szCs w:val="20"/>
          <w:color w:val="auto"/>
        </w:rPr>
      </w:pPr>
    </w:p>
    <w:p>
      <w:pPr>
        <w:ind w:left="640" w:hanging="597"/>
        <w:spacing w:after="0"/>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Alpine Income Property Trust, Inc.;</w:t>
      </w:r>
    </w:p>
    <w:p>
      <w:pPr>
        <w:spacing w:after="0" w:line="174" w:lineRule="exact"/>
        <w:rPr>
          <w:rFonts w:ascii="Arial" w:cs="Arial" w:eastAsia="Arial" w:hAnsi="Arial"/>
          <w:sz w:val="16"/>
          <w:szCs w:val="16"/>
          <w:color w:val="auto"/>
        </w:rPr>
      </w:pPr>
    </w:p>
    <w:p>
      <w:pPr>
        <w:ind w:left="640" w:right="79" w:hanging="597"/>
        <w:spacing w:after="0" w:line="274" w:lineRule="auto"/>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640" w:right="159" w:hanging="597"/>
        <w:spacing w:after="0" w:line="274" w:lineRule="auto"/>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640" w:right="459" w:hanging="597"/>
        <w:spacing w:after="0" w:line="274" w:lineRule="auto"/>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520" w:right="179" w:hanging="586"/>
        <w:spacing w:after="0" w:line="269"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520" w:right="159" w:hanging="586"/>
        <w:spacing w:after="0" w:line="269"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520" w:right="59" w:hanging="586"/>
        <w:spacing w:after="0" w:line="274"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20" w:right="259" w:hanging="586"/>
        <w:spacing w:after="0" w:line="269"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6"/>
          <w:szCs w:val="16"/>
          <w:color w:val="auto"/>
        </w:rPr>
      </w:pPr>
    </w:p>
    <w:p>
      <w:pPr>
        <w:ind w:left="640" w:right="399" w:hanging="597"/>
        <w:spacing w:after="0" w:line="274" w:lineRule="auto"/>
        <w:tabs>
          <w:tab w:leader="none" w:pos="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20" w:right="139" w:hanging="586"/>
        <w:spacing w:after="0" w:line="274"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20" w:right="79" w:hanging="586"/>
        <w:spacing w:after="0" w:line="290" w:lineRule="auto"/>
        <w:tabs>
          <w:tab w:leader="none" w:pos="15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21, 2021</w:t>
      </w:r>
    </w:p>
    <w:p>
      <w:pPr>
        <w:spacing w:after="0" w:line="187"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6"/>
          <w:szCs w:val="16"/>
          <w:color w:val="auto"/>
        </w:rPr>
        <w:t>By:</w:t>
        <w:tab/>
        <w:t>/s/ Matthew M. Partridge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Matthew M. Partridge,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-116205</wp:posOffset>
            </wp:positionV>
            <wp:extent cx="2703195" cy="76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1">
                      <a:extLst>
                        <a:ext uri="{28A0092B-C50C-407E-A947-70E740481C1C}"/>
                      </a:extLst>
                    </a:blip>
                    <a:srcRect/>
                    <a:stretch>
                      <a:fillRect/>
                    </a:stretch>
                  </pic:blipFill>
                  <pic:spPr bwMode="auto">
                    <a:xfrm>
                      <a:off x="0" y="0"/>
                      <a:ext cx="2703195" cy="7620"/>
                    </a:xfrm>
                    <a:prstGeom prst="rect">
                      <a:avLst/>
                    </a:prstGeom>
                    <a:noFill/>
                  </pic:spPr>
                </pic:pic>
              </a:graphicData>
            </a:graphic>
          </wp:anchor>
        </w:drawing>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Chief Financial Officer and Treasurer</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450215</wp:posOffset>
            </wp:positionV>
            <wp:extent cx="5666105" cy="2349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2">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2" w:name="page203"/>
    <w:bookmarkEnd w:id="202"/>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 PURSUANT TO</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 U.S.C. SECTION 1350,</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ADOPTED PURSUANT TO</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SECTION 906 OF THE SARBANES-OXLEY ACT OF 2002</w:t>
      </w:r>
    </w:p>
    <w:p>
      <w:pPr>
        <w:spacing w:after="0" w:line="201" w:lineRule="exact"/>
        <w:rPr>
          <w:sz w:val="20"/>
          <w:szCs w:val="20"/>
          <w:color w:val="auto"/>
        </w:rPr>
      </w:pPr>
    </w:p>
    <w:p>
      <w:pPr>
        <w:ind w:left="40" w:right="59"/>
        <w:spacing w:after="0" w:line="269" w:lineRule="auto"/>
        <w:rPr>
          <w:sz w:val="20"/>
          <w:szCs w:val="20"/>
          <w:color w:val="auto"/>
        </w:rPr>
      </w:pPr>
      <w:r>
        <w:rPr>
          <w:rFonts w:ascii="Arial" w:cs="Arial" w:eastAsia="Arial" w:hAnsi="Arial"/>
          <w:sz w:val="16"/>
          <w:szCs w:val="16"/>
          <w:color w:val="auto"/>
        </w:rPr>
        <w:t>In connection with the Quarterly Report of Alpine Income Property Trust, Inc. (the “Company”) on Form 10-Q for the period ended September 30,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1240" w:right="219" w:hanging="603"/>
        <w:spacing w:after="0" w:line="290" w:lineRule="auto"/>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9" w:lineRule="exact"/>
        <w:rPr>
          <w:rFonts w:ascii="Arial" w:cs="Arial" w:eastAsia="Arial" w:hAnsi="Arial"/>
          <w:sz w:val="16"/>
          <w:szCs w:val="16"/>
          <w:color w:val="auto"/>
        </w:rPr>
      </w:pPr>
    </w:p>
    <w:p>
      <w:pPr>
        <w:ind w:left="1240" w:right="79" w:hanging="603"/>
        <w:spacing w:after="0" w:line="290" w:lineRule="auto"/>
        <w:tabs>
          <w:tab w:leader="none" w:pos="1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21, 2021</w:t>
      </w:r>
    </w:p>
    <w:p>
      <w:pPr>
        <w:spacing w:after="0" w:line="224"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6"/>
          <w:szCs w:val="16"/>
          <w:color w:val="auto"/>
        </w:rPr>
        <w:t>By:</w:t>
        <w:tab/>
        <w:t>/s/ John P. Albright</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-116205</wp:posOffset>
            </wp:positionV>
            <wp:extent cx="2695575"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3">
                      <a:extLst>
                        <a:ext uri="{28A0092B-C50C-407E-A947-70E740481C1C}"/>
                      </a:extLst>
                    </a:blip>
                    <a:srcRect/>
                    <a:stretch>
                      <a:fillRect/>
                    </a:stretch>
                  </pic:blipFill>
                  <pic:spPr bwMode="auto">
                    <a:xfrm>
                      <a:off x="0" y="0"/>
                      <a:ext cx="2695575" cy="7620"/>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President and Chief Executive Officer</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450215</wp:posOffset>
            </wp:positionV>
            <wp:extent cx="5666105" cy="2349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3" w:name="page204"/>
    <w:bookmarkEnd w:id="203"/>
    <w:p>
      <w:pPr>
        <w:jc w:val="right"/>
        <w:ind w:right="59"/>
        <w:spacing w:after="0"/>
        <w:rPr>
          <w:sz w:val="20"/>
          <w:szCs w:val="20"/>
          <w:color w:val="auto"/>
        </w:rPr>
      </w:pPr>
      <w:r>
        <w:rPr>
          <w:rFonts w:ascii="Arial" w:cs="Arial" w:eastAsia="Arial" w:hAnsi="Arial"/>
          <w:sz w:val="16"/>
          <w:szCs w:val="16"/>
          <w:b w:val="1"/>
          <w:bCs w:val="1"/>
          <w:color w:val="auto"/>
        </w:rPr>
        <w:t>Exhibit 32.2</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 PURSUANT TO</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 U.S.C. SECTION 1350,</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ADOPTED PURSUANT TO</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SECTION 906 OF THE SARBANES-OXLEY ACT OF 2002</w:t>
      </w:r>
    </w:p>
    <w:p>
      <w:pPr>
        <w:spacing w:after="0" w:line="201" w:lineRule="exact"/>
        <w:rPr>
          <w:sz w:val="20"/>
          <w:szCs w:val="20"/>
          <w:color w:val="auto"/>
        </w:rPr>
      </w:pPr>
    </w:p>
    <w:p>
      <w:pPr>
        <w:ind w:left="40" w:right="199"/>
        <w:spacing w:after="0" w:line="269" w:lineRule="auto"/>
        <w:rPr>
          <w:sz w:val="20"/>
          <w:szCs w:val="20"/>
          <w:color w:val="auto"/>
        </w:rPr>
      </w:pPr>
      <w:r>
        <w:rPr>
          <w:rFonts w:ascii="Arial" w:cs="Arial" w:eastAsia="Arial" w:hAnsi="Arial"/>
          <w:sz w:val="16"/>
          <w:szCs w:val="16"/>
          <w:color w:val="auto"/>
        </w:rPr>
        <w:t>In connection with the Quarterly Report of Alpine Income Property Trust, Inc. (the “Company”) on Form 10-Q for the period ended September 30, 2021,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240" w:right="219" w:hanging="603"/>
        <w:spacing w:after="0" w:line="290" w:lineRule="auto"/>
        <w:tabs>
          <w:tab w:leader="none" w:pos="12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9" w:lineRule="exact"/>
        <w:rPr>
          <w:rFonts w:ascii="Arial" w:cs="Arial" w:eastAsia="Arial" w:hAnsi="Arial"/>
          <w:sz w:val="16"/>
          <w:szCs w:val="16"/>
          <w:color w:val="auto"/>
        </w:rPr>
      </w:pPr>
    </w:p>
    <w:p>
      <w:pPr>
        <w:ind w:left="1240" w:right="79" w:hanging="603"/>
        <w:spacing w:after="0" w:line="290" w:lineRule="auto"/>
        <w:tabs>
          <w:tab w:leader="none" w:pos="12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October 21, 2021</w:t>
      </w:r>
    </w:p>
    <w:p>
      <w:pPr>
        <w:spacing w:after="0" w:line="224" w:lineRule="exact"/>
        <w:rPr>
          <w:sz w:val="20"/>
          <w:szCs w:val="20"/>
          <w:color w:val="auto"/>
        </w:rPr>
      </w:pPr>
    </w:p>
    <w:p>
      <w:pPr>
        <w:ind w:left="40"/>
        <w:spacing w:after="0"/>
        <w:tabs>
          <w:tab w:leader="none" w:pos="500" w:val="left"/>
        </w:tabs>
        <w:rPr>
          <w:sz w:val="20"/>
          <w:szCs w:val="20"/>
          <w:color w:val="auto"/>
        </w:rPr>
      </w:pPr>
      <w:r>
        <w:rPr>
          <w:rFonts w:ascii="Arial" w:cs="Arial" w:eastAsia="Arial" w:hAnsi="Arial"/>
          <w:sz w:val="16"/>
          <w:szCs w:val="16"/>
          <w:color w:val="auto"/>
        </w:rPr>
        <w:t>By:</w:t>
        <w:tab/>
        <w:t>/s/ Matthew M. Partridge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Matthew M. Partridge,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-116205</wp:posOffset>
            </wp:positionV>
            <wp:extent cx="267970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5">
                      <a:extLst>
                        <a:ext uri="{28A0092B-C50C-407E-A947-70E740481C1C}"/>
                      </a:extLst>
                    </a:blip>
                    <a:srcRect/>
                    <a:stretch>
                      <a:fillRect/>
                    </a:stretch>
                  </pic:blipFill>
                  <pic:spPr bwMode="auto">
                    <a:xfrm>
                      <a:off x="0" y="0"/>
                      <a:ext cx="2679700" cy="7620"/>
                    </a:xfrm>
                    <a:prstGeom prst="rect">
                      <a:avLst/>
                    </a:prstGeom>
                    <a:noFill/>
                  </pic:spPr>
                </pic:pic>
              </a:graphicData>
            </a:graphic>
          </wp:anchor>
        </w:drawing>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Chief Financial Officer and Treasurer</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450215</wp:posOffset>
            </wp:positionV>
            <wp:extent cx="5666105" cy="2349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1)"/>
      <w:numFmt w:val="decimal"/>
      <w:start w:val="1"/>
    </w:lvl>
  </w:abstractNum>
  <w:abstractNum w:abstractNumId="5">
    <w:nsid w:val="488AC1A"/>
    <w:multiLevelType w:val="hybridMultilevel"/>
    <w:lvl w:ilvl="0">
      <w:lvlJc w:val="left"/>
      <w:lvlText w:val="(%1)"/>
      <w:numFmt w:val="decimal"/>
      <w:start w:val="1"/>
    </w:lvl>
  </w:abstractNum>
  <w:abstractNum w:abstractNumId="6">
    <w:nsid w:val="5FB8011C"/>
    <w:multiLevelType w:val="hybridMultilevel"/>
    <w:lvl w:ilvl="0">
      <w:lvlJc w:val="left"/>
      <w:lvlText w:val="(%1)"/>
      <w:numFmt w:val="decimal"/>
      <w:start w:val="1"/>
    </w:lvl>
  </w:abstractNum>
  <w:abstractNum w:abstractNumId="7">
    <w:nsid w:val="6AA78F7F"/>
    <w:multiLevelType w:val="hybridMultilevel"/>
    <w:lvl w:ilvl="0">
      <w:lvlJc w:val="left"/>
      <w:lvlText w:val="(%1)"/>
      <w:numFmt w:val="decimal"/>
      <w:start w:val="1"/>
    </w:lvl>
  </w:abstractNum>
  <w:abstractNum w:abstractNumId="8">
    <w:nsid w:val="7672BD23"/>
    <w:multiLevelType w:val="hybridMultilevel"/>
    <w:lvl w:ilvl="0">
      <w:lvlJc w:val="left"/>
      <w:lvlText w:val="(%1)"/>
      <w:numFmt w:val="decimal"/>
      <w:start w:val="1"/>
    </w:lvl>
  </w:abstractNum>
  <w:abstractNum w:abstractNumId="9">
    <w:nsid w:val="6FC75AF8"/>
    <w:multiLevelType w:val="hybridMultilevel"/>
    <w:lvl w:ilvl="0">
      <w:lvlJc w:val="left"/>
      <w:lvlText w:val="(%1)"/>
      <w:numFmt w:val="decimal"/>
      <w:start w:val="1"/>
    </w:lvl>
  </w:abstractNum>
  <w:abstractNum w:abstractNumId="10">
    <w:nsid w:val="6A5F7029"/>
    <w:multiLevelType w:val="hybridMultilevel"/>
    <w:lvl w:ilvl="0">
      <w:lvlJc w:val="left"/>
      <w:lvlText w:val="(%1)"/>
      <w:numFmt w:val="decimal"/>
      <w:start w:val="1"/>
    </w:lvl>
  </w:abstractNum>
  <w:abstractNum w:abstractNumId="11">
    <w:nsid w:val="7D5E18F8"/>
    <w:multiLevelType w:val="hybridMultilevel"/>
    <w:lvl w:ilvl="0">
      <w:lvlJc w:val="left"/>
      <w:lvlText w:val="(%1)"/>
      <w:numFmt w:val="lowerLetter"/>
      <w:start w:val="2"/>
    </w:lvl>
  </w:abstractNum>
  <w:abstractNum w:abstractNumId="12">
    <w:nsid w:val="5F3534A4"/>
    <w:multiLevelType w:val="hybridMultilevel"/>
    <w:lvl w:ilvl="0">
      <w:lvlJc w:val="left"/>
      <w:lvlText w:val="(%1)"/>
      <w:numFmt w:val="decimal"/>
      <w:start w:val="1"/>
    </w:lvl>
  </w:abstractNum>
  <w:abstractNum w:abstractNumId="13">
    <w:nsid w:val="73A1821B"/>
    <w:multiLevelType w:val="hybridMultilevel"/>
    <w:lvl w:ilvl="0">
      <w:lvlJc w:val="left"/>
      <w:lvlText w:val="(%1)"/>
      <w:numFmt w:val="decimal"/>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1)"/>
      <w:numFmt w:val="lowerLetter"/>
      <w:start w:val="1"/>
    </w:lvl>
    <w:lvl w:ilvl="1">
      <w:lvlJc w:val="left"/>
      <w:lvlText w:val="-"/>
      <w:numFmt w:val="bullet"/>
      <w:start w:val="1"/>
    </w:lvl>
  </w:abstractNum>
  <w:abstractNum w:abstractNumId="18">
    <w:nsid w:val="6A3DD3E8"/>
    <w:multiLevelType w:val="hybridMultilevel"/>
    <w:lvl w:ilvl="0">
      <w:lvlJc w:val="left"/>
      <w:lvlText w:val="(%1)"/>
      <w:numFmt w:val="lowerLetter"/>
      <w:start w:val="2"/>
    </w:lvl>
  </w:abstractNum>
  <w:abstractNum w:abstractNumId="19">
    <w:nsid w:val="71C91298"/>
    <w:multiLevelType w:val="hybridMultilevel"/>
    <w:lvl w:ilvl="0">
      <w:lvlJc w:val="left"/>
      <w:lvlText w:val="(%1)"/>
      <w:numFmt w:val="lowerLetter"/>
      <w:start w:val="1"/>
    </w:lvl>
  </w:abstractNum>
  <w:abstractNum w:abstractNumId="20">
    <w:nsid w:val="9DAF632"/>
    <w:multiLevelType w:val="hybridMultilevel"/>
    <w:lvl w:ilvl="0">
      <w:lvlJc w:val="left"/>
      <w:lvlText w:val="(%1)"/>
      <w:numFmt w:val="lowerRoman"/>
      <w:start w:val="1"/>
    </w:lvl>
  </w:abstractNum>
  <w:abstractNum w:abstractNumId="21">
    <w:nsid w:val="53299938"/>
    <w:multiLevelType w:val="hybridMultilevel"/>
    <w:lvl w:ilvl="0">
      <w:lvlJc w:val="left"/>
      <w:lvlText w:val="(%1)"/>
      <w:numFmt w:val="lowerLetter"/>
      <w:start w:val="2"/>
    </w:lvl>
  </w:abstractNum>
  <w:abstractNum w:abstractNumId="22">
    <w:nsid w:val="1FBFE8E0"/>
    <w:multiLevelType w:val="hybridMultilevel"/>
    <w:lvl w:ilvl="0">
      <w:lvlJc w:val="left"/>
      <w:lvlText w:val="(%1)"/>
      <w:numFmt w:val="decimal"/>
      <w:start w:val="2"/>
    </w:lvl>
  </w:abstractNum>
  <w:abstractNum w:abstractNumId="23">
    <w:nsid w:val="5092CA79"/>
    <w:multiLevelType w:val="hybridMultilevel"/>
    <w:lvl w:ilvl="0">
      <w:lvlJc w:val="left"/>
      <w:lvlText w:val="(%1)"/>
      <w:numFmt w:val="lowerLetter"/>
      <w:start w:val="3"/>
    </w:lvl>
  </w:abstractNum>
  <w:abstractNum w:abstractNumId="24">
    <w:nsid w:val="1D545C4D"/>
    <w:multiLevelType w:val="hybridMultilevel"/>
    <w:lvl w:ilvl="0">
      <w:lvlJc w:val="left"/>
      <w:lvlText w:val="%1"/>
      <w:numFmt w:val="lowerLetter"/>
      <w:start w:val="1"/>
    </w:lvl>
    <w:lvl w:ilvl="1">
      <w:lvlJc w:val="left"/>
      <w:lvlText w:val="(%2)"/>
      <w:numFmt w:val="lowerLetter"/>
      <w:start w:val="1"/>
    </w:lvl>
  </w:abstractNum>
  <w:abstractNum w:abstractNumId="25">
    <w:nsid w:val="59ADEA3D"/>
    <w:multiLevelType w:val="hybridMultilevel"/>
    <w:lvl w:ilvl="0">
      <w:lvlJc w:val="left"/>
      <w:lvlText w:val="(%1)"/>
      <w:numFmt w:val="lowerLetter"/>
      <w:start w:val="35"/>
    </w:lvl>
    <w:lvl w:ilvl="1">
      <w:lvlJc w:val="left"/>
      <w:lvlText w:val="%2"/>
      <w:numFmt w:val="lowerLetter"/>
      <w:start w:val="1"/>
    </w:lvl>
  </w:abstractNum>
  <w:abstractNum w:abstractNumId="26">
    <w:nsid w:val="288F1A34"/>
    <w:multiLevelType w:val="hybridMultilevel"/>
    <w:lvl w:ilvl="0">
      <w:lvlJc w:val="left"/>
      <w:lvlText w:val="(%1)"/>
      <w:numFmt w:val="lowerLetter"/>
      <w:start w:val="2"/>
    </w:lvl>
  </w:abstractNum>
  <w:abstractNum w:abstractNumId="27">
    <w:nsid w:val="2A155DBC"/>
    <w:multiLevelType w:val="hybridMultilevel"/>
    <w:lvl w:ilvl="0">
      <w:lvlJc w:val="left"/>
      <w:lvlText w:val="(%1)"/>
      <w:numFmt w:val="lowerLetter"/>
      <w:start w:val="1"/>
    </w:lvl>
  </w:abstractNum>
  <w:abstractNum w:abstractNumId="28">
    <w:nsid w:val="1D9F6E5F"/>
    <w:multiLevelType w:val="hybridMultilevel"/>
    <w:lvl w:ilvl="0">
      <w:lvlJc w:val="left"/>
      <w:lvlText w:val="(%1)"/>
      <w:numFmt w:val="lowerLetter"/>
      <w:start w:val="1"/>
    </w:lvl>
    <w:lvl w:ilvl="1">
      <w:lvlJc w:val="left"/>
      <w:lvlText w:val="(%2)"/>
      <w:numFmt w:val="lowerRoman"/>
      <w:start w:val="1"/>
    </w:lvl>
  </w:abstractNum>
  <w:abstractNum w:abstractNumId="29">
    <w:nsid w:val="97E1B4E"/>
    <w:multiLevelType w:val="hybridMultilevel"/>
    <w:lvl w:ilvl="0">
      <w:lvlJc w:val="left"/>
      <w:lvlText w:val="(%1)"/>
      <w:numFmt w:val="lowerLetter"/>
      <w:start w:val="3"/>
    </w:lvl>
  </w:abstractNum>
  <w:abstractNum w:abstractNumId="30">
    <w:nsid w:val="51088277"/>
    <w:multiLevelType w:val="hybridMultilevel"/>
    <w:lvl w:ilvl="0">
      <w:lvlJc w:val="left"/>
      <w:lvlText w:val="(%1)"/>
      <w:numFmt w:val="lowerLetter"/>
      <w:start w:val="1"/>
    </w:lvl>
  </w:abstractNum>
  <w:abstractNum w:abstractNumId="31">
    <w:nsid w:val="1CA0C5FA"/>
    <w:multiLevelType w:val="hybridMultilevel"/>
    <w:lvl w:ilvl="0">
      <w:lvlJc w:val="left"/>
      <w:lvlText w:val="(%1)"/>
      <w:numFmt w:val="lowerLetter"/>
      <w:start w:val="1"/>
    </w:lvl>
  </w:abstractNum>
  <w:abstractNum w:abstractNumId="32">
    <w:nsid w:val="53584BCB"/>
    <w:multiLevelType w:val="hybridMultilevel"/>
    <w:lvl w:ilvl="0">
      <w:lvlJc w:val="left"/>
      <w:lvlText w:val="(%1)"/>
      <w:numFmt w:val="lowerLetter"/>
      <w:start w:val="1"/>
    </w:lvl>
  </w:abstractNum>
  <w:abstractNum w:abstractNumId="33">
    <w:nsid w:val="415E286C"/>
    <w:multiLevelType w:val="hybridMultilevel"/>
    <w:lvl w:ilvl="0">
      <w:lvlJc w:val="left"/>
      <w:lvlText w:val="(%1)"/>
      <w:numFmt w:val="lowerRoman"/>
      <w:start w:val="2"/>
    </w:lvl>
  </w:abstractNum>
  <w:abstractNum w:abstractNumId="34">
    <w:nsid w:val="7C58FD05"/>
    <w:multiLevelType w:val="hybridMultilevel"/>
    <w:lvl w:ilvl="0">
      <w:lvlJc w:val="left"/>
      <w:lvlText w:val="(%1)"/>
      <w:numFmt w:val="lowerLetter"/>
      <w:start w:val="1"/>
    </w:lvl>
  </w:abstractNum>
  <w:abstractNum w:abstractNumId="35">
    <w:nsid w:val="23D86AAC"/>
    <w:multiLevelType w:val="hybridMultilevel"/>
    <w:lvl w:ilvl="0">
      <w:lvlJc w:val="left"/>
      <w:lvlText w:val="(%1)"/>
      <w:numFmt w:val="decimal"/>
      <w:start w:val="7"/>
    </w:lvl>
  </w:abstractNum>
  <w:abstractNum w:abstractNumId="36">
    <w:nsid w:val="45E6D486"/>
    <w:multiLevelType w:val="hybridMultilevel"/>
    <w:lvl w:ilvl="0">
      <w:lvlJc w:val="left"/>
      <w:lvlText w:val="(%1)"/>
      <w:numFmt w:val="lowerLetter"/>
      <w:start w:val="2"/>
    </w:lvl>
  </w:abstractNum>
  <w:abstractNum w:abstractNumId="37">
    <w:nsid w:val="5C10FE21"/>
    <w:multiLevelType w:val="hybridMultilevel"/>
    <w:lvl w:ilvl="0">
      <w:lvlJc w:val="left"/>
      <w:lvlText w:val="(%1)"/>
      <w:numFmt w:val="lowerLetter"/>
      <w:start w:val="1"/>
    </w:lvl>
  </w:abstractNum>
  <w:abstractNum w:abstractNumId="38">
    <w:nsid w:val="E7FFA2B"/>
    <w:multiLevelType w:val="hybridMultilevel"/>
    <w:lvl w:ilvl="0">
      <w:lvlJc w:val="left"/>
      <w:lvlText w:val="(%1)"/>
      <w:numFmt w:val="lowerLetter"/>
      <w:start w:val="2"/>
    </w:lvl>
  </w:abstractNum>
  <w:abstractNum w:abstractNumId="39">
    <w:nsid w:val="3C5991AA"/>
    <w:multiLevelType w:val="hybridMultilevel"/>
    <w:lvl w:ilvl="0">
      <w:lvlJc w:val="left"/>
      <w:lvlText w:val="(%1)"/>
      <w:numFmt w:val="lowerRoman"/>
      <w:start w:val="1"/>
    </w:lvl>
  </w:abstractNum>
  <w:abstractNum w:abstractNumId="40">
    <w:nsid w:val="4BD8591A"/>
    <w:multiLevelType w:val="hybridMultilevel"/>
    <w:lvl w:ilvl="0">
      <w:lvlJc w:val="left"/>
      <w:lvlText w:val="(%1)"/>
      <w:numFmt w:val="lowerLetter"/>
      <w:start w:val="2"/>
    </w:lvl>
  </w:abstractNum>
  <w:abstractNum w:abstractNumId="41">
    <w:nsid w:val="78DF6A55"/>
    <w:multiLevelType w:val="hybridMultilevel"/>
    <w:lvl w:ilvl="0">
      <w:lvlJc w:val="left"/>
      <w:lvlText w:val="(%1)"/>
      <w:numFmt w:val="lowerLetter"/>
      <w:start w:val="1"/>
    </w:lvl>
  </w:abstractNum>
  <w:abstractNum w:abstractNumId="42">
    <w:nsid w:val="39B7AAA2"/>
    <w:multiLevelType w:val="hybridMultilevel"/>
    <w:lvl w:ilvl="0">
      <w:lvlJc w:val="left"/>
      <w:lvlText w:val="(%1)"/>
      <w:numFmt w:val="lowerLetter"/>
      <w:start w:val="2"/>
    </w:lvl>
  </w:abstractNum>
  <w:abstractNum w:abstractNumId="43">
    <w:nsid w:val="2B0D8DBE"/>
    <w:multiLevelType w:val="hybridMultilevel"/>
    <w:lvl w:ilvl="0">
      <w:lvlJc w:val="left"/>
      <w:lvlText w:val="(%1)"/>
      <w:numFmt w:val="lowerLetter"/>
      <w:start w:val="4"/>
    </w:lvl>
  </w:abstractNum>
  <w:abstractNum w:abstractNumId="44">
    <w:nsid w:val="6C80EC70"/>
    <w:multiLevelType w:val="hybridMultilevel"/>
    <w:lvl w:ilvl="0">
      <w:lvlJc w:val="left"/>
      <w:lvlText w:val="(%1)"/>
      <w:numFmt w:val="lowerLetter"/>
      <w:start w:val="9"/>
    </w:lvl>
  </w:abstractNum>
  <w:abstractNum w:abstractNumId="45">
    <w:nsid w:val="379E21B5"/>
    <w:multiLevelType w:val="hybridMultilevel"/>
    <w:lvl w:ilvl="0">
      <w:lvlJc w:val="left"/>
      <w:lvlText w:val="(%1)"/>
      <w:numFmt w:val="lowerLetter"/>
      <w:start w:val="1"/>
    </w:lvl>
  </w:abstractNum>
  <w:abstractNum w:abstractNumId="46">
    <w:nsid w:val="69E373"/>
    <w:multiLevelType w:val="hybridMultilevel"/>
    <w:lvl w:ilvl="0">
      <w:lvlJc w:val="left"/>
      <w:lvlText w:val="(%1)"/>
      <w:numFmt w:val="decimal"/>
      <w:start w:val="1"/>
    </w:lvl>
  </w:abstractNum>
  <w:abstractNum w:abstractNumId="47">
    <w:nsid w:val="2C27173B"/>
    <w:multiLevelType w:val="hybridMultilevel"/>
    <w:lvl w:ilvl="0">
      <w:lvlJc w:val="left"/>
      <w:lvlText w:val="(%1)"/>
      <w:numFmt w:val="lowerRoman"/>
      <w:start w:val="2"/>
    </w:lvl>
  </w:abstractNum>
  <w:abstractNum w:abstractNumId="48">
    <w:nsid w:val="4C9B0904"/>
    <w:multiLevelType w:val="hybridMultilevel"/>
    <w:lvl w:ilvl="0">
      <w:lvlJc w:val="left"/>
      <w:lvlText w:val="(%1)"/>
      <w:numFmt w:val="lowerLetter"/>
      <w:start w:val="4"/>
    </w:lvl>
  </w:abstractNum>
  <w:abstractNum w:abstractNumId="49">
    <w:nsid w:val="6AA7B75C"/>
    <w:multiLevelType w:val="hybridMultilevel"/>
    <w:lvl w:ilvl="0">
      <w:lvlJc w:val="left"/>
      <w:lvlText w:val="(%1)"/>
      <w:numFmt w:val="lowerLetter"/>
      <w:start w:val="1"/>
    </w:lvl>
  </w:abstractNum>
  <w:abstractNum w:abstractNumId="50">
    <w:nsid w:val="1DF029D3"/>
    <w:multiLevelType w:val="hybridMultilevel"/>
    <w:lvl w:ilvl="0">
      <w:lvlJc w:val="left"/>
      <w:lvlText w:val="(%1)"/>
      <w:numFmt w:val="lowerRoman"/>
      <w:start w:val="1"/>
    </w:lvl>
  </w:abstractNum>
  <w:abstractNum w:abstractNumId="51">
    <w:nsid w:val="5675FF36"/>
    <w:multiLevelType w:val="hybridMultilevel"/>
    <w:lvl w:ilvl="0">
      <w:lvlJc w:val="left"/>
      <w:lvlText w:val="(%1)"/>
      <w:numFmt w:val="lowerLetter"/>
      <w:start w:val="1"/>
    </w:lvl>
  </w:abstractNum>
  <w:abstractNum w:abstractNumId="52">
    <w:nsid w:val="3DD15094"/>
    <w:multiLevelType w:val="hybridMultilevel"/>
    <w:lvl w:ilvl="0">
      <w:lvlJc w:val="left"/>
      <w:lvlText w:val="(%1)"/>
      <w:numFmt w:val="lowerLetter"/>
      <w:start w:val="5"/>
    </w:lvl>
  </w:abstractNum>
  <w:abstractNum w:abstractNumId="53">
    <w:nsid w:val="3DB012B3"/>
    <w:multiLevelType w:val="hybridMultilevel"/>
    <w:lvl w:ilvl="0">
      <w:lvlJc w:val="left"/>
      <w:lvlText w:val="(%1)"/>
      <w:numFmt w:val="lowerRoman"/>
      <w:start w:val="2"/>
    </w:lvl>
  </w:abstractNum>
  <w:abstractNum w:abstractNumId="54">
    <w:nsid w:val="2708C9AF"/>
    <w:multiLevelType w:val="hybridMultilevel"/>
    <w:lvl w:ilvl="0">
      <w:lvlJc w:val="left"/>
      <w:lvlText w:val="(%1)"/>
      <w:numFmt w:val="lowerRoman"/>
      <w:start w:val="1"/>
    </w:lvl>
  </w:abstractNum>
  <w:abstractNum w:abstractNumId="55">
    <w:nsid w:val="5B25ACE2"/>
    <w:multiLevelType w:val="hybridMultilevel"/>
    <w:lvl w:ilvl="0">
      <w:lvlJc w:val="left"/>
      <w:lvlText w:val="(%1)"/>
      <w:numFmt w:val="lowerLetter"/>
      <w:start w:val="12"/>
    </w:lvl>
  </w:abstractNum>
  <w:abstractNum w:abstractNumId="56">
    <w:nsid w:val="175DFCF0"/>
    <w:multiLevelType w:val="hybridMultilevel"/>
    <w:lvl w:ilvl="0">
      <w:lvlJc w:val="left"/>
      <w:lvlText w:val="(%1)"/>
      <w:numFmt w:val="lowerRoman"/>
      <w:start w:val="2"/>
    </w:lvl>
  </w:abstractNum>
  <w:abstractNum w:abstractNumId="57">
    <w:nsid w:val="4F97E3E4"/>
    <w:multiLevelType w:val="hybridMultilevel"/>
    <w:lvl w:ilvl="0">
      <w:lvlJc w:val="left"/>
      <w:lvlText w:val="(%1)"/>
      <w:numFmt w:val="lowerLetter"/>
      <w:start w:val="2"/>
    </w:lvl>
  </w:abstractNum>
  <w:abstractNum w:abstractNumId="58">
    <w:nsid w:val="53B0A9E"/>
    <w:multiLevelType w:val="hybridMultilevel"/>
    <w:lvl w:ilvl="0">
      <w:lvlJc w:val="left"/>
      <w:lvlText w:val="(%1)"/>
      <w:numFmt w:val="lowerLetter"/>
      <w:start w:val="2"/>
    </w:lvl>
  </w:abstractNum>
  <w:abstractNum w:abstractNumId="59">
    <w:nsid w:val="34FD6B4F"/>
    <w:multiLevelType w:val="hybridMultilevel"/>
    <w:lvl w:ilvl="0">
      <w:lvlJc w:val="left"/>
      <w:lvlText w:val="%1"/>
      <w:numFmt w:val="lowerLetter"/>
      <w:start w:val="1"/>
    </w:lvl>
    <w:lvl w:ilvl="1">
      <w:lvlJc w:val="left"/>
      <w:lvlText w:val="(%2)"/>
      <w:numFmt w:val="lowerLetter"/>
      <w:start w:val="1"/>
    </w:lvl>
  </w:abstractNum>
  <w:abstractNum w:abstractNumId="60">
    <w:nsid w:val="5915FF32"/>
    <w:multiLevelType w:val="hybridMultilevel"/>
    <w:lvl w:ilvl="0">
      <w:lvlJc w:val="left"/>
      <w:lvlText w:val="(%1)"/>
      <w:numFmt w:val="lowerLetter"/>
      <w:start w:val="9"/>
    </w:lvl>
    <w:lvl w:ilvl="1">
      <w:lvlJc w:val="left"/>
      <w:lvlText w:val="%2"/>
      <w:numFmt w:val="lowerLetter"/>
      <w:start w:val="1"/>
    </w:lvl>
  </w:abstractNum>
  <w:abstractNum w:abstractNumId="61">
    <w:nsid w:val="56438D15"/>
    <w:multiLevelType w:val="hybridMultilevel"/>
    <w:lvl w:ilvl="0">
      <w:lvlJc w:val="left"/>
      <w:lvlText w:val="(%1)"/>
      <w:numFmt w:val="lowerRoman"/>
      <w:start w:val="5"/>
    </w:lvl>
    <w:lvl w:ilvl="1">
      <w:lvlJc w:val="left"/>
      <w:lvlText w:val="%2"/>
      <w:numFmt w:val="lowerLetter"/>
      <w:start w:val="1"/>
    </w:lvl>
  </w:abstractNum>
  <w:abstractNum w:abstractNumId="62">
    <w:nsid w:val="519E3149"/>
    <w:multiLevelType w:val="hybridMultilevel"/>
    <w:lvl w:ilvl="0">
      <w:lvlJc w:val="left"/>
      <w:lvlText w:val="(%1)"/>
      <w:numFmt w:val="lowerRoman"/>
      <w:start w:val="9"/>
    </w:lvl>
    <w:lvl w:ilvl="1">
      <w:lvlJc w:val="left"/>
      <w:lvlText w:val="(%2)"/>
      <w:numFmt w:val="lowerLetter"/>
      <w:start w:val="3"/>
    </w:lvl>
  </w:abstractNum>
  <w:abstractNum w:abstractNumId="63">
    <w:nsid w:val="2C6E4AFD"/>
    <w:multiLevelType w:val="hybridMultilevel"/>
    <w:lvl w:ilvl="0">
      <w:lvlJc w:val="left"/>
      <w:lvlText w:val="%1"/>
      <w:numFmt w:val="lowerLetter"/>
      <w:start w:val="1"/>
    </w:lvl>
    <w:lvl w:ilvl="1">
      <w:lvlJc w:val="left"/>
      <w:lvlText w:val="(%2)"/>
      <w:numFmt w:val="lowerLetter"/>
      <w:start w:val="1"/>
    </w:lvl>
  </w:abstractNum>
  <w:abstractNum w:abstractNumId="64">
    <w:nsid w:val="17A1B582"/>
    <w:multiLevelType w:val="hybridMultilevel"/>
    <w:lvl w:ilvl="0">
      <w:lvlJc w:val="left"/>
      <w:lvlText w:val="(%1)"/>
      <w:numFmt w:val="lowerLetter"/>
      <w:start w:val="3"/>
    </w:lvl>
    <w:lvl w:ilvl="1">
      <w:lvlJc w:val="left"/>
      <w:lvlText w:val="%2"/>
      <w:numFmt w:val="lowerLetter"/>
      <w:start w:val="1"/>
    </w:lvl>
  </w:abstractNum>
  <w:abstractNum w:abstractNumId="65">
    <w:nsid w:val="4DF72E4E"/>
    <w:multiLevelType w:val="hybridMultilevel"/>
    <w:lvl w:ilvl="0">
      <w:lvlJc w:val="left"/>
      <w:lvlText w:val="(%1)"/>
      <w:numFmt w:val="lowerRoman"/>
      <w:start w:val="2"/>
    </w:lvl>
  </w:abstractNum>
  <w:abstractNum w:abstractNumId="66">
    <w:nsid w:val="5046B5A9"/>
    <w:multiLevelType w:val="hybridMultilevel"/>
    <w:lvl w:ilvl="0">
      <w:lvlJc w:val="left"/>
      <w:lvlText w:val="(%1)"/>
      <w:numFmt w:val="lowerLetter"/>
      <w:start w:val="1"/>
    </w:lvl>
  </w:abstractNum>
  <w:abstractNum w:abstractNumId="67">
    <w:nsid w:val="5D888A08"/>
    <w:multiLevelType w:val="hybridMultilevel"/>
    <w:lvl w:ilvl="0">
      <w:lvlJc w:val="left"/>
      <w:lvlText w:val="(%1)"/>
      <w:numFmt w:val="lowerLetter"/>
      <w:start w:val="2"/>
    </w:lvl>
  </w:abstractNum>
  <w:abstractNum w:abstractNumId="68">
    <w:nsid w:val="2A082C70"/>
    <w:multiLevelType w:val="hybridMultilevel"/>
    <w:lvl w:ilvl="0">
      <w:lvlJc w:val="left"/>
      <w:lvlText w:val="(%1)"/>
      <w:numFmt w:val="lowerLetter"/>
      <w:start w:val="1"/>
    </w:lvl>
  </w:abstractNum>
  <w:abstractNum w:abstractNumId="69">
    <w:nsid w:val="5EC6AFD4"/>
    <w:multiLevelType w:val="hybridMultilevel"/>
    <w:lvl w:ilvl="0">
      <w:lvlJc w:val="left"/>
      <w:lvlText w:val="(%1)"/>
      <w:numFmt w:val="lowerLetter"/>
      <w:start w:val="6"/>
    </w:lvl>
  </w:abstractNum>
  <w:abstractNum w:abstractNumId="70">
    <w:nsid w:val="19E21BB2"/>
    <w:multiLevelType w:val="hybridMultilevel"/>
    <w:lvl w:ilvl="0">
      <w:lvlJc w:val="left"/>
      <w:lvlText w:val="(%1)"/>
      <w:numFmt w:val="lowerLetter"/>
      <w:start w:val="16"/>
    </w:lvl>
  </w:abstractNum>
  <w:abstractNum w:abstractNumId="71">
    <w:nsid w:val="75E0858A"/>
    <w:multiLevelType w:val="hybridMultilevel"/>
    <w:lvl w:ilvl="0">
      <w:lvlJc w:val="left"/>
      <w:lvlText w:val="(%1)"/>
      <w:numFmt w:val="lowerRoman"/>
      <w:start w:val="2"/>
    </w:lvl>
  </w:abstractNum>
  <w:abstractNum w:abstractNumId="72">
    <w:nsid w:val="57A61A29"/>
    <w:multiLevelType w:val="hybridMultilevel"/>
    <w:lvl w:ilvl="0">
      <w:lvlJc w:val="left"/>
      <w:lvlText w:val="(%1)"/>
      <w:numFmt w:val="lowerLetter"/>
      <w:start w:val="1"/>
    </w:lvl>
  </w:abstractNum>
  <w:abstractNum w:abstractNumId="73">
    <w:nsid w:val="5399C654"/>
    <w:multiLevelType w:val="hybridMultilevel"/>
    <w:lvl w:ilvl="0">
      <w:lvlJc w:val="left"/>
      <w:lvlText w:val="(%1)"/>
      <w:numFmt w:val="lowerLetter"/>
      <w:start w:val="5"/>
    </w:lvl>
  </w:abstractNum>
  <w:abstractNum w:abstractNumId="74">
    <w:nsid w:val="20EE1348"/>
    <w:multiLevelType w:val="hybridMultilevel"/>
    <w:lvl w:ilvl="0">
      <w:lvlJc w:val="left"/>
      <w:lvlText w:val="(%1)"/>
      <w:numFmt w:val="lowerLetter"/>
      <w:start w:val="13"/>
    </w:lvl>
  </w:abstractNum>
  <w:abstractNum w:abstractNumId="75">
    <w:nsid w:val="4427069A"/>
    <w:multiLevelType w:val="hybridMultilevel"/>
    <w:lvl w:ilvl="0">
      <w:lvlJc w:val="left"/>
      <w:lvlText w:val="(%1)"/>
      <w:numFmt w:val="lowerLetter"/>
      <w:start w:val="1"/>
    </w:lvl>
  </w:abstractNum>
  <w:abstractNum w:abstractNumId="76">
    <w:nsid w:val="B37E80A"/>
    <w:multiLevelType w:val="hybridMultilevel"/>
    <w:lvl w:ilvl="0">
      <w:lvlJc w:val="left"/>
      <w:lvlText w:val="(%1)"/>
      <w:numFmt w:val="lowerLetter"/>
      <w:start w:val="2"/>
    </w:lvl>
  </w:abstractNum>
  <w:abstractNum w:abstractNumId="77">
    <w:nsid w:val="2157F6BC"/>
    <w:multiLevelType w:val="hybridMultilevel"/>
    <w:lvl w:ilvl="0">
      <w:lvlJc w:val="left"/>
      <w:lvlText w:val="%1"/>
      <w:numFmt w:val="lowerLetter"/>
      <w:start w:val="1"/>
    </w:lvl>
    <w:lvl w:ilvl="1">
      <w:lvlJc w:val="left"/>
      <w:lvlText w:val="(%2)"/>
      <w:numFmt w:val="lowerLetter"/>
      <w:start w:val="1"/>
    </w:lvl>
  </w:abstractNum>
  <w:abstractNum w:abstractNumId="78">
    <w:nsid w:val="704E1DD5"/>
    <w:multiLevelType w:val="hybridMultilevel"/>
    <w:lvl w:ilvl="0">
      <w:lvlJc w:val="left"/>
      <w:lvlText w:val="(%1)"/>
      <w:numFmt w:val="lowerLetter"/>
      <w:start w:val="9"/>
    </w:lvl>
    <w:lvl w:ilvl="1">
      <w:lvlJc w:val="left"/>
      <w:lvlText w:val="%2"/>
      <w:numFmt w:val="lowerLetter"/>
      <w:start w:val="1"/>
    </w:lvl>
  </w:abstractNum>
  <w:abstractNum w:abstractNumId="79">
    <w:nsid w:val="57D2F10E"/>
    <w:multiLevelType w:val="hybridMultilevel"/>
    <w:lvl w:ilvl="0">
      <w:lvlJc w:val="left"/>
      <w:lvlText w:val="(%1)"/>
      <w:numFmt w:val="lowerLetter"/>
      <w:start w:val="1"/>
    </w:lvl>
  </w:abstractNum>
  <w:abstractNum w:abstractNumId="80">
    <w:nsid w:val="BFFAE18"/>
    <w:multiLevelType w:val="hybridMultilevel"/>
    <w:lvl w:ilvl="0">
      <w:lvlJc w:val="left"/>
      <w:lvlText w:val="%1"/>
      <w:numFmt w:val="decimal"/>
      <w:start w:val="1"/>
    </w:lvl>
    <w:lvl w:ilvl="1">
      <w:lvlJc w:val="left"/>
      <w:lvlText w:val="(%2)"/>
      <w:numFmt w:val="lowerLetter"/>
      <w:start w:val="1"/>
    </w:lvl>
  </w:abstractNum>
  <w:abstractNum w:abstractNumId="81">
    <w:nsid w:val="E3E47A8"/>
    <w:multiLevelType w:val="hybridMultilevel"/>
    <w:lvl w:ilvl="0">
      <w:lvlJc w:val="left"/>
      <w:lvlText w:val="(%1)"/>
      <w:numFmt w:val="decimal"/>
      <w:start w:val="1"/>
    </w:lvl>
    <w:lvl w:ilvl="1">
      <w:lvlJc w:val="left"/>
      <w:lvlText w:val="%2"/>
      <w:numFmt w:val="lowerLetter"/>
      <w:start w:val="1"/>
    </w:lvl>
  </w:abstractNum>
  <w:abstractNum w:abstractNumId="82">
    <w:nsid w:val="2E48F044"/>
    <w:multiLevelType w:val="hybridMultilevel"/>
    <w:lvl w:ilvl="0">
      <w:lvlJc w:val="left"/>
      <w:lvlText w:val="(%1)"/>
      <w:numFmt w:val="lowerLetter"/>
      <w:start w:val="25"/>
    </w:lvl>
  </w:abstractNum>
  <w:abstractNum w:abstractNumId="83">
    <w:nsid w:val="49D0FEAC"/>
    <w:multiLevelType w:val="hybridMultilevel"/>
    <w:lvl w:ilvl="0">
      <w:lvlJc w:val="left"/>
      <w:lvlText w:val="(%1)"/>
      <w:numFmt w:val="lowerLetter"/>
      <w:start w:val="1"/>
    </w:lvl>
  </w:abstractNum>
  <w:abstractNum w:abstractNumId="84">
    <w:nsid w:val="4BEE5A5B"/>
    <w:multiLevelType w:val="hybridMultilevel"/>
    <w:lvl w:ilvl="0">
      <w:lvlJc w:val="left"/>
      <w:lvlText w:val="(%1)"/>
      <w:numFmt w:val="lowerLetter"/>
      <w:start w:val="5"/>
    </w:lvl>
  </w:abstractNum>
  <w:abstractNum w:abstractNumId="85">
    <w:nsid w:val="5551B9F3"/>
    <w:multiLevelType w:val="hybridMultilevel"/>
    <w:lvl w:ilvl="0">
      <w:lvlJc w:val="left"/>
      <w:lvlText w:val="(%1)"/>
      <w:numFmt w:val="lowerLetter"/>
      <w:start w:val="1"/>
    </w:lvl>
  </w:abstractNum>
  <w:abstractNum w:abstractNumId="86">
    <w:nsid w:val="24F6AB8E"/>
    <w:multiLevelType w:val="hybridMultilevel"/>
    <w:lvl w:ilvl="0">
      <w:lvlJc w:val="left"/>
      <w:lvlText w:val="(%1)"/>
      <w:numFmt w:val="lowerLetter"/>
      <w:start w:val="1"/>
    </w:lvl>
  </w:abstractNum>
  <w:abstractNum w:abstractNumId="87">
    <w:nsid w:val="634C574C"/>
    <w:multiLevelType w:val="hybridMultilevel"/>
    <w:lvl w:ilvl="0">
      <w:lvlJc w:val="left"/>
      <w:lvlText w:val="(%1)"/>
      <w:numFmt w:val="lowerLetter"/>
      <w:start w:val="2"/>
    </w:lvl>
  </w:abstractNum>
  <w:abstractNum w:abstractNumId="88">
    <w:nsid w:val="24E99DD7"/>
    <w:multiLevelType w:val="hybridMultilevel"/>
    <w:lvl w:ilvl="0">
      <w:lvlJc w:val="left"/>
      <w:lvlText w:val="(%1)"/>
      <w:numFmt w:val="lowerLetter"/>
      <w:start w:val="1"/>
    </w:lvl>
  </w:abstractNum>
  <w:abstractNum w:abstractNumId="89">
    <w:nsid w:val="2A31B62D"/>
    <w:multiLevelType w:val="hybridMultilevel"/>
    <w:lvl w:ilvl="0">
      <w:lvlJc w:val="left"/>
      <w:lvlText w:val="(%1)"/>
      <w:numFmt w:val="lowerLetter"/>
      <w:start w:val="6"/>
    </w:lvl>
  </w:abstractNum>
  <w:abstractNum w:abstractNumId="90">
    <w:nsid w:val="1849C29B"/>
    <w:multiLevelType w:val="hybridMultilevel"/>
    <w:lvl w:ilvl="0">
      <w:lvlJc w:val="left"/>
      <w:lvlText w:val="(%1)"/>
      <w:numFmt w:val="lowerLetter"/>
      <w:start w:val="1"/>
    </w:lvl>
  </w:abstractNum>
  <w:abstractNum w:abstractNumId="91">
    <w:nsid w:val="7DFF9D09"/>
    <w:multiLevelType w:val="hybridMultilevel"/>
    <w:lvl w:ilvl="0">
      <w:lvlJc w:val="left"/>
      <w:lvlText w:val="%1"/>
      <w:numFmt w:val="decimal"/>
      <w:start w:val="1"/>
    </w:lvl>
    <w:lvl w:ilvl="1">
      <w:lvlJc w:val="left"/>
      <w:lvlText w:val="(%2)"/>
      <w:numFmt w:val="lowerLetter"/>
      <w:start w:val="4"/>
    </w:lvl>
  </w:abstractNum>
  <w:abstractNum w:abstractNumId="92">
    <w:nsid w:val="754342"/>
    <w:multiLevelType w:val="hybridMultilevel"/>
    <w:lvl w:ilvl="0">
      <w:lvlJc w:val="left"/>
      <w:lvlText w:val="(%1)"/>
      <w:numFmt w:val="decimal"/>
      <w:start w:val="5"/>
    </w:lvl>
    <w:lvl w:ilvl="1">
      <w:lvlJc w:val="left"/>
      <w:lvlText w:val="%2"/>
      <w:numFmt w:val="lowerLetter"/>
      <w:start w:val="1"/>
    </w:lvl>
  </w:abstractNum>
  <w:abstractNum w:abstractNumId="93">
    <w:nsid w:val="69E7F3E5"/>
    <w:multiLevelType w:val="hybridMultilevel"/>
    <w:lvl w:ilvl="0">
      <w:lvlJc w:val="left"/>
      <w:lvlText w:val="%1"/>
      <w:numFmt w:val="lowerRoman"/>
      <w:start w:val="1"/>
    </w:lvl>
    <w:lvl w:ilvl="1">
      <w:lvlJc w:val="left"/>
      <w:lvlText w:val="(%2)"/>
      <w:numFmt w:val="lowerLetter"/>
      <w:start w:val="9"/>
    </w:lvl>
  </w:abstractNum>
  <w:abstractNum w:abstractNumId="94">
    <w:nsid w:val="2A6DE806"/>
    <w:multiLevelType w:val="hybridMultilevel"/>
    <w:lvl w:ilvl="0">
      <w:lvlJc w:val="left"/>
      <w:lvlText w:val="(%1)"/>
      <w:numFmt w:val="lowerRoman"/>
      <w:start w:val="4"/>
    </w:lvl>
    <w:lvl w:ilvl="1">
      <w:lvlJc w:val="left"/>
      <w:lvlText w:val="(%2)"/>
      <w:numFmt w:val="lowerLetter"/>
      <w:start w:val="11"/>
    </w:lvl>
  </w:abstractNum>
  <w:abstractNum w:abstractNumId="95">
    <w:nsid w:val="1816F8C4"/>
    <w:multiLevelType w:val="hybridMultilevel"/>
    <w:lvl w:ilvl="0">
      <w:lvlJc w:val="left"/>
      <w:lvlText w:val="(%1)"/>
      <w:numFmt w:val="lowerLetter"/>
      <w:start w:val="1"/>
    </w:lvl>
  </w:abstractNum>
  <w:abstractNum w:abstractNumId="96">
    <w:nsid w:val="37DF2233"/>
    <w:multiLevelType w:val="hybridMultilevel"/>
    <w:lvl w:ilvl="0">
      <w:lvlJc w:val="left"/>
      <w:lvlText w:val="(%1)"/>
      <w:numFmt w:val="lowerLetter"/>
      <w:start w:val="1"/>
    </w:lvl>
    <w:lvl w:ilvl="1">
      <w:lvlJc w:val="left"/>
      <w:lvlText w:val="(%2)"/>
      <w:numFmt w:val="lowerRoman"/>
      <w:start w:val="1"/>
    </w:lvl>
  </w:abstractNum>
  <w:abstractNum w:abstractNumId="97">
    <w:nsid w:val="7AB49DAF"/>
    <w:multiLevelType w:val="hybridMultilevel"/>
    <w:lvl w:ilvl="0">
      <w:lvlJc w:val="left"/>
      <w:lvlText w:val="(%1)"/>
      <w:numFmt w:val="lowerLetter"/>
      <w:start w:val="2"/>
    </w:lvl>
  </w:abstractNum>
  <w:abstractNum w:abstractNumId="98">
    <w:nsid w:val="759F82CD"/>
    <w:multiLevelType w:val="hybridMultilevel"/>
    <w:lvl w:ilvl="0">
      <w:lvlJc w:val="left"/>
      <w:lvlText w:val="(%1)"/>
      <w:numFmt w:val="lowerLetter"/>
      <w:start w:val="3"/>
    </w:lvl>
  </w:abstractNum>
  <w:abstractNum w:abstractNumId="99">
    <w:nsid w:val="61E74EA3"/>
    <w:multiLevelType w:val="hybridMultilevel"/>
    <w:lvl w:ilvl="0">
      <w:lvlJc w:val="left"/>
      <w:lvlText w:val="(%1)"/>
      <w:numFmt w:val="lowerLetter"/>
      <w:start w:val="1"/>
    </w:lvl>
  </w:abstractNum>
  <w:abstractNum w:abstractNumId="100">
    <w:nsid w:val="597B4D84"/>
    <w:multiLevelType w:val="hybridMultilevel"/>
    <w:lvl w:ilvl="0">
      <w:lvlJc w:val="left"/>
      <w:lvlText w:val="(%1)"/>
      <w:numFmt w:val="lowerLetter"/>
      <w:start w:val="2"/>
    </w:lvl>
  </w:abstractNum>
  <w:abstractNum w:abstractNumId="101">
    <w:nsid w:val="F819E7F"/>
    <w:multiLevelType w:val="hybridMultilevel"/>
    <w:lvl w:ilvl="0">
      <w:lvlJc w:val="left"/>
      <w:lvlText w:val="(%1)"/>
      <w:numFmt w:val="lowerLetter"/>
      <w:start w:val="5"/>
    </w:lvl>
  </w:abstractNum>
  <w:abstractNum w:abstractNumId="102">
    <w:nsid w:val="57C7D42D"/>
    <w:multiLevelType w:val="hybridMultilevel"/>
    <w:lvl w:ilvl="0">
      <w:lvlJc w:val="left"/>
      <w:lvlText w:val="(%1)"/>
      <w:numFmt w:val="decimal"/>
      <w:start w:val="1"/>
    </w:lvl>
    <w:lvl w:ilvl="1">
      <w:lvlJc w:val="left"/>
      <w:lvlText w:val="(%2)"/>
      <w:numFmt w:val="lowerLetter"/>
      <w:start w:val="1"/>
    </w:lvl>
  </w:abstractNum>
  <w:abstractNum w:abstractNumId="103">
    <w:nsid w:val="312167AD"/>
    <w:multiLevelType w:val="hybridMultilevel"/>
    <w:lvl w:ilvl="0">
      <w:lvlJc w:val="left"/>
      <w:lvlText w:val="(%1)"/>
      <w:numFmt w:val="lowerLetter"/>
      <w:start w:val="2"/>
    </w:lvl>
  </w:abstractNum>
  <w:abstractNum w:abstractNumId="104">
    <w:nsid w:val="631B64D4"/>
    <w:multiLevelType w:val="hybridMultilevel"/>
    <w:lvl w:ilvl="0">
      <w:lvlJc w:val="left"/>
      <w:lvlText w:val="(%1)"/>
      <w:numFmt w:val="decimal"/>
      <w:start w:val="2"/>
    </w:lvl>
  </w:abstractNum>
  <w:abstractNum w:abstractNumId="105">
    <w:nsid w:val="78B5E776"/>
    <w:multiLevelType w:val="hybridMultilevel"/>
    <w:lvl w:ilvl="0">
      <w:lvlJc w:val="left"/>
      <w:lvlText w:val="(%1)"/>
      <w:numFmt w:val="decimal"/>
      <w:start w:val="1"/>
    </w:lvl>
  </w:abstractNum>
  <w:abstractNum w:abstractNumId="106">
    <w:nsid w:val="75486E47"/>
    <w:multiLevelType w:val="hybridMultilevel"/>
    <w:lvl w:ilvl="0">
      <w:lvlJc w:val="left"/>
      <w:lvlText w:val="(%1)"/>
      <w:numFmt w:val="lowerLetter"/>
      <w:start w:val="1"/>
    </w:lvl>
  </w:abstractNum>
  <w:abstractNum w:abstractNumId="107">
    <w:nsid w:val="6E534CDE"/>
    <w:multiLevelType w:val="hybridMultilevel"/>
    <w:lvl w:ilvl="0">
      <w:lvlJc w:val="left"/>
      <w:lvlText w:val="%1"/>
      <w:numFmt w:val="lowerLetter"/>
      <w:start w:val="1"/>
    </w:lvl>
    <w:lvl w:ilvl="1">
      <w:lvlJc w:val="left"/>
      <w:lvlText w:val="(%2)"/>
      <w:numFmt w:val="lowerRoman"/>
      <w:start w:val="1"/>
    </w:lvl>
  </w:abstractNum>
  <w:abstractNum w:abstractNumId="108">
    <w:nsid w:val="1A0DDE32"/>
    <w:multiLevelType w:val="hybridMultilevel"/>
    <w:lvl w:ilvl="0">
      <w:lvlJc w:val="left"/>
      <w:lvlText w:val="(%1)"/>
      <w:numFmt w:val="lowerLetter"/>
      <w:start w:val="2"/>
    </w:lvl>
    <w:lvl w:ilvl="1">
      <w:lvlJc w:val="left"/>
      <w:lvlText w:val="%2"/>
      <w:numFmt w:val="lowerRoman"/>
      <w:start w:val="1"/>
    </w:lvl>
  </w:abstractNum>
  <w:abstractNum w:abstractNumId="109">
    <w:nsid w:val="65968C1C"/>
    <w:multiLevelType w:val="hybridMultilevel"/>
    <w:lvl w:ilvl="0">
      <w:lvlJc w:val="left"/>
      <w:lvlText w:val="(%1)"/>
      <w:numFmt w:val="lowerLetter"/>
      <w:start w:val="1"/>
    </w:lvl>
  </w:abstractNum>
  <w:abstractNum w:abstractNumId="110">
    <w:nsid w:val="46263DEC"/>
    <w:multiLevelType w:val="hybridMultilevel"/>
    <w:lvl w:ilvl="0">
      <w:lvlJc w:val="left"/>
      <w:lvlText w:val="%1"/>
      <w:numFmt w:val="lowerLetter"/>
      <w:start w:val="1"/>
    </w:lvl>
    <w:lvl w:ilvl="1">
      <w:lvlJc w:val="left"/>
      <w:lvlText w:val="(%2)"/>
      <w:numFmt w:val="lowerLetter"/>
      <w:start w:val="2"/>
    </w:lvl>
  </w:abstractNum>
  <w:abstractNum w:abstractNumId="111">
    <w:nsid w:val="260D8C4A"/>
    <w:multiLevelType w:val="hybridMultilevel"/>
    <w:lvl w:ilvl="0">
      <w:lvlJc w:val="left"/>
      <w:lvlText w:val="(%1)"/>
      <w:numFmt w:val="lowerLetter"/>
      <w:start w:val="35"/>
    </w:lvl>
    <w:lvl w:ilvl="1">
      <w:lvlJc w:val="left"/>
      <w:lvlText w:val="%2"/>
      <w:numFmt w:val="lowerLetter"/>
      <w:start w:val="1"/>
    </w:lvl>
  </w:abstractNum>
  <w:abstractNum w:abstractNumId="112">
    <w:nsid w:val="73D4D3C4"/>
    <w:multiLevelType w:val="hybridMultilevel"/>
    <w:lvl w:ilvl="0">
      <w:lvlJc w:val="left"/>
      <w:lvlText w:val="(%1)"/>
      <w:numFmt w:val="lowerLetter"/>
      <w:start w:val="2"/>
    </w:lvl>
  </w:abstractNum>
  <w:abstractNum w:abstractNumId="113">
    <w:nsid w:val="746F2E30"/>
    <w:multiLevelType w:val="hybridMultilevel"/>
    <w:lvl w:ilvl="0">
      <w:lvlJc w:val="left"/>
      <w:lvlText w:val="(%1)"/>
      <w:numFmt w:val="lowerLetter"/>
      <w:start w:val="1"/>
    </w:lvl>
  </w:abstractNum>
  <w:abstractNum w:abstractNumId="114">
    <w:nsid w:val="6FDE8AF6"/>
    <w:multiLevelType w:val="hybridMultilevel"/>
    <w:lvl w:ilvl="0">
      <w:lvlJc w:val="left"/>
      <w:lvlText w:val="%1"/>
      <w:numFmt w:val="upperLetter"/>
      <w:start w:val="1"/>
    </w:lvl>
    <w:lvl w:ilvl="1">
      <w:lvlJc w:val="left"/>
      <w:lvlText w:val="(%2)"/>
      <w:numFmt w:val="lowerLetter"/>
      <w:start w:val="1"/>
    </w:lvl>
  </w:abstractNum>
  <w:abstractNum w:abstractNumId="115">
    <w:nsid w:val="3FC32E20"/>
    <w:multiLevelType w:val="hybridMultilevel"/>
    <w:lvl w:ilvl="0">
      <w:lvlJc w:val="left"/>
      <w:lvlText w:val="(%1)"/>
      <w:numFmt w:val="upperLetter"/>
      <w:start w:val="2"/>
    </w:lvl>
    <w:lvl w:ilvl="1">
      <w:lvlJc w:val="left"/>
      <w:lvlText w:val="(%2)"/>
      <w:numFmt w:val="lowerLetter"/>
      <w:start w:val="3"/>
    </w:lvl>
  </w:abstractNum>
  <w:abstractNum w:abstractNumId="116">
    <w:nsid w:val="49C0E823"/>
    <w:multiLevelType w:val="hybridMultilevel"/>
    <w:lvl w:ilvl="0">
      <w:lvlJc w:val="left"/>
      <w:lvlText w:val="(%1)"/>
      <w:numFmt w:val="lowerLetter"/>
      <w:start w:val="4"/>
    </w:lvl>
  </w:abstractNum>
  <w:abstractNum w:abstractNumId="117">
    <w:nsid w:val="14D53685"/>
    <w:multiLevelType w:val="hybridMultilevel"/>
    <w:lvl w:ilvl="0">
      <w:lvlJc w:val="left"/>
      <w:lvlText w:val="(%1)"/>
      <w:numFmt w:val="lowerLetter"/>
      <w:start w:val="7"/>
    </w:lvl>
  </w:abstractNum>
  <w:abstractNum w:abstractNumId="118">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9">
    <w:nsid w:val="6EAA85FB"/>
    <w:multiLevelType w:val="hybridMultilevel"/>
    <w:lvl w:ilvl="0">
      <w:lvlJc w:val="left"/>
      <w:lvlText w:val="%1"/>
      <w:numFmt w:val="lowerRoman"/>
      <w:start w:val="1"/>
    </w:lvl>
    <w:lvl w:ilvl="1">
      <w:lvlJc w:val="left"/>
      <w:lvlText w:val="(%2)"/>
      <w:numFmt w:val="upperLetter"/>
      <w:start w:val="2"/>
    </w:lvl>
  </w:abstractNum>
  <w:abstractNum w:abstractNumId="120">
    <w:nsid w:val="3F06ECB2"/>
    <w:multiLevelType w:val="hybridMultilevel"/>
    <w:lvl w:ilvl="0">
      <w:lvlJc w:val="left"/>
      <w:lvlText w:val="(%1)"/>
      <w:numFmt w:val="lowerRoman"/>
      <w:start w:val="4"/>
    </w:lvl>
    <w:lvl w:ilvl="1">
      <w:lvlJc w:val="left"/>
      <w:lvlText w:val="%2"/>
      <w:numFmt w:val="upperLetter"/>
      <w:start w:val="1"/>
    </w:lvl>
  </w:abstractNum>
  <w:abstractNum w:abstractNumId="121">
    <w:nsid w:val="3B594807"/>
    <w:multiLevelType w:val="hybridMultilevel"/>
    <w:lvl w:ilvl="0">
      <w:lvlJc w:val="left"/>
      <w:lvlText w:val="(%1)"/>
      <w:numFmt w:val="lowerLetter"/>
      <w:start w:val="2"/>
    </w:lvl>
  </w:abstractNum>
  <w:abstractNum w:abstractNumId="122">
    <w:nsid w:val="6CAA2304"/>
    <w:multiLevelType w:val="hybridMultilevel"/>
    <w:lvl w:ilvl="0">
      <w:lvlJc w:val="left"/>
      <w:lvlText w:val="(%1)"/>
      <w:numFmt w:val="lowerLetter"/>
      <w:start w:val="3"/>
    </w:lvl>
  </w:abstractNum>
  <w:abstractNum w:abstractNumId="123">
    <w:nsid w:val="3F7C2FF4"/>
    <w:multiLevelType w:val="hybridMultilevel"/>
    <w:lvl w:ilvl="0">
      <w:lvlJc w:val="left"/>
      <w:lvlText w:val="(%1)"/>
      <w:numFmt w:val="lowerRoman"/>
      <w:start w:val="1"/>
    </w:lvl>
  </w:abstractNum>
  <w:abstractNum w:abstractNumId="124">
    <w:nsid w:val="25413BEC"/>
    <w:multiLevelType w:val="hybridMultilevel"/>
    <w:lvl w:ilvl="0">
      <w:lvlJc w:val="left"/>
      <w:lvlText w:val="(%1)"/>
      <w:numFmt w:val="lowerRoman"/>
      <w:start w:val="3"/>
    </w:lvl>
  </w:abstractNum>
  <w:abstractNum w:abstractNumId="125">
    <w:nsid w:val="17180B0B"/>
    <w:multiLevelType w:val="hybridMultilevel"/>
    <w:lvl w:ilvl="0">
      <w:lvlJc w:val="left"/>
      <w:lvlText w:val="(%1)"/>
      <w:numFmt w:val="lowerLetter"/>
      <w:start w:val="1"/>
    </w:lvl>
  </w:abstractNum>
  <w:abstractNum w:abstractNumId="126">
    <w:nsid w:val="579328B9"/>
    <w:multiLevelType w:val="hybridMultilevel"/>
    <w:lvl w:ilvl="0">
      <w:lvlJc w:val="left"/>
      <w:lvlText w:val="(%1)"/>
      <w:numFmt w:val="lowerRoman"/>
      <w:start w:val="2"/>
    </w:lvl>
  </w:abstractNum>
  <w:abstractNum w:abstractNumId="127">
    <w:nsid w:val="5D205E20"/>
    <w:multiLevelType w:val="hybridMultilevel"/>
    <w:lvl w:ilvl="0">
      <w:lvlJc w:val="left"/>
      <w:lvlText w:val="(%1)"/>
      <w:numFmt w:val="upperLetter"/>
      <w:start w:val="2"/>
    </w:lvl>
  </w:abstractNum>
  <w:abstractNum w:abstractNumId="128">
    <w:nsid w:val="11CCA8BA"/>
    <w:multiLevelType w:val="hybridMultilevel"/>
    <w:lvl w:ilvl="0">
      <w:lvlJc w:val="left"/>
      <w:lvlText w:val="(%1)"/>
      <w:numFmt w:val="lowerLetter"/>
      <w:start w:val="10"/>
    </w:lvl>
  </w:abstractNum>
  <w:abstractNum w:abstractNumId="129">
    <w:nsid w:val="4D32AB86"/>
    <w:multiLevelType w:val="hybridMultilevel"/>
    <w:lvl w:ilvl="0">
      <w:lvlJc w:val="left"/>
      <w:lvlText w:val="(%1)"/>
      <w:numFmt w:val="lowerLetter"/>
      <w:start w:val="1"/>
    </w:lvl>
    <w:lvl w:ilvl="1">
      <w:lvlJc w:val="left"/>
      <w:lvlText w:val="(%2)"/>
      <w:numFmt w:val="lowerRoman"/>
      <w:start w:val="1"/>
    </w:lvl>
  </w:abstractNum>
  <w:abstractNum w:abstractNumId="130">
    <w:nsid w:val="3F07ACC3"/>
    <w:multiLevelType w:val="hybridMultilevel"/>
    <w:lvl w:ilvl="0">
      <w:lvlJc w:val="left"/>
      <w:lvlText w:val="(%1)"/>
      <w:numFmt w:val="lowerLetter"/>
      <w:start w:val="1"/>
    </w:lvl>
  </w:abstractNum>
  <w:abstractNum w:abstractNumId="131">
    <w:nsid w:val="6B47F63E"/>
    <w:multiLevelType w:val="hybridMultilevel"/>
    <w:lvl w:ilvl="0">
      <w:lvlJc w:val="left"/>
      <w:lvlText w:val="(%1)"/>
      <w:numFmt w:val="lowerLetter"/>
      <w:start w:val="2"/>
    </w:lvl>
  </w:abstractNum>
  <w:abstractNum w:abstractNumId="132">
    <w:nsid w:val="5CB44A05"/>
    <w:multiLevelType w:val="hybridMultilevel"/>
    <w:lvl w:ilvl="0">
      <w:lvlJc w:val="left"/>
      <w:lvlText w:val="(%1)"/>
      <w:numFmt w:val="lowerRoman"/>
      <w:start w:val="1"/>
    </w:lvl>
  </w:abstractNum>
  <w:abstractNum w:abstractNumId="133">
    <w:nsid w:val="16CF80F1"/>
    <w:multiLevelType w:val="hybridMultilevel"/>
    <w:lvl w:ilvl="0">
      <w:lvlJc w:val="left"/>
      <w:lvlText w:val="(%1)"/>
      <w:numFmt w:val="lowerLetter"/>
      <w:start w:val="1"/>
    </w:lvl>
  </w:abstractNum>
  <w:abstractNum w:abstractNumId="134">
    <w:nsid w:val="1C695DEC"/>
    <w:multiLevelType w:val="hybridMultilevel"/>
    <w:lvl w:ilvl="0">
      <w:lvlJc w:val="left"/>
      <w:lvlText w:val="(%1)"/>
      <w:numFmt w:val="lowerLetter"/>
      <w:start w:val="2"/>
    </w:lvl>
  </w:abstractNum>
  <w:abstractNum w:abstractNumId="135">
    <w:nsid w:val="3FCFAED9"/>
    <w:multiLevelType w:val="hybridMultilevel"/>
    <w:lvl w:ilvl="0">
      <w:lvlJc w:val="left"/>
      <w:lvlText w:val="(%1)"/>
      <w:numFmt w:val="lowerRoman"/>
      <w:start w:val="1"/>
    </w:lvl>
  </w:abstractNum>
  <w:abstractNum w:abstractNumId="136">
    <w:nsid w:val="F856867"/>
    <w:multiLevelType w:val="hybridMultilevel"/>
    <w:lvl w:ilvl="0">
      <w:lvlJc w:val="left"/>
      <w:lvlText w:val="(%1)"/>
      <w:numFmt w:val="lowerLetter"/>
      <w:start w:val="3"/>
    </w:lvl>
  </w:abstractNum>
  <w:abstractNum w:abstractNumId="137">
    <w:nsid w:val="11B1CC33"/>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38">
    <w:nsid w:val="2E22FBB7"/>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5"/>
    </w:lvl>
  </w:abstractNum>
  <w:abstractNum w:abstractNumId="139">
    <w:nsid w:val="29934699"/>
    <w:multiLevelType w:val="hybridMultilevel"/>
    <w:lvl w:ilvl="0">
      <w:lvlJc w:val="left"/>
      <w:lvlText w:val="(%1)"/>
      <w:numFmt w:val="lowerLetter"/>
      <w:start w:val="6"/>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24"/>
    </w:lvl>
  </w:abstractNum>
  <w:abstractNum w:abstractNumId="142">
    <w:nsid w:val="4FA0D2E3"/>
    <w:multiLevelType w:val="hybridMultilevel"/>
    <w:lvl w:ilvl="0">
      <w:lvlJc w:val="left"/>
      <w:lvlText w:val="%1."/>
      <w:numFmt w:val="decimal"/>
      <w:start w:val="1"/>
    </w:lvl>
  </w:abstractNum>
  <w:abstractNum w:abstractNumId="143">
    <w:nsid w:val="6B1D2C14"/>
    <w:multiLevelType w:val="hybridMultilevel"/>
    <w:lvl w:ilvl="0">
      <w:lvlJc w:val="left"/>
      <w:lvlText w:val="(%1)"/>
      <w:numFmt w:val="lowerLetter"/>
      <w:start w:val="1"/>
    </w:lvl>
  </w:abstractNum>
  <w:abstractNum w:abstractNumId="144">
    <w:nsid w:val="68B867D3"/>
    <w:multiLevelType w:val="hybridMultilevel"/>
    <w:lvl w:ilvl="0">
      <w:lvlJc w:val="left"/>
      <w:lvlText w:val="(%1)"/>
      <w:numFmt w:val="lowerLetter"/>
      <w:start w:val="2"/>
    </w:lvl>
  </w:abstractNum>
  <w:abstractNum w:abstractNumId="145">
    <w:nsid w:val="3F7F5DD9"/>
    <w:multiLevelType w:val="hybridMultilevel"/>
    <w:lvl w:ilvl="0">
      <w:lvlJc w:val="left"/>
      <w:lvlText w:val="%1."/>
      <w:numFmt w:val="decimal"/>
      <w:start w:val="1"/>
    </w:lvl>
  </w:abstractNum>
  <w:abstractNum w:abstractNumId="146">
    <w:nsid w:val="2AE05A34"/>
    <w:multiLevelType w:val="hybridMultilevel"/>
    <w:lvl w:ilvl="0">
      <w:lvlJc w:val="left"/>
      <w:lvlText w:val="(%1)"/>
      <w:numFmt w:val="lowerLetter"/>
      <w:start w:val="1"/>
    </w:lvl>
  </w:abstractNum>
  <w:abstractNum w:abstractNumId="147">
    <w:nsid w:val="32794FF7"/>
    <w:multiLevelType w:val="hybridMultilevel"/>
    <w:lvl w:ilvl="0">
      <w:lvlJc w:val="left"/>
      <w:lvlText w:val="(%1)"/>
      <w:numFmt w:val="lowerLetter"/>
      <w:start w:val="2"/>
    </w:lvl>
  </w:abstractNum>
  <w:abstractNum w:abstractNumId="148">
    <w:nsid w:val="5454945E"/>
    <w:multiLevelType w:val="hybridMultilevel"/>
    <w:lvl w:ilvl="0">
      <w:lvlJc w:val="left"/>
      <w:lvlText w:val="%1."/>
      <w:numFmt w:val="decimal"/>
      <w:start w:val="1"/>
    </w:lvl>
  </w:abstractNum>
  <w:abstractNum w:abstractNumId="149">
    <w:nsid w:val="4DEFDFA0"/>
    <w:multiLevelType w:val="hybridMultilevel"/>
    <w:lvl w:ilvl="0">
      <w:lvlJc w:val="left"/>
      <w:lvlText w:val="%1."/>
      <w:numFmt w:val="upperLetter"/>
      <w:start w:val="1"/>
    </w:lvl>
  </w:abstractNum>
  <w:abstractNum w:abstractNumId="150">
    <w:nsid w:val="2123D5F2"/>
    <w:multiLevelType w:val="hybridMultilevel"/>
    <w:lvl w:ilvl="0">
      <w:lvlJc w:val="left"/>
      <w:lvlText w:val="%1."/>
      <w:numFmt w:val="upperLetter"/>
      <w:start w:val="2"/>
    </w:lvl>
  </w:abstractNum>
  <w:abstractNum w:abstractNumId="151">
    <w:nsid w:val="135B8110"/>
    <w:multiLevelType w:val="hybridMultilevel"/>
    <w:lvl w:ilvl="0">
      <w:lvlJc w:val="left"/>
      <w:lvlText w:val="%1."/>
      <w:numFmt w:val="upperLetter"/>
      <w:start w:val="3"/>
    </w:lvl>
  </w:abstractNum>
  <w:abstractNum w:abstractNumId="152">
    <w:nsid w:val="94927A8"/>
    <w:multiLevelType w:val="hybridMultilevel"/>
    <w:lvl w:ilvl="0">
      <w:lvlJc w:val="left"/>
      <w:lvlText w:val="%1."/>
      <w:numFmt w:val="upperLetter"/>
      <w:start w:val="4"/>
    </w:lvl>
  </w:abstractNum>
  <w:abstractNum w:abstractNumId="153">
    <w:nsid w:val="DCDF8F6"/>
    <w:multiLevelType w:val="hybridMultilevel"/>
    <w:lvl w:ilvl="0">
      <w:lvlJc w:val="left"/>
      <w:lvlText w:val="%1."/>
      <w:numFmt w:val="upperLetter"/>
      <w:start w:val="5"/>
    </w:lvl>
  </w:abstractNum>
  <w:abstractNum w:abstractNumId="154">
    <w:nsid w:val="52D7B105"/>
    <w:multiLevelType w:val="hybridMultilevel"/>
    <w:lvl w:ilvl="0">
      <w:lvlJc w:val="left"/>
      <w:lvlText w:val="%1."/>
      <w:numFmt w:val="upperLetter"/>
      <w:start w:val="6"/>
    </w:lvl>
  </w:abstractNum>
  <w:abstractNum w:abstractNumId="155">
    <w:nsid w:val="2E8A6394"/>
    <w:multiLevelType w:val="hybridMultilevel"/>
    <w:lvl w:ilvl="0">
      <w:lvlJc w:val="left"/>
      <w:lvlText w:val="%1."/>
      <w:numFmt w:val="decimal"/>
      <w:start w:val="5"/>
    </w:lvl>
  </w:abstractNum>
  <w:abstractNum w:abstractNumId="156">
    <w:nsid w:val="24E60401"/>
    <w:multiLevelType w:val="hybridMultilevel"/>
    <w:lvl w:ilvl="0">
      <w:lvlJc w:val="left"/>
      <w:lvlText w:val="%1."/>
      <w:numFmt w:val="upperLetter"/>
      <w:start w:val="7"/>
    </w:lvl>
  </w:abstractNum>
  <w:abstractNum w:abstractNumId="157">
    <w:nsid w:val="2A6AD9BE"/>
    <w:multiLevelType w:val="hybridMultilevel"/>
    <w:lvl w:ilvl="0">
      <w:lvlJc w:val="left"/>
      <w:lvlText w:val="%1."/>
      <w:numFmt w:val="decimal"/>
      <w:start w:val="4"/>
    </w:lvl>
  </w:abstractNum>
  <w:abstractNum w:abstractNumId="158">
    <w:nsid w:val="BAAC1B4"/>
    <w:multiLevelType w:val="hybridMultilevel"/>
    <w:lvl w:ilvl="0">
      <w:lvlJc w:val="left"/>
      <w:lvlText w:val="%1."/>
      <w:numFmt w:val="upperLetter"/>
      <w:start w:val="8"/>
    </w:lvl>
  </w:abstractNum>
  <w:abstractNum w:abstractNumId="159">
    <w:nsid w:val="36B2ACBC"/>
    <w:multiLevelType w:val="hybridMultilevel"/>
    <w:lvl w:ilvl="0">
      <w:lvlJc w:val="left"/>
      <w:lvlText w:val="%1."/>
      <w:numFmt w:val="decimal"/>
      <w:start w:val="4"/>
    </w:lvl>
  </w:abstractNum>
  <w:abstractNum w:abstractNumId="160">
    <w:nsid w:val="779D8544"/>
    <w:multiLevelType w:val="hybridMultilevel"/>
    <w:lvl w:ilvl="0">
      <w:lvlJc w:val="left"/>
      <w:lvlText w:val="%1."/>
      <w:numFmt w:val="upperLetter"/>
      <w:start w:val="9"/>
    </w:lvl>
  </w:abstractNum>
  <w:abstractNum w:abstractNumId="161">
    <w:nsid w:val="4AB26E78"/>
    <w:multiLevelType w:val="hybridMultilevel"/>
    <w:lvl w:ilvl="0">
      <w:lvlJc w:val="left"/>
      <w:lvlText w:val="%1."/>
      <w:numFmt w:val="upperLetter"/>
      <w:start w:val="10"/>
    </w:lvl>
  </w:abstractNum>
  <w:abstractNum w:abstractNumId="162">
    <w:nsid w:val="21FAA2FA"/>
    <w:multiLevelType w:val="hybridMultilevel"/>
    <w:lvl w:ilvl="0">
      <w:lvlJc w:val="left"/>
      <w:lvlText w:val="%1."/>
      <w:numFmt w:val="decimal"/>
      <w:start w:val="4"/>
    </w:lvl>
  </w:abstractNum>
  <w:abstractNum w:abstractNumId="163">
    <w:nsid w:val="5451CF49"/>
    <w:multiLevelType w:val="hybridMultilevel"/>
    <w:lvl w:ilvl="0">
      <w:lvlJc w:val="left"/>
      <w:lvlText w:val="%1."/>
      <w:numFmt w:val="upperLetter"/>
      <w:start w:val="11"/>
    </w:lvl>
  </w:abstractNum>
  <w:abstractNum w:abstractNumId="164">
    <w:nsid w:val="6181EF69"/>
    <w:multiLevelType w:val="hybridMultilevel"/>
    <w:lvl w:ilvl="0">
      <w:lvlJc w:val="left"/>
      <w:lvlText w:val="%1."/>
      <w:numFmt w:val="decimal"/>
      <w:start w:val="6"/>
    </w:lvl>
  </w:abstractNum>
  <w:abstractNum w:abstractNumId="165">
    <w:nsid w:val="3E6400E6"/>
    <w:multiLevelType w:val="hybridMultilevel"/>
    <w:lvl w:ilvl="0">
      <w:lvlJc w:val="left"/>
      <w:lvlText w:val="%1."/>
      <w:numFmt w:val="decimal"/>
      <w:start w:val="1"/>
    </w:lvl>
  </w:abstractNum>
  <w:abstractNum w:abstractNumId="166">
    <w:nsid w:val="14217E23"/>
    <w:multiLevelType w:val="hybridMultilevel"/>
    <w:lvl w:ilvl="0">
      <w:lvlJc w:val="left"/>
      <w:lvlText w:val="%1."/>
      <w:numFmt w:val="decimal"/>
      <w:start w:val="4"/>
    </w:lvl>
  </w:abstractNum>
  <w:abstractNum w:abstractNumId="167">
    <w:nsid w:val="710757D0"/>
    <w:multiLevelType w:val="hybridMultilevel"/>
    <w:lvl w:ilvl="0">
      <w:lvlJc w:val="left"/>
      <w:lvlText w:val="%1."/>
      <w:numFmt w:val="decimal"/>
      <w:start w:val="8"/>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1."/>
      <w:numFmt w:val="decimal"/>
      <w:start w:val="3"/>
    </w:lvl>
  </w:abstractNum>
  <w:abstractNum w:abstractNumId="170">
    <w:nsid w:val="1A9A9E69"/>
    <w:multiLevelType w:val="hybridMultilevel"/>
    <w:lvl w:ilvl="0">
      <w:lvlJc w:val="left"/>
      <w:lvlText w:val="*"/>
      <w:numFmt w:val="bullet"/>
      <w:start w:val="1"/>
    </w:lvl>
  </w:abstractNum>
  <w:abstractNum w:abstractNumId="171">
    <w:nsid w:val="475E256A"/>
    <w:multiLevelType w:val="hybridMultilevel"/>
    <w:lvl w:ilvl="0">
      <w:lvlJc w:val="left"/>
      <w:lvlText w:val="%1."/>
      <w:numFmt w:val="upperLetter"/>
      <w:start w:val="1"/>
    </w:lvl>
  </w:abstractNum>
  <w:abstractNum w:abstractNumId="172">
    <w:nsid w:val="368DB37E"/>
    <w:multiLevelType w:val="hybridMultilevel"/>
    <w:lvl w:ilvl="0">
      <w:lvlJc w:val="left"/>
      <w:lvlText w:val="%1."/>
      <w:numFmt w:val="decimal"/>
      <w:start w:val="5"/>
    </w:lvl>
  </w:abstractNum>
  <w:abstractNum w:abstractNumId="173">
    <w:nsid w:val="6A3B714C"/>
    <w:multiLevelType w:val="hybridMultilevel"/>
    <w:lvl w:ilvl="0">
      <w:lvlJc w:val="left"/>
      <w:lvlText w:val="%1."/>
      <w:numFmt w:val="upperLetter"/>
      <w:start w:val="1"/>
    </w:lvl>
  </w:abstractNum>
  <w:abstractNum w:abstractNumId="174">
    <w:nsid w:val="327B517E"/>
    <w:multiLevelType w:val="hybridMultilevel"/>
    <w:lvl w:ilvl="0">
      <w:lvlJc w:val="left"/>
      <w:lvlText w:val="%1."/>
      <w:numFmt w:val="decimal"/>
      <w:start w:val="2"/>
    </w:lvl>
  </w:abstractNum>
  <w:abstractNum w:abstractNumId="175">
    <w:nsid w:val="1F461B51"/>
    <w:multiLevelType w:val="hybridMultilevel"/>
    <w:lvl w:ilvl="0">
      <w:lvlJc w:val="left"/>
      <w:lvlText w:val="%1."/>
      <w:numFmt w:val="upperLetter"/>
      <w:start w:val="2"/>
    </w:lvl>
  </w:abstractNum>
  <w:abstractNum w:abstractNumId="176">
    <w:nsid w:val="29BACF25"/>
    <w:multiLevelType w:val="hybridMultilevel"/>
    <w:lvl w:ilvl="0">
      <w:lvlJc w:val="left"/>
      <w:lvlText w:val="%1."/>
      <w:numFmt w:val="decimal"/>
      <w:start w:val="2"/>
    </w:lvl>
  </w:abstractNum>
  <w:abstractNum w:abstractNumId="177">
    <w:nsid w:val="5D5BABB3"/>
    <w:multiLevelType w:val="hybridMultilevel"/>
    <w:lvl w:ilvl="0">
      <w:lvlJc w:val="left"/>
      <w:lvlText w:val="%1."/>
      <w:numFmt w:val="upperLetter"/>
      <w:start w:val="3"/>
    </w:lvl>
  </w:abstractNum>
  <w:abstractNum w:abstractNumId="178">
    <w:nsid w:val="51BF6B48"/>
    <w:multiLevelType w:val="hybridMultilevel"/>
    <w:lvl w:ilvl="0">
      <w:lvlJc w:val="left"/>
      <w:lvlText w:val="%1."/>
      <w:numFmt w:val="decimal"/>
      <w:start w:val="2"/>
    </w:lvl>
  </w:abstractNum>
  <w:abstractNum w:abstractNumId="179">
    <w:nsid w:val="7E0F6384"/>
    <w:multiLevelType w:val="hybridMultilevel"/>
    <w:lvl w:ilvl="0">
      <w:lvlJc w:val="left"/>
      <w:lvlText w:val="%1."/>
      <w:numFmt w:val="upperLetter"/>
      <w:start w:val="4"/>
    </w:lvl>
    <w:lvl w:ilvl="1">
      <w:lvlJc w:val="left"/>
      <w:lvlText w:val="%2."/>
      <w:numFmt w:val="decimal"/>
      <w:start w:val="1"/>
    </w:lvl>
  </w:abstractNum>
  <w:abstractNum w:abstractNumId="180">
    <w:nsid w:val="2B4B8B53"/>
    <w:multiLevelType w:val="hybridMultilevel"/>
    <w:lvl w:ilvl="0">
      <w:lvlJc w:val="left"/>
      <w:lvlText w:val="%1."/>
      <w:numFmt w:val="decimal"/>
      <w:start w:val="2"/>
    </w:lvl>
  </w:abstractNum>
  <w:abstractNum w:abstractNumId="181">
    <w:nsid w:val="72E3413A"/>
    <w:multiLevelType w:val="hybridMultilevel"/>
    <w:lvl w:ilvl="0">
      <w:lvlJc w:val="left"/>
      <w:lvlText w:val="%1."/>
      <w:numFmt w:val="upperLetter"/>
      <w:start w:val="7"/>
    </w:lvl>
  </w:abstractNum>
  <w:abstractNum w:abstractNumId="182">
    <w:nsid w:val="116AE494"/>
    <w:multiLevelType w:val="hybridMultilevel"/>
    <w:lvl w:ilvl="0">
      <w:lvlJc w:val="left"/>
      <w:lvlText w:val="%1."/>
      <w:numFmt w:val="decimal"/>
      <w:start w:val="2"/>
    </w:lvl>
  </w:abstractNum>
  <w:abstractNum w:abstractNumId="183">
    <w:nsid w:val="3494B2FB"/>
    <w:multiLevelType w:val="hybridMultilevel"/>
    <w:lvl w:ilvl="0">
      <w:lvlJc w:val="left"/>
      <w:lvlText w:val="%1."/>
      <w:numFmt w:val="upperLetter"/>
      <w:start w:val="8"/>
    </w:lvl>
  </w:abstractNum>
  <w:abstractNum w:abstractNumId="184">
    <w:nsid w:val="B13A31"/>
    <w:multiLevelType w:val="hybridMultilevel"/>
    <w:lvl w:ilvl="0">
      <w:lvlJc w:val="left"/>
      <w:lvlText w:val="%1."/>
      <w:numFmt w:val="decimal"/>
      <w:start w:val="2"/>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41" Type="http://schemas.openxmlformats.org/officeDocument/2006/relationships/image" Target="media/image931.png"/><Relationship Id="rId942" Type="http://schemas.openxmlformats.org/officeDocument/2006/relationships/image" Target="media/image932.png"/><Relationship Id="rId943" Type="http://schemas.openxmlformats.org/officeDocument/2006/relationships/image" Target="media/image933.png"/><Relationship Id="rId944" Type="http://schemas.openxmlformats.org/officeDocument/2006/relationships/image" Target="media/image934.png"/><Relationship Id="rId945" Type="http://schemas.openxmlformats.org/officeDocument/2006/relationships/image" Target="media/image935.png"/><Relationship Id="rId946" Type="http://schemas.openxmlformats.org/officeDocument/2006/relationships/image" Target="media/image936.png"/><Relationship Id="rId947" Type="http://schemas.openxmlformats.org/officeDocument/2006/relationships/image" Target="media/image937.png"/><Relationship Id="rId948" Type="http://schemas.openxmlformats.org/officeDocument/2006/relationships/image" Target="media/image938.png"/><Relationship Id="rId949" Type="http://schemas.openxmlformats.org/officeDocument/2006/relationships/image" Target="media/image939.png"/><Relationship Id="rId950" Type="http://schemas.openxmlformats.org/officeDocument/2006/relationships/image" Target="media/image940.png"/><Relationship Id="rId951" Type="http://schemas.openxmlformats.org/officeDocument/2006/relationships/image" Target="media/image941.png"/><Relationship Id="rId952" Type="http://schemas.openxmlformats.org/officeDocument/2006/relationships/image" Target="media/image942.png"/><Relationship Id="rId953" Type="http://schemas.openxmlformats.org/officeDocument/2006/relationships/image" Target="media/image943.png"/><Relationship Id="rId954" Type="http://schemas.openxmlformats.org/officeDocument/2006/relationships/image" Target="media/image944.png"/><Relationship Id="rId955" Type="http://schemas.openxmlformats.org/officeDocument/2006/relationships/image" Target="media/image945.png"/><Relationship Id="rId956" Type="http://schemas.openxmlformats.org/officeDocument/2006/relationships/image" Target="media/image946.png"/><Relationship Id="rId957" Type="http://schemas.openxmlformats.org/officeDocument/2006/relationships/image" Target="media/image947.png"/><Relationship Id="rId958" Type="http://schemas.openxmlformats.org/officeDocument/2006/relationships/image" Target="media/image948.png"/><Relationship Id="rId959" Type="http://schemas.openxmlformats.org/officeDocument/2006/relationships/image" Target="media/image949.png"/><Relationship Id="rId960" Type="http://schemas.openxmlformats.org/officeDocument/2006/relationships/image" Target="media/image950.png"/><Relationship Id="rId961" Type="http://schemas.openxmlformats.org/officeDocument/2006/relationships/image" Target="media/image951.png"/><Relationship Id="rId962" Type="http://schemas.openxmlformats.org/officeDocument/2006/relationships/image" Target="media/image952.png"/><Relationship Id="rId963" Type="http://schemas.openxmlformats.org/officeDocument/2006/relationships/image" Target="media/image953.png"/><Relationship Id="rId964" Type="http://schemas.openxmlformats.org/officeDocument/2006/relationships/image" Target="media/image954.png"/><Relationship Id="rId965" Type="http://schemas.openxmlformats.org/officeDocument/2006/relationships/image" Target="media/image955.png"/><Relationship Id="rId966" Type="http://schemas.openxmlformats.org/officeDocument/2006/relationships/image" Target="media/image956.png"/><Relationship Id="rId967" Type="http://schemas.openxmlformats.org/officeDocument/2006/relationships/image" Target="media/image957.png"/><Relationship Id="rId968" Type="http://schemas.openxmlformats.org/officeDocument/2006/relationships/image" Target="media/image958.png"/><Relationship Id="rId969" Type="http://schemas.openxmlformats.org/officeDocument/2006/relationships/image" Target="media/image959.png"/><Relationship Id="rId970" Type="http://schemas.openxmlformats.org/officeDocument/2006/relationships/image" Target="media/image960.png"/><Relationship Id="rId971" Type="http://schemas.openxmlformats.org/officeDocument/2006/relationships/image" Target="media/image961.png"/><Relationship Id="rId972" Type="http://schemas.openxmlformats.org/officeDocument/2006/relationships/image" Target="media/image962.png"/><Relationship Id="rId973" Type="http://schemas.openxmlformats.org/officeDocument/2006/relationships/image" Target="media/image963.png"/><Relationship Id="rId974" Type="http://schemas.openxmlformats.org/officeDocument/2006/relationships/image" Target="media/image964.png"/><Relationship Id="rId975" Type="http://schemas.openxmlformats.org/officeDocument/2006/relationships/image" Target="media/image965.png"/><Relationship Id="rId976" Type="http://schemas.openxmlformats.org/officeDocument/2006/relationships/image" Target="media/image966.png"/><Relationship Id="rId977" Type="http://schemas.openxmlformats.org/officeDocument/2006/relationships/image" Target="media/image967.png"/><Relationship Id="rId978" Type="http://schemas.openxmlformats.org/officeDocument/2006/relationships/image" Target="media/image968.png"/><Relationship Id="rId979" Type="http://schemas.openxmlformats.org/officeDocument/2006/relationships/image" Target="media/image969.png"/><Relationship Id="rId980" Type="http://schemas.openxmlformats.org/officeDocument/2006/relationships/image" Target="media/image970.png"/><Relationship Id="rId981" Type="http://schemas.openxmlformats.org/officeDocument/2006/relationships/image" Target="media/image971.png"/><Relationship Id="rId982" Type="http://schemas.openxmlformats.org/officeDocument/2006/relationships/image" Target="media/image972.png"/><Relationship Id="rId983" Type="http://schemas.openxmlformats.org/officeDocument/2006/relationships/image" Target="media/image973.png"/><Relationship Id="rId984" Type="http://schemas.openxmlformats.org/officeDocument/2006/relationships/image" Target="media/image974.png"/><Relationship Id="rId985" Type="http://schemas.openxmlformats.org/officeDocument/2006/relationships/image" Target="media/image975.png"/><Relationship Id="rId986"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4" Type="http://schemas.openxmlformats.org/officeDocument/2006/relationships/image" Target="media/image984.png"/><Relationship Id="rId995" Type="http://schemas.openxmlformats.org/officeDocument/2006/relationships/image" Target="media/image985.png"/><Relationship Id="rId996" Type="http://schemas.openxmlformats.org/officeDocument/2006/relationships/image" Target="media/image986.png"/><Relationship Id="rId997" Type="http://schemas.openxmlformats.org/officeDocument/2006/relationships/image" Target="media/image987.png"/><Relationship Id="rId998" Type="http://schemas.openxmlformats.org/officeDocument/2006/relationships/image" Target="media/image988.png"/><Relationship Id="rId999" Type="http://schemas.openxmlformats.org/officeDocument/2006/relationships/image" Target="media/image989.png"/><Relationship Id="rId1000" Type="http://schemas.openxmlformats.org/officeDocument/2006/relationships/image" Target="media/image990.png"/><Relationship Id="rId1001" Type="http://schemas.openxmlformats.org/officeDocument/2006/relationships/image" Target="media/image991.png"/><Relationship Id="rId1002" Type="http://schemas.openxmlformats.org/officeDocument/2006/relationships/image" Target="media/image992.png"/><Relationship Id="rId1003" Type="http://schemas.openxmlformats.org/officeDocument/2006/relationships/image" Target="media/image993.png"/><Relationship Id="rId1004" Type="http://schemas.openxmlformats.org/officeDocument/2006/relationships/image" Target="media/image994.png"/><Relationship Id="rId1005" Type="http://schemas.openxmlformats.org/officeDocument/2006/relationships/image" Target="media/image995.png"/><Relationship Id="rId1006" Type="http://schemas.openxmlformats.org/officeDocument/2006/relationships/image" Target="media/image996.png"/><Relationship Id="rId1007" Type="http://schemas.openxmlformats.org/officeDocument/2006/relationships/image" Target="media/image997.png"/><Relationship Id="rId1008" Type="http://schemas.openxmlformats.org/officeDocument/2006/relationships/image" Target="media/image998.png"/><Relationship Id="rId1009" Type="http://schemas.openxmlformats.org/officeDocument/2006/relationships/image" Target="media/image999.png"/><Relationship Id="rId1010" Type="http://schemas.openxmlformats.org/officeDocument/2006/relationships/image" Target="media/image1000.png"/><Relationship Id="rId1011" Type="http://schemas.openxmlformats.org/officeDocument/2006/relationships/image" Target="media/image1001.png"/><Relationship Id="rId1012" Type="http://schemas.openxmlformats.org/officeDocument/2006/relationships/image" Target="media/image1002.png"/><Relationship Id="rId1013" Type="http://schemas.openxmlformats.org/officeDocument/2006/relationships/image" Target="media/image1003.png"/><Relationship Id="rId1014" Type="http://schemas.openxmlformats.org/officeDocument/2006/relationships/image" Target="media/image1004.png"/><Relationship Id="rId1015" Type="http://schemas.openxmlformats.org/officeDocument/2006/relationships/image" Target="media/image1005.png"/><Relationship Id="rId1016" Type="http://schemas.openxmlformats.org/officeDocument/2006/relationships/image" Target="media/image1006.png"/><Relationship Id="rId1017" Type="http://schemas.openxmlformats.org/officeDocument/2006/relationships/image" Target="media/image1007.png"/><Relationship Id="rId1018" Type="http://schemas.openxmlformats.org/officeDocument/2006/relationships/image" Target="media/image1008.png"/><Relationship Id="rId1019" Type="http://schemas.openxmlformats.org/officeDocument/2006/relationships/image" Target="media/image1009.png"/><Relationship Id="rId1020" Type="http://schemas.openxmlformats.org/officeDocument/2006/relationships/image" Target="media/image1010.png"/><Relationship Id="rId1021" Type="http://schemas.openxmlformats.org/officeDocument/2006/relationships/image" Target="media/image1011.png"/><Relationship Id="rId1022" Type="http://schemas.openxmlformats.org/officeDocument/2006/relationships/image" Target="media/image1012.png"/><Relationship Id="rId1023" Type="http://schemas.openxmlformats.org/officeDocument/2006/relationships/image" Target="media/image1013.png"/><Relationship Id="rId1024" Type="http://schemas.openxmlformats.org/officeDocument/2006/relationships/image" Target="media/image1014.png"/><Relationship Id="rId1025" Type="http://schemas.openxmlformats.org/officeDocument/2006/relationships/image" Target="media/image1015.png"/><Relationship Id="rId1026" Type="http://schemas.openxmlformats.org/officeDocument/2006/relationships/image" Target="media/image1016.png"/><Relationship Id="rId1027" Type="http://schemas.openxmlformats.org/officeDocument/2006/relationships/image" Target="media/image1017.png"/><Relationship Id="rId1028" Type="http://schemas.openxmlformats.org/officeDocument/2006/relationships/image" Target="media/image1018.png"/><Relationship Id="rId1029" Type="http://schemas.openxmlformats.org/officeDocument/2006/relationships/image" Target="media/image1019.png"/><Relationship Id="rId1030" Type="http://schemas.openxmlformats.org/officeDocument/2006/relationships/image" Target="media/image1020.png"/><Relationship Id="rId1031" Type="http://schemas.openxmlformats.org/officeDocument/2006/relationships/image" Target="media/image1021.png"/><Relationship Id="rId1032" Type="http://schemas.openxmlformats.org/officeDocument/2006/relationships/image" Target="media/image1022.png"/><Relationship Id="rId1033"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41" Type="http://schemas.openxmlformats.org/officeDocument/2006/relationships/image" Target="media/image1031.png"/><Relationship Id="rId1042" Type="http://schemas.openxmlformats.org/officeDocument/2006/relationships/image" Target="media/image1032.png"/><Relationship Id="rId1043" Type="http://schemas.openxmlformats.org/officeDocument/2006/relationships/image" Target="media/image1033.png"/><Relationship Id="rId1044" Type="http://schemas.openxmlformats.org/officeDocument/2006/relationships/image" Target="media/image1034.png"/><Relationship Id="rId1045" Type="http://schemas.openxmlformats.org/officeDocument/2006/relationships/image" Target="media/image1035.png"/><Relationship Id="rId1046" Type="http://schemas.openxmlformats.org/officeDocument/2006/relationships/image" Target="media/image1036.png"/><Relationship Id="rId1047" Type="http://schemas.openxmlformats.org/officeDocument/2006/relationships/image" Target="media/image1037.png"/><Relationship Id="rId1048" Type="http://schemas.openxmlformats.org/officeDocument/2006/relationships/image" Target="media/image1038.png"/><Relationship Id="rId1049" Type="http://schemas.openxmlformats.org/officeDocument/2006/relationships/image" Target="media/image1039.png"/><Relationship Id="rId1050" Type="http://schemas.openxmlformats.org/officeDocument/2006/relationships/image" Target="media/image1040.png"/><Relationship Id="rId1051" Type="http://schemas.openxmlformats.org/officeDocument/2006/relationships/image" Target="media/image1041.png"/><Relationship Id="rId1052" Type="http://schemas.openxmlformats.org/officeDocument/2006/relationships/image" Target="media/image1042.png"/><Relationship Id="rId1053" Type="http://schemas.openxmlformats.org/officeDocument/2006/relationships/image" Target="media/image1043.png"/><Relationship Id="rId1054" Type="http://schemas.openxmlformats.org/officeDocument/2006/relationships/image" Target="media/image1044.png"/><Relationship Id="rId1055" Type="http://schemas.openxmlformats.org/officeDocument/2006/relationships/image" Target="media/image1045.png"/><Relationship Id="rId1056" Type="http://schemas.openxmlformats.org/officeDocument/2006/relationships/image" Target="media/image1046.png"/><Relationship Id="rId1057" Type="http://schemas.openxmlformats.org/officeDocument/2006/relationships/image" Target="media/image1047.png"/><Relationship Id="rId1058" Type="http://schemas.openxmlformats.org/officeDocument/2006/relationships/image" Target="media/image1048.png"/><Relationship Id="rId1059" Type="http://schemas.openxmlformats.org/officeDocument/2006/relationships/image" Target="media/image1049.png"/><Relationship Id="rId1060" Type="http://schemas.openxmlformats.org/officeDocument/2006/relationships/image" Target="media/image1050.png"/><Relationship Id="rId1061" Type="http://schemas.openxmlformats.org/officeDocument/2006/relationships/image" Target="media/image1051.png"/><Relationship Id="rId1062" Type="http://schemas.openxmlformats.org/officeDocument/2006/relationships/image" Target="media/image1052.png"/><Relationship Id="rId1063" Type="http://schemas.openxmlformats.org/officeDocument/2006/relationships/image" Target="media/image1053.png"/><Relationship Id="rId1064" Type="http://schemas.openxmlformats.org/officeDocument/2006/relationships/image" Target="media/image1054.png"/><Relationship Id="rId1065" Type="http://schemas.openxmlformats.org/officeDocument/2006/relationships/image" Target="media/image1055.png"/><Relationship Id="rId1066" Type="http://schemas.openxmlformats.org/officeDocument/2006/relationships/image" Target="media/image1056.png"/><Relationship Id="rId1067" Type="http://schemas.openxmlformats.org/officeDocument/2006/relationships/image" Target="media/image1057.png"/><Relationship Id="rId1068" Type="http://schemas.openxmlformats.org/officeDocument/2006/relationships/image" Target="media/image1058.png"/><Relationship Id="rId1069" Type="http://schemas.openxmlformats.org/officeDocument/2006/relationships/image" Target="media/image1059.png"/><Relationship Id="rId1070" Type="http://schemas.openxmlformats.org/officeDocument/2006/relationships/image" Target="media/image1060.png"/><Relationship Id="rId1071" Type="http://schemas.openxmlformats.org/officeDocument/2006/relationships/image" Target="media/image1061.png"/><Relationship Id="rId1072" Type="http://schemas.openxmlformats.org/officeDocument/2006/relationships/image" Target="media/image1062.png"/><Relationship Id="rId1073" Type="http://schemas.openxmlformats.org/officeDocument/2006/relationships/image" Target="media/image1063.png"/><Relationship Id="rId1074" Type="http://schemas.openxmlformats.org/officeDocument/2006/relationships/image" Target="media/image1064.png"/><Relationship Id="rId1075" Type="http://schemas.openxmlformats.org/officeDocument/2006/relationships/image" Target="media/image1065.png"/><Relationship Id="rId1076" Type="http://schemas.openxmlformats.org/officeDocument/2006/relationships/image" Target="media/image1066.png"/><Relationship Id="rId1077" Type="http://schemas.openxmlformats.org/officeDocument/2006/relationships/image" Target="media/image1067.png"/><Relationship Id="rId1078" Type="http://schemas.openxmlformats.org/officeDocument/2006/relationships/image" Target="media/image1068.png"/><Relationship Id="rId1079" Type="http://schemas.openxmlformats.org/officeDocument/2006/relationships/image" Target="media/image1069.png"/><Relationship Id="rId1080" Type="http://schemas.openxmlformats.org/officeDocument/2006/relationships/image" Target="media/image1070.png"/><Relationship Id="rId1081" Type="http://schemas.openxmlformats.org/officeDocument/2006/relationships/image" Target="media/image1071.png"/><Relationship Id="rId1082" Type="http://schemas.openxmlformats.org/officeDocument/2006/relationships/image" Target="media/image1072.png"/><Relationship Id="rId1083" Type="http://schemas.openxmlformats.org/officeDocument/2006/relationships/image" Target="media/image1073.png"/><Relationship Id="rId1084" Type="http://schemas.openxmlformats.org/officeDocument/2006/relationships/image" Target="media/image1074.png"/><Relationship Id="rId1085" Type="http://schemas.openxmlformats.org/officeDocument/2006/relationships/image" Target="media/image1075.png"/><Relationship Id="rId1086" Type="http://schemas.openxmlformats.org/officeDocument/2006/relationships/image" Target="media/image1076.png"/><Relationship Id="rId1087" Type="http://schemas.openxmlformats.org/officeDocument/2006/relationships/image" Target="media/image1077.png"/><Relationship Id="rId1088" Type="http://schemas.openxmlformats.org/officeDocument/2006/relationships/image" Target="media/image1078.png"/><Relationship Id="rId1089" Type="http://schemas.openxmlformats.org/officeDocument/2006/relationships/image" Target="media/image1079.png"/><Relationship Id="rId1090" Type="http://schemas.openxmlformats.org/officeDocument/2006/relationships/image" Target="media/image1080.png"/><Relationship Id="rId1091" Type="http://schemas.openxmlformats.org/officeDocument/2006/relationships/image" Target="media/image1081.png"/><Relationship Id="rId1092" Type="http://schemas.openxmlformats.org/officeDocument/2006/relationships/image" Target="media/image1082.png"/><Relationship Id="rId1093" Type="http://schemas.openxmlformats.org/officeDocument/2006/relationships/image" Target="media/image1083.png"/><Relationship Id="rId1094" Type="http://schemas.openxmlformats.org/officeDocument/2006/relationships/image" Target="media/image1084.png"/><Relationship Id="rId1095" Type="http://schemas.openxmlformats.org/officeDocument/2006/relationships/image" Target="media/image1085.png"/><Relationship Id="rId1096" Type="http://schemas.openxmlformats.org/officeDocument/2006/relationships/image" Target="media/image1086.png"/><Relationship Id="rId1097" Type="http://schemas.openxmlformats.org/officeDocument/2006/relationships/image" Target="media/image1087.png"/><Relationship Id="rId1098" Type="http://schemas.openxmlformats.org/officeDocument/2006/relationships/image" Target="media/image1088.png"/><Relationship Id="rId1099" Type="http://schemas.openxmlformats.org/officeDocument/2006/relationships/image" Target="media/image1089.png"/><Relationship Id="rId1100" Type="http://schemas.openxmlformats.org/officeDocument/2006/relationships/image" Target="media/image1090.png"/><Relationship Id="rId1101" Type="http://schemas.openxmlformats.org/officeDocument/2006/relationships/image" Target="media/image1091.png"/><Relationship Id="rId1102" Type="http://schemas.openxmlformats.org/officeDocument/2006/relationships/image" Target="media/image1092.png"/><Relationship Id="rId1103" Type="http://schemas.openxmlformats.org/officeDocument/2006/relationships/image" Target="media/image1093.png"/><Relationship Id="rId1104" Type="http://schemas.openxmlformats.org/officeDocument/2006/relationships/image" Target="media/image1094.png"/><Relationship Id="rId1105" Type="http://schemas.openxmlformats.org/officeDocument/2006/relationships/image" Target="media/image1095.png"/><Relationship Id="rId1106" Type="http://schemas.openxmlformats.org/officeDocument/2006/relationships/image" Target="media/image1096.png"/><Relationship Id="rId58" Type="http://schemas.openxmlformats.org/officeDocument/2006/relationships/hyperlink" Target="https://www.sec.gov/Archives/edgar/data/0001786117/000155837019011294/ex-3d1.htm" TargetMode="External"/><Relationship Id="rId59" Type="http://schemas.openxmlformats.org/officeDocument/2006/relationships/hyperlink" Target="https://www.sec.gov/Archives/edgar/data/1786117/000155837021009093/tmb-20210721xex3d1.htm" TargetMode="External"/><Relationship Id="rId60"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2021-10-21T15:27:14Z</dcterms:created>
  <dcterms:modified xsi:type="dcterms:W3CDTF">2021-10-21T15:27:14Z</dcterms:modified>
</cp:coreProperties>
</file>